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60"/>
      </w:pPr>
      <w:r>
        <w:rPr>
          <w:rFonts w:ascii="Arial" w:cs="Arial" w:eastAsia="Arial" w:hAnsi="Arial"/>
          <w:b/>
          <w:bCs/>
          <w:color w:val="5B2D8E"/>
          <w:sz w:val="38"/>
          <w:szCs w:val="38"/>
        </w:rPr>
        <w:t xml:space="preserve">ATANA</w:t>
      </w:r>
    </w:p>
    <w:p>
      <w:pPr>
        <w:spacing w:after="20" w:line="2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Information Requirements Engine v1.0</w:t>
      </w:r>
    </w:p>
    <w:p>
      <w:pPr>
        <w:spacing w:after="100" w:line="26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DPoW is the front-end. Scope Production Package is the persistent object. LOI workbook is the catalogue. 31 August 2026.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1. Principle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Deliverables are evidence. Information requirements are the need. A Uniclass Ss row is not a task. It is a Scope Production Package that matures through workstages without being recreated.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Task team → Scope production package → work stage → LOD → LOI → information requirements → parameters → required deliverables → MIDP/TIDP.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2. Entities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000"/>
      </w:tblGrid>
      <w:tr>
        <w:tc>
          <w:tcPr>
            <w:tcW w:type="dxa" w:w="28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30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40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IrCatalogue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LOI workbook import</w:t>
            </w:r>
          </w:p>
        </w:tc>
        <w:tc>
          <w:tcPr>
            <w:tcW w:type="dxa" w:w="4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Versioned; P1 parking lot for full parser</w:t>
            </w:r>
          </w:p>
        </w:tc>
      </w:tr>
      <w:tr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InformationRequirement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Workbook line</w:t>
            </w:r>
          </w:p>
        </w:tc>
        <w:tc>
          <w:tcPr>
            <w:tcW w:type="dxa" w:w="4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Team, category, type, attribute, datatype, unit, IFC pset, LOI2–5</w:t>
            </w:r>
          </w:p>
        </w:tc>
      </w:tr>
      <w:tr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ScopeProductionPackage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DPoW scope / Production package</w:t>
            </w:r>
          </w:p>
        </w:tc>
        <w:tc>
          <w:tcPr>
            <w:tcW w:type="dxa" w:w="4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Unique project+Ss+Ro(+FB)</w:t>
            </w:r>
          </w:p>
        </w:tc>
      </w:tr>
      <w:tr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SppStageTarget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DPoW grid cell</w:t>
            </w:r>
          </w:p>
        </w:tc>
        <w:tc>
          <w:tcPr>
            <w:tcW w:type="dxa" w:w="4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lod_target, loi_target only</w:t>
            </w:r>
          </w:p>
        </w:tc>
      </w:tr>
      <w:tr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SppIrLink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Match category to Ss name/team</w:t>
            </w:r>
          </w:p>
        </w:tc>
        <w:tc>
          <w:tcPr>
            <w:tcW w:type="dxa" w:w="4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Required flag</w:t>
            </w:r>
          </w:p>
        </w:tc>
      </w:tr>
      <w:tr>
        <w:tc>
          <w:tcPr>
            <w:tcW w:type="dxa" w:w="28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SppDeliverableLink</w:t>
            </w:r>
          </w:p>
        </w:tc>
        <w:tc>
          <w:tcPr>
            <w:tcW w:type="dxa" w:w="3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MIDP rows for that team/scope</w:t>
            </w:r>
          </w:p>
        </w:tc>
        <w:tc>
          <w:tcPr>
            <w:tcW w:type="dxa" w:w="40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8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IrObservation</w:t>
            </w:r>
          </w:p>
        </w:tc>
        <w:tc>
          <w:tcPr>
            <w:tcW w:type="dxa" w:w="3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Model / CDE / manual</w:t>
            </w:r>
          </w:p>
        </w:tc>
        <w:tc>
          <w:tcPr>
            <w:tcW w:type="dxa" w:w="40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present boolean</w:t>
            </w:r>
          </w:p>
        </w:tc>
      </w:tr>
    </w:tbl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3. Compliance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compliancePct = 100 * presentRequired / requiredN.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Missing list = required attributes with no observation.present. Door schedule example: Manufacturer, Asset Identifier, Fire Rating missing → 72% if 7 of 10 present.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Workstage gate: package may not move Shared/Published for that stage if compliancePct &lt; project threshold (default 80). Gate is configuration, not hardcoded.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4. APIs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200"/>
      </w:tblGrid>
      <w:tr>
        <w:tc>
          <w:tcPr>
            <w:tcW w:type="dxa" w:w="16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8200"/>
            <w:shd w:fill="5B2D8E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</w:tr>
      <w:tr>
        <w:tc>
          <w:tcPr>
            <w:tcW w:type="dxa" w:w="1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POST</w:t>
            </w:r>
          </w:p>
        </w:tc>
        <w:tc>
          <w:tcPr>
            <w:tcW w:type="dxa" w:w="8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/v1/orgs/{id}/ir-catalogues (multipart xlsx) — P1</w:t>
            </w:r>
          </w:p>
        </w:tc>
      </w:tr>
      <w:tr>
        <w:tc>
          <w:tcPr>
            <w:tcW w:type="dxa" w:w="1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GET</w:t>
            </w:r>
          </w:p>
        </w:tc>
        <w:tc>
          <w:tcPr>
            <w:tcW w:type="dxa" w:w="8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/v1/ir?team=&amp;category=</w:t>
            </w:r>
          </w:p>
        </w:tc>
      </w:tr>
      <w:tr>
        <w:tc>
          <w:tcPr>
            <w:tcW w:type="dxa" w:w="1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GET</w:t>
            </w:r>
          </w:p>
        </w:tc>
        <w:tc>
          <w:tcPr>
            <w:tcW w:type="dxa" w:w="8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/v1/projects/{id}/scope-packages</w:t>
            </w:r>
          </w:p>
        </w:tc>
      </w:tr>
      <w:tr>
        <w:tc>
          <w:tcPr>
            <w:tcW w:type="dxa" w:w="1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GET</w:t>
            </w:r>
          </w:p>
        </w:tc>
        <w:tc>
          <w:tcPr>
            <w:tcW w:type="dxa" w:w="8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/v1/projects/{id}/scope-packages/{sppId}</w:t>
            </w:r>
          </w:p>
        </w:tc>
      </w:tr>
      <w:tr>
        <w:tc>
          <w:tcPr>
            <w:tcW w:type="dxa" w:w="1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PUT</w:t>
            </w:r>
          </w:p>
        </w:tc>
        <w:tc>
          <w:tcPr>
            <w:tcW w:type="dxa" w:w="8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/v1/projects/{id}/scope-packages/{sppId}/stages/{stageId}</w:t>
            </w:r>
          </w:p>
        </w:tc>
      </w:tr>
      <w:tr>
        <w:tc>
          <w:tcPr>
            <w:tcW w:type="dxa" w:w="16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GET</w:t>
            </w:r>
          </w:p>
        </w:tc>
        <w:tc>
          <w:tcPr>
            <w:tcW w:type="dxa" w:w="8200"/>
            <w:shd w:fill="F5F0FA" w:val="clear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/v1/projects/{id}/scope-packages/{sppId}/compliance</w:t>
            </w:r>
          </w:p>
        </w:tc>
      </w:tr>
      <w:tr>
        <w:tc>
          <w:tcPr>
            <w:tcW w:type="dxa" w:w="16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POST</w:t>
            </w:r>
          </w:p>
        </w:tc>
        <w:tc>
          <w:tcPr>
            <w:tcW w:type="dxa" w:w="8200"/>
            <w:tcMar>
              <w:top w:type="dxa" w:w="36"/>
              <w:left w:type="dxa" w:w="50"/>
              <w:bottom w:type="dxa" w:w="36"/>
              <w:right w:type="dxa" w:w="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7"/>
                <w:szCs w:val="17"/>
              </w:rPr>
              <w:t xml:space="preserve">/v1/projects/{id}/scope-packages/{sppId}/observations</w:t>
            </w:r>
          </w:p>
        </w:tc>
      </w:tr>
    </w:tbl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5. UI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DPoW grid remains the plan surface (already in PWA v3.40).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Click scope → Overview, Deliverables, LOD, Attributes, Workflow (shipped).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Next screen: IR Matrix (team × category × LOI columns) read-only from catalogue.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Next screen: Compliance per package (required / present / missing).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Do not build IFC/Revit write-back until observations exist.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6. JSON and SQL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Atana-IRE-Schema.json and Atana-IRE-Schema.sql. ERD in Atana-Architecture-Diagrams-v1.md section 6. In-app LOI_BY_ROLE is the seed catalogue until the workbook importer exists.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7. Parking lot (do not build now)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P1 workbook import. P2–P3 full catalogues. P4 AIR. P5 EIR. P6 compliance engine against live model. P7–P10 IFC/Revit/COBie/twin maps. P11–P15 dashboards and maturity scores.</w:t>
      </w:r>
    </w:p>
    <w:p>
      <w:pPr>
        <w:pStyle w:val="Heading1"/>
        <w:pBdr>
          <w:bottom w:val="single" w:color="5B2D8E" w:sz="10" w:space="3"/>
        </w:pBdr>
        <w:spacing w:after="70" w:before="240"/>
      </w:pPr>
      <w:r>
        <w:rPr>
          <w:rFonts w:ascii="Arial" w:cs="Arial" w:eastAsia="Arial" w:hAnsi="Arial"/>
          <w:b/>
          <w:bCs/>
          <w:color w:val="5B2D8E"/>
          <w:sz w:val="30"/>
          <w:szCs w:val="30"/>
        </w:rPr>
        <w:t xml:space="preserve">8. Next workstream after IRE</w:t>
      </w:r>
    </w:p>
    <w:p>
      <w:pPr>
        <w:spacing w:after="100" w:line="26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AIM / AIR / EIR architecture — only after a package can show required vs present attributes. Until then, keep generating MIDP from DGE and viewing IR from the catalogue already in the PWA.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7534E"/>
        <w:sz w:val="16"/>
        <w:szCs w:val="16"/>
      </w:rPr>
      <w:t xml:space="preserve">Internal  ·  </w:t>
    </w:r>
    <w:r>
      <w:rPr>
        <w:rFonts w:ascii="Arial" w:cs="Arial" w:eastAsia="Arial" w:hAnsi="Arial"/>
        <w:color w:val="5753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7534E"/>
        <w:sz w:val="16"/>
        <w:szCs w:val="16"/>
      </w:rPr>
      <w:t xml:space="preserve">Atana  ·  IRE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240"/>
      <w:outlineLvl w:val="0"/>
    </w:pPr>
    <w:rPr>
      <w:rFonts w:ascii="Arial" w:cs="Arial" w:eastAsia="Arial" w:hAnsi="Arial"/>
      <w:b/>
      <w:bCs/>
      <w:color w:val="5B2D8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3AE2BAD2C6FA4D8B4D95CE89FC31A3" ma:contentTypeVersion="8" ma:contentTypeDescription="Create a new document." ma:contentTypeScope="" ma:versionID="a2ce85c62cd7e9a608298e998330aeb7">
  <xsd:schema xmlns:xsd="http://www.w3.org/2001/XMLSchema" xmlns:xs="http://www.w3.org/2001/XMLSchema" xmlns:p="http://schemas.microsoft.com/office/2006/metadata/properties" xmlns:ns2="ae81e17b-11c2-44ae-89e9-9ad5f5ff8880" targetNamespace="http://schemas.microsoft.com/office/2006/metadata/properties" ma:root="true" ma:fieldsID="1504f635df8bfa7d9525024d2d10bc95" ns2:_="">
    <xsd:import namespace="ae81e17b-11c2-44ae-89e9-9ad5f5ff8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1e17b-11c2-44ae-89e9-9ad5f5ff8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ac2493-9f1f-4345-86a0-c36146f38f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81e17b-11c2-44ae-89e9-9ad5f5ff8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89A76C-9C22-4AC4-A595-6D519D9D9012}"/>
</file>

<file path=customXml/itemProps2.xml><?xml version="1.0" encoding="utf-8"?>
<ds:datastoreItem xmlns:ds="http://schemas.openxmlformats.org/officeDocument/2006/customXml" ds:itemID="{12CD6A51-8B39-4925-8672-599606670EED}"/>
</file>

<file path=customXml/itemProps3.xml><?xml version="1.0" encoding="utf-8"?>
<ds:datastoreItem xmlns:ds="http://schemas.openxmlformats.org/officeDocument/2006/customXml" ds:itemID="{2A6BDC26-D345-4532-B0BC-8E3DD5D9E8F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2026-08-31T10:38:53Z</dcterms:created>
  <dcterms:modified xsi:type="dcterms:W3CDTF">2026-08-31T10:38:53Z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0x0101008E3AE2BAD2C6FA4D8B4D95CE89FC31A3</vt:lpwstr>
  </property>
</Properties>
</file>