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847918"/>
          <w:sz w:val="22"/>
          <w:szCs w:val="22"/>
        </w:rPr>
        <w:t xml:space="preserve">ATANA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E0B3B"/>
          <w:sz w:val="48"/>
          <w:szCs w:val="48"/>
        </w:rPr>
        <w:t xml:space="preserve">Ecosystem Architecture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7A6B79"/>
          <w:sz w:val="22"/>
          <w:szCs w:val="22"/>
        </w:rPr>
        <w:t xml:space="preserve">Information Lifecycle Operating System  ·  How information flows  ·  v1.0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Implementation-ready architecture. OIR, PIR, EIR, AIR, AIM, IDS, DPoW, packages, templates, requirements, deliverables, MIDP, TIDP, workflows, compliance, the Knowledge Graph and Decision Intelligence are not redesigned. This specification only answers: where information comes from, where it goes, and who owns the truth.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Status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Ready for Wave 1 build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31 August 2026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Console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Atana-IM-Tasks.html v3.6.1 (unchanged operating model)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Runtime target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.NET 9, PostgreSQL, Neo4j, Event Grid, Service Bus, Entra ID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Companions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docs/ECOSYSTEM.md + four JSON contract files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1. Positioning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the central information layer across client, consultants, contractors, operators, facility managers, digital twins, CDEs, ERP and asset-management systems. It does not replace Autodesk Docs, Revit, SAP or Maximo. It decides what those systems must hold, whether they hold it, and what happens when they do not.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The HTML PWA remains the operational console. It must never hold CDE or ERP secrets. Production adapters run as workers behind an API.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2. Four system classes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 product may play only one class for a given entity. Dual-write of the same field is forbidden.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2623"/>
        <w:gridCol w:w="2623"/>
      </w:tblGrid>
      <w:tr>
        <w:trPr>
          <w:tblHeader/>
        </w:trP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Class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Meaning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Atana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External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Record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Authoritative write and durable ID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Requirements, plan, compliance, graph, decisions, AIM completeness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file+revision; Revit UniqueId; SAP PO; Maximo WO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Reference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Trusted copy; rebuildable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Published AIM snapshot to a twin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telemetry; Power BI dataset; search index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Engagement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Where people act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Workspace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PA approvals, Procore RFIs</w:t>
            </w:r>
          </w:p>
        </w:tc>
      </w:tr>
      <w:tr>
        <w:tc>
          <w:tcPr>
            <w:tcW w:type="dxa" w:w="17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System of Intelligence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Inference that cites SoR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Decide, Foundry agents</w:t>
            </w:r>
          </w:p>
        </w:tc>
        <w:tc>
          <w:tcPr>
            <w:tcW w:type="dxa" w:w="2623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OpenAI, Copilot, AI Search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Atana-owned SoR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Organisation, project, breakdowns, OIR/PIR/EIR/AIR, templates, information requirements, scope production packages, deliverable plan (not bytes), MIDP/TIDP, workflow state, IDS + last result, AIM completeness, graph, decisions, actions, risks, connector bindings, conflict records.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External SoR — Atana never overwrites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File bytes and revision (CDE). Geometry and element UniqueId (authoring). Cost, PO, vendor (ERP). Work order, failure code, downtime (CMMS). Live sensor value (twin / OT).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Binding keys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946"/>
      </w:tblGrid>
      <w:tr>
        <w:trPr>
          <w:tblHeader/>
        </w:trP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Join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atana.projectId ↔ CDE / hub project 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name + CDE lineageUrn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element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ifcGuid or Revit UniqueId + containerId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tagged onto element and CMMS assetnum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atana.irId / airId</w:t>
            </w:r>
          </w:p>
        </w:tc>
      </w:tr>
      <w:tr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Person</w:t>
            </w:r>
          </w:p>
        </w:tc>
        <w:tc>
          <w:tcPr>
            <w:tcW w:type="dxa" w:w="69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object ID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3. Integration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Six layers: Experience (Tasks, Teams, PBI, Copilot) → Intelligence (Graph, Decide, Foundry) → Domain services (Requirements, Plan, Compliance, AIM, Workflow) → Integration fabric (APIM, Event Grid, Service Bus, workers) → Adapters → external SoRs.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Eight adapter patterns — do not build 26 architectures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6046"/>
      </w:tblGrid>
      <w:tr>
        <w:trPr>
          <w:tblHeader/>
        </w:trP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/ documents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Docs, ACC, ProjectWise, Asite, Dalux, SharePoint libraries, Procore docs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Authoring / coordination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Revit, Civil 3D, Plant 3D, Navisworks, BIM Collaborate Pro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Collaboration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CDE reviews, Procore RFIs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Analytics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 runtime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Foundry, Azure OpenAI, AI Search, Microsoft Copilot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 / commercial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365, SAP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/ CMMS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Maximo, Hexagon, Aveva, generic CMMS</w:t>
            </w:r>
          </w:p>
        </w:tc>
      </w:tr>
      <w:tr>
        <w:tc>
          <w:tcPr>
            <w:tcW w:type="dxa" w:w="9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</w:t>
            </w:r>
          </w:p>
        </w:tc>
        <w:tc>
          <w:tcPr>
            <w:tcW w:type="dxa" w:w="2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</w:t>
            </w:r>
          </w:p>
        </w:tc>
        <w:tc>
          <w:tcPr>
            <w:tcW w:type="dxa" w:w="60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Digital Twins and vendor twins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Multi-tenant: tenantId on every message and row. Connectors scoped to tenant + project. Exactly one primary CDE (file SoR) per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4. Event architecture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CloudEvents 1.0 JSON. Event Grid for fan-out. Service Bus for work that must not be lost. At-least-once delivery. Consumers idempotent on eventId + entityId. Inbound webhooks verified by vendor signature. Outbound webhooks HMAC, 3s timeout, retry 1/5/30/120 minutes.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emits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546"/>
      </w:tblGrid>
      <w:tr>
        <w:trPr>
          <w:tblHeader/>
        </w:trP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Consumers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requirement.published.v1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AIR/IR locked for a stage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IDS, authoring, search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plan.midp.generated.v1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committed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ensure-folder, Teams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deliverable.state.changed.v1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WIP → Shared → Published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ACL, PBI, Decide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compliance.result.recorded.v1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stored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Graph, AIM score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aim.completeness.changed.v1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Present vs required moved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Twin, FM, exec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gate.blocked.v1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Below stage threshold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recovery plan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decision.raised.v1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Action or risk created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PA, D365 case</w:t>
            </w:r>
          </w:p>
        </w:tc>
      </w:tr>
      <w:tr>
        <w:tc>
          <w:tcPr>
            <w:tcW w:type="dxa" w:w="3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conflict.opened.v1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SoRs disagree</w:t>
            </w:r>
          </w:p>
        </w:tc>
        <w:tc>
          <w:tcPr>
            <w:tcW w:type="dxa" w:w="3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IM inbox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Events Atana consumes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CDE version.added and review.closed; pyRevit parameters.pushed; clash.test.completed; Graph item.updated; PA approval.completed; Maximo workorder.completed; twin telemetry threshold (recommendation only); ERP WBS changed (tag only).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5. Data contracts and master data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Canonical payloads: ProjectBinding, ContainerRef, DeliverablePlan, RequirementSpec, Observation, ComplianceResult, AssetRecord, DecisionAction, ConflictRecord. Every payload carries tenantId, projectId, schemaVersion. Completeness is always present/required at a named LOI. Stage 4 default gate remains 95%.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3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Domain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Master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Propagates as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Users / parties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role map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CDE permission jobs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Uniclass / catalogues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SoRef to Revit / naming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Shared parameters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+ ATA_ZZ file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Pushed to Revit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identifier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AIM assetId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Written once to element + CMMS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 revision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in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Stage gate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project settings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Read-only elsewhere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Cost / vendor</w:t>
            </w:r>
          </w:p>
        </w:tc>
        <w:tc>
          <w:tcPr>
            <w:tcW w:type="dxa" w:w="3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ERP</w:t>
            </w:r>
          </w:p>
        </w:tc>
        <w:tc>
          <w:tcPr>
            <w:tcW w:type="dxa" w:w="4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 on package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Catalogue precedence is unchanged: USER &gt; ASSET &gt; PROJECT &gt; ORGANISATION &gt; SYSTEM. Connectors do not invent a sixth layer.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6. API contracts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REST under /v1 is the integration surface. GraphQL /graphql is read-mostly for the production Knowledge Graph. Errors RFC 7807. Idempotency-Key header. Scopes: atana.read, atana.plan.write, atana.compliance.write, atana.aim.write, atana.admin.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800"/>
        <w:gridCol w:w="45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Method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Path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GET/PUT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/projects/{id}/bindings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External system maps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GET/POST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/projects/{id}/midp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SoR / generate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/projects/{id}/containers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 joined to CDE refs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/observations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Idempotent upsert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/ids/runs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 IDS against a container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/aim/assets/{id}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Completeness + bindings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/graph/why/{id}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Reverse trace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/graph/impact/{id}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Forward impact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/ask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contract as atnAnswer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/conflicts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Open mapping disputes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POST</w:t>
            </w:r>
          </w:p>
        </w:tc>
        <w:tc>
          <w:tcPr>
            <w:tcW w:type="dxa" w:w="38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/hooks/{connectorId}</w:t>
            </w:r>
          </w:p>
        </w:tc>
        <w:tc>
          <w:tcPr>
            <w:tcW w:type="dxa" w:w="45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Inbound webhook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7. Product catalogue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Shared defaults: Entra or vendor OAuth; secrets in Key Vault; least privilege; events first, nightly reconcile second, on-demand third; no last-write-wins on requirements; PWA and pyRevit may queue observations offline and flush idempotently; AIR, catalogues and gate thresholds never mutate offline; CDE revision letters are never rewritten by Atana.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2100"/>
        <w:gridCol w:w="2000"/>
        <w:gridCol w:w="1746"/>
        <w:gridCol w:w="1000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Product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Pattern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Data exchanged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Who owns truth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API / events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Hub, Docs, Issues, Coordination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Files/issues SoR ACC; plan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 read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Autodesk Docs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containers + versions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Docs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Management + webhooks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+ ATA_ZZ params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 SoR Revit; AIR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now; DA later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Navisworks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tests / viewpoints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Clash SoR Navis; gate SoR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XML/NWD + Model Coord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Civil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Site / civils property sets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P2 as Revit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Publish to CDE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3D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Tags, specs, lines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policy per project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 Manager extract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BIM Collab Pro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P2 Authoring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+ packages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Consumption fact SoR BC Pro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Model Coordination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2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SharePoint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Enterprise docs / BEP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Default SoRef; SoR only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Microsoft Graph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1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cards, approvals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Message ≠ record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 + bot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Automate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Customer flows on events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Cannot bypass FRRM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Custom /v1 connector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Power BI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P4 Analytics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Health / AIM / gates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Dataset SoRef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Warehouse views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 Foundry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Future multi-agent host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SoI; cite graph; no AIM write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Atana tools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OpenAI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LLM behind Decide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Service-to-service only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Pinned deployment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Azure AI Search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Retrieval over published meta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Rebuildable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Push + weekly rebuild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MS Copilot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P5 Intel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M365 ask path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Plugin calls /v1/ask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Copilot plugin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Dynamics 365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Commercial / cases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Money SoR D365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Dataverse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SAP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P6 ERP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WBS, vendor, PO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No FI writes from Atana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Event Mesh + OData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IBM Maximo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+ asset ops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Dual key assetId/assetnum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Hexagon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Plant warehouse / EAM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tagMaster binding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SDx / EAM APIs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Aveva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P7/P8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Engineering + APM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Telemetry SoRef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NET / APM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ProjectWise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Alt/additional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Exactly one file SoR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WSG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Field + drawings + FM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Snag SoR Dalux if bound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Dalux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P1 CDE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CDE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SoR Asite if primary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Asite open API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P3 Engage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/ submittal / drawings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RFI SoR Procore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Procore REST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3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Generic CMMS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P7 CMMS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Same as Maximo pattern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ICmmSAdapter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Handover + WO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4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Digital twins</w:t>
            </w:r>
          </w:p>
        </w:tc>
        <w:tc>
          <w:tcPr>
            <w:tcW w:type="dxa" w:w="15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P8 Twin</w:t>
            </w:r>
          </w:p>
        </w:tc>
        <w:tc>
          <w:tcPr>
            <w:tcW w:type="dxa" w:w="21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Runtime state</w:t>
            </w:r>
          </w:p>
        </w:tc>
        <w:tc>
          <w:tcPr>
            <w:tcW w:type="dxa" w:w="2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Nameplate SoR AIM</w:t>
            </w:r>
          </w:p>
        </w:tc>
        <w:tc>
          <w:tcPr>
            <w:tcW w:type="dxa" w:w="1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ADT / vendor</w:t>
            </w:r>
          </w:p>
        </w:tc>
        <w:tc>
          <w:tcPr>
            <w:tcW w:type="dxa" w:w="10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Wave 5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ACC / Docs (Wave 1)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ISO 19650 container store and hub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Folders, items, versions, reviews, members, issues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→ Atana version+state. Atana → Docs ensure-folder from MIDP only when policy allows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version.added, review.closed, issue.created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Docs owns bytes and revision. Atana owns whether that file satisfies a plan row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APS 3-legged user; 2-legged daemon where permitted; app registration isolated from ERP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Webhook then nightly tree walk for drift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Revision = Docs. Required container list = MIDP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Two files claim one ISO number → ConflictRecord. No auto-rename unless naming.enforce=true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Desktop Connector cache is not 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Item lineage is the only accepted history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Revit (Wave 2)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Author geometry and typed parameters that satisfy AIR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UniqueId, category, type, ATA_ZZ shared parameters, rooms, levels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→ Revit: parameter definition + IDS expectation. Revit → Atana: observations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model.published to Docs; pyRevit parameters.pushed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Geometry SoR = Revit. Requirement SoR = AIR. Value is an observation until AIM accept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User-scoped pyRevit token to Atana API; Design Automation later uses isolated credentials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 publish + explicit Push to 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Element id = Revit. Asset id = Atana, written into a reserved parameter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Model value ≠ accepted AIM value → keep both, IM accepts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queues JSON, flush on next online push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Host model version = CDE version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3E0B3B"/>
          <w:sz w:val="26"/>
          <w:szCs w:val="26"/>
        </w:rPr>
        <w:t xml:space="preserve">Worked example — Maximo (Wave 4)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Purpose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Work management after handover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Data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assetnum, locations, job plans, work orders, failure codes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Direction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→ create/update Maximo asset. WO complete → ops observation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Events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asset.updated, workorder.completed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Ownership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WO SoR = Maximo. Required operating information = AIR/AIM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Security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MAS REST via Key Vault; write scope only on handover job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Sync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Once-per-asset handover plus incremental WO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Master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atana.assetId stored in Maximo spec; assetnum stored on AIM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Conflict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Optional opsWinsAfterHandover for operating fields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Offline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mobile is vendor-owned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9F7E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41220"/>
                <w:sz w:val="16"/>
                <w:szCs w:val="16"/>
              </w:rPr>
              <w:t xml:space="preserve">Version</w:t>
            </w:r>
          </w:p>
        </w:tc>
        <w:tc>
          <w:tcPr>
            <w:tcW w:type="dxa" w:w="73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 and WO revisions stay in Maximo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8. Lifecycle data flow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Need (OIR/PIR/EIR) → AIR / templates / IR → MIDP / packages / containers → authoring → CDE states → IDS / observations → AIM present vs required → stage gate → handover snapshot → CMMS + twin → operations observations → lessons into the catalogue (never a silent mutation of AIR).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Fire Rating walk already in the Graph seed: OIR safe building → PIR compartmentation known → EIR fire-rated openings at Stage 4 → AIR Fire Rating on every door → template Door → IDS → D-02 missing → gate.blocked → action to the Information Author → AIM accept → later Maximo and twin receive D-02.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9. Enterprise service model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Capability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SoR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Identity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+ Atana RBAC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Entra users, Atana roles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Requirements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Plan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DGE / MIDP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Containers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adapter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CDE files, Atana plan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Compliance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IDS / observation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results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Assets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AIM service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 completeness; CMMS work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KGE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Decisions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Decide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Atana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Intelligence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Foundry + AOAI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SoI only</w:t>
            </w:r>
          </w:p>
        </w:tc>
      </w:tr>
      <w:tr>
        <w:tc>
          <w:tcPr>
            <w:tcW w:type="dxa" w:w="2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Integration</w:t>
            </w:r>
          </w:p>
        </w:tc>
        <w:tc>
          <w:tcPr>
            <w:tcW w:type="dxa" w:w="36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Fabric + adapters</w:t>
            </w:r>
          </w:p>
        </w:tc>
        <w:tc>
          <w:tcPr>
            <w:tcW w:type="dxa" w:w="37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in Atana</w:t>
            </w:r>
          </w:p>
        </w:tc>
      </w:tr>
    </w:tbl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10. Security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Zero secrets in Atana-IM-Tasks.html. Conditional access for people; managed identity for workers. Separate app registrations per adapter pattern. Project roles remain IA, PR, TTIM, TTM, DTL, PDM, IM, DM plus org/sys admin. Connectors write only mapped fields. Audit already specified: who, when, why, old, new. PII from Entra is not copied into twin telemetry. Optional CMEK. Supplier access is time-boxed and cannot edit catalogues.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11. Conflict, offline, version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1. The field map says which system may write the field. 2. If two writes land, open a ConflictRecord and keep both values. 3. IM accepts one; the other is archived. 4. After handover, operating fields may use opsWinsAfterHandover. Offline capture is observations only. Contracts version additively; a breaking change is a new .v2 event type. Each accepted gate produces an immutable aimSnapshotId.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12. Implementation roadmap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4146"/>
      </w:tblGrid>
      <w:tr>
        <w:trPr>
          <w:tblHeader/>
        </w:trP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Scope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3E0B3B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Exit criterion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0 Done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HTML tool + in-memory KGE 3.6.1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Graph/Decide answers the Fire Rating walk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1 Next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Bindings API, CloudEvents, ACC/Docs read, SharePoint read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MIDP row shows live CDE version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pyRevit observation push + IDS run store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D-02 missing Fire Rating arrives from the model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Teams, Power Automate, Power BI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Gate card and dataset match Atana percent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Maximo / CMMS + ERP tags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Accepted AIM creates dual-key asset</w:t>
            </w:r>
          </w:p>
        </w:tc>
      </w:tr>
      <w:tr>
        <w:tc>
          <w:tcPr>
            <w:tcW w:type="dxa" w:w="14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snapshot + Foundry tools</w:t>
            </w:r>
          </w:p>
        </w:tc>
        <w:tc>
          <w:tcPr>
            <w:tcW w:type="dxa" w:w="4146"/>
            <w:tcBorders>
              <w:top w:val="single" w:color="C9BDC8" w:sz="4"/>
              <w:left w:val="single" w:color="C9BDC8" w:sz="4"/>
              <w:bottom w:val="single" w:color="C9BDC8" w:sz="4"/>
              <w:right w:val="single" w:color="C9BDC8" w:sz="4"/>
            </w:tcBorders>
            <w:shd w:fill="F7F5F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41220"/>
                <w:sz w:val="16"/>
                <w:szCs w:val="16"/>
              </w:rPr>
              <w:t xml:space="preserve">Twin id = asset id; Copilot cites graph</w:t>
            </w:r>
          </w:p>
        </w:tc>
      </w:tr>
    </w:tbl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Parked and not in this wave: ACC/SharePoint write-back inside the HTML file, live twin UI, multi-agent product, executive command center UI. Wave 1 does not write bytes into a CDE unless the IM enables naming.enforce on that project.</w:t>
      </w:r>
    </w:p>
    <w:p>
      <w:pPr>
        <w:pStyle w:val="Heading1"/>
        <w:pBdr>
          <w:bottom w:val="single" w:color="847918" w:sz="1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3E0B3B"/>
          <w:sz w:val="32"/>
          <w:szCs w:val="32"/>
        </w:rPr>
        <w:t xml:space="preserve">13. Why this is the leap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Atana is already the system of intelligence for a single project. Horizontal integration is where that intelligence either governs the estate or becomes a sidecar spreadsheet. The rule that prevents the sidecar is simple: one master per field, events instead of nightly guesswork, and conflicts made visible to the Information Manager instead of overwritten.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41220"/>
          <w:sz w:val="21"/>
          <w:szCs w:val="21"/>
        </w:rPr>
        <w:t xml:space="preserve">Recommended next product prompts after Wave 1 is running: Executive Command Center, Portfolio Intelligence, Multi-Agent Atana, Digital Twin Strategy, Atana Copilot grounded on /v1/ask. None of those replace this fabric; they consume it.</w:t>
      </w:r>
    </w:p>
    <w:sectPr>
      <w:headerReference w:type="default" r:id="rId7"/>
      <w:footerReference w:type="default" r:id="rId8"/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Confidential  ·  Implementation architecture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7A6B79"/>
        <w:sz w:val="16"/>
        <w:szCs w:val="16"/>
      </w:rPr>
      <w:t xml:space="preserve">Page </w:t>
    </w:r>
    <w:r>
      <w:rPr>
        <w:rFonts w:ascii="Calibri" w:cs="Calibri" w:eastAsia="Calibri" w:hAnsi="Calibri"/>
        <w:color w:val="7A6B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746"/>
      </w:tabs>
    </w:pPr>
    <w:r>
      <w:rPr>
        <w:rFonts w:ascii="Calibri" w:cs="Calibri" w:eastAsia="Calibri" w:hAnsi="Calibri"/>
        <w:color w:val="7A6B79"/>
        <w:sz w:val="16"/>
        <w:szCs w:val="16"/>
      </w:rPr>
      <w:t xml:space="preserve">Atana  ·  Ecosystem Architecture v1.0</w:t>
    </w:r>
    <w:r>
      <w:rPr>
        <w:rFonts w:ascii="Calibri" w:cs="Calibri" w:eastAsia="Calibri" w:hAnsi="Calibri"/>
        <w:color w:val="847918"/>
        <w:sz w:val="16"/>
        <w:szCs w:val="16"/>
      </w:rPr>
      <w:t xml:space="preserve">	Information Lifecycle 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3E0B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3E0B3B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60365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67B6AAA-7D42-4135-909E-E1F1478B5763}"/>
</file>

<file path=customXml/itemProps2.xml><?xml version="1.0" encoding="utf-8"?>
<ds:datastoreItem xmlns:ds="http://schemas.openxmlformats.org/officeDocument/2006/customXml" ds:itemID="{FC30B3CF-ED8D-4C72-995C-545E0C6CC08B}"/>
</file>

<file path=customXml/itemProps3.xml><?xml version="1.0" encoding="utf-8"?>
<ds:datastoreItem xmlns:ds="http://schemas.openxmlformats.org/officeDocument/2006/customXml" ds:itemID="{0215BE4B-7920-4B5B-B99A-0A2F28D53A53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Atana Ecosystem Architecture v1.0</dc:title>
  <dc:creator>Atana</dc:creator>
  <dc:description>Horizontal integration architecture for the Atana Information Lifecycle Operating System</dc:description>
  <cp:lastModifiedBy>Un-named</cp:lastModifiedBy>
  <cp:revision>1</cp:revision>
  <dcterms:created xsi:type="dcterms:W3CDTF">2026-08-31T19:27:00Z</dcterms:created>
  <dcterms:modified xsi:type="dcterms:W3CDTF">2026-08-31T19:27:00Z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