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4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Implementation Architecture v1.0</w:t>
      </w:r>
    </w:p>
    <w:p>
      <w:pPr>
        <w:spacing w:after="12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Stack, events, tenancy, Azure, warehouse, engines. Business rules are frozen. 31 August 2026.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Companions: Platform Specification, Architecture Pack, Schema v1.1, JSON Schemas, Backlog xlsx, Mermaid diagrams.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0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MVP (now)</w:t>
            </w:r>
          </w:p>
        </w:tc>
        <w:tc>
          <w:tcPr>
            <w:tcW w:type="dxa" w:w="4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Client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Single-file PWA, IndexedDB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UI against REST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(in-browser engine)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Azure Container Apps / App Service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DB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Browser JSON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PostgreSQL 16 Flexible Server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Identity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Role switcher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Entra ID + app roles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Jobs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thread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Container Apps jobs / Service Bus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Files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Local / ACC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Blob + ACC remains CDE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Secrets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Avoid in client</w:t>
            </w:r>
          </w:p>
        </w:tc>
        <w:tc>
          <w:tcPr>
            <w:tcW w:type="dxa" w:w="4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Key Vault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BI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In-app charts</w:t>
            </w:r>
          </w:p>
        </w:tc>
        <w:tc>
          <w:tcPr>
            <w:tcW w:type="dxa" w:w="4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Power BI on replica views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introduce Kafka, Neo4j or a second OLTP store in Phase 2. PostgreSQL + JSONB + views is enough.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Multi-tenant and security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 = organisation. SET atana.org_id and atana.user_id on every connection.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Row Level Security on project-scoped tables (schema v1.1). Platform admin bypass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Authorization still FRRM: role + authority + object Ro + state. RLS is not a substitute.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APS tokens never in localStorage long-term once the API exists; broker in the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Audit via atana_write_audit on refine and transition.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Event-driven architecture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4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Publisher</w:t>
            </w:r>
          </w:p>
        </w:tc>
        <w:tc>
          <w:tcPr>
            <w:tcW w:type="dxa" w:w="4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Consumers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ProjectCreated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analytics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ScopeUpdated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atana-project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 cache invalidate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 / API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atana-engine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engine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 UI, audit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DeliverableRefined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register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audit, TIDP export cache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WorkflowTransitioned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compare, notify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CdeSyncRequested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UI</w:t>
            </w:r>
          </w:p>
        </w:tc>
        <w:tc>
          <w:tcPr>
            <w:tcW w:type="dxa" w:w="4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 worker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CdeSyncCompleted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</w:t>
            </w:r>
          </w:p>
        </w:tc>
        <w:tc>
          <w:tcPr>
            <w:tcW w:type="dxa" w:w="4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compare, audit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Transport Phase 2: Azure Service Bus topics. Until then, in-process functions. Outbound webhooks later for Power Automate (parking lot).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Microservices (when to split)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Keep one API process through Phase 2. Split only when a worker needs independent scale: engine generation and CDE sync. Identity stays in the same API until Entra is live. Never split numbering into its own service.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Engines (executable contracts)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8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 / API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Rule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+ stage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 + packages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POST /generation-runs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Fired subjects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Package + items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inside generation job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Naming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Tokens + project labels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pure function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Numbering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orig+role+FB+SL+form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4-digit series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atana_next_number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IR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type + gate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fields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stamp on insert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Workflow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del_id + to_state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transition + audit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atana_transition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generation_run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/midp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 + ro_code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filtered rows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/tidp/{team}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FRRM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assignments + matrix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RACI workbook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GET /raci.xlsx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</w:t>
            </w:r>
          </w:p>
        </w:tc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mutation</w:t>
            </w:r>
          </w:p>
        </w:tc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audit_log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atana_write_audit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version pin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immutable rules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catalogue_versions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Azure landing zone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Resource group per environment (dev/test/prod).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Static Web App or Blob+CDN for PWA. App Service / Container Apps for 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PostgreSQL Flexible Server private endpoint. Read replica for BI.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Key Vault: APS client secret, DB connection, Entra app secret.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Application Insights + Log Analytics. No secrets in traces.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GitHub Actions: build static + migrate schema (flyway or sqitch later).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ACC remains external. SharePoint only for settings JSON and static host if chosen.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Data warehouse and Power BI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Do not copy OLTP into a warehouse in MVP. Phase 3: nightly copy of vw_midp_active and vw_package_counts to a reporting schema or Fabric lake. Power BI semantic model uses those views. KPIs are readiness and state counts, not drawing counts.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Knowledge graph (v1 meaning)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graph is relational: FB–Package–Deliverable–IR–Dependency. Query with SQL joins. A graph database is parking-lot Phase 3/Enterprise. Copilot tools call the same REST resources.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9. Admin and rule authoring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Admin console = current Settings + Templates + Governance panel, backed by catalogue APIs. Rule authoring in Phase 2 is CRUD on rules with version + approve. Do not build a visual decision-tree designer before the table editor works.</w:t>
      </w:r>
    </w:p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10. Deployment units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Contains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atana-web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PWA + spec files + framework HTML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atana-api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REST, RLS session GUCs, generation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atana-cde-worker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FORMA crawl + reviews map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atana-db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Schema v1.1 + seeds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pyRevit pack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Sync + Classify (existing)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80" w:before="2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11. Backlog mapping</w:t>
      </w:r>
    </w:p>
    <w:p>
      <w:pPr>
        <w:spacing w:after="12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Work items live in Atana-Backlog-AzureDevOps-v1.xlsx. Import the ADO import sheet. MVP is wizard persist, engine, generated MIDP/TIDP, numbering restart, CDE compare, Revit JSON. Phase 2 is Entra, jobs, workflow transitions, version pin, audit RLS. Phase 3 is BI and read-only Copilot. Parking lot sheet is explicit unfinished BIM depth — do not pull it into MVP.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Implementation Architecture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8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3246B24-4A81-45C2-B9F5-0ECD89F495F2}"/>
</file>

<file path=customXml/itemProps2.xml><?xml version="1.0" encoding="utf-8"?>
<ds:datastoreItem xmlns:ds="http://schemas.openxmlformats.org/officeDocument/2006/customXml" ds:itemID="{5B76092C-3DE6-432C-A3BD-9F2CED386BE7}"/>
</file>

<file path=customXml/itemProps3.xml><?xml version="1.0" encoding="utf-8"?>
<ds:datastoreItem xmlns:ds="http://schemas.openxmlformats.org/officeDocument/2006/customXml" ds:itemID="{45EE8F59-1ED0-4912-9F4E-368960B5AD3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2026-08-31T10:26:46Z</dcterms:created>
  <dcterms:modified xsi:type="dcterms:W3CDTF">2026-08-31T10:26:46Z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