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847918"/>
          <w:sz w:val="22"/>
          <w:szCs w:val="22"/>
        </w:rPr>
        <w:t xml:space="preserve">ATANA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E0B3B"/>
          <w:sz w:val="44"/>
          <w:szCs w:val="44"/>
        </w:rPr>
        <w:t xml:space="preserve">Executive Command Center</w:t>
      </w:r>
    </w:p>
    <w:p>
      <w:pPr>
        <w:spacing w:after="140" w:before="0" w:line="276"/>
      </w:pPr>
      <w:r>
        <w:rPr>
          <w:rFonts w:ascii="Calibri" w:cs="Calibri" w:eastAsia="Calibri" w:hAnsi="Calibri"/>
          <w:i/>
          <w:iCs/>
          <w:color w:val="7A6B79"/>
          <w:sz w:val="22"/>
          <w:szCs w:val="22"/>
        </w:rPr>
        <w:t xml:space="preserve">Implementation module  ·  atana-ecc v1.0  ·  31 August 2026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A single version of the truth for project, portfolio, information, asset, operational and twin readiness. Engines are not redesigned. ECC consumes them. The HTML IM tool remains the console. ECC is a separate React + Fluent app.</w:t>
      </w:r>
    </w:p>
    <w:p>
      <w:pPr>
        <w:pStyle w:val="Heading1"/>
        <w:pBdr>
          <w:bottom w:val="single" w:color="847918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1. Architecture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Personas → ECC React (Fluent) → APIM → ECC API, domain API, Neo4j GraphQL, Power BI embedded, Azure OpenAI. OLTP PDS emits events into ecc_* snapshot tables. Power BI measures must equal SQL scores. Drift is a defect. ECC is System of Engagement + Intelligence. It is not a new System of Record.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Routes: / executive landing, /portfolio, /projects/{id} with information|assets|twin|risk|graph, /insights, /watchlists, /admin/scores.</w:t>
      </w:r>
    </w:p>
    <w:p>
      <w:pPr>
        <w:pStyle w:val="Heading1"/>
        <w:pBdr>
          <w:bottom w:val="single" w:color="847918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2. Scoring — measurable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AIM% = present / required at LOI(stage). Same as atnAimScore. LOI S1/S2=2, S3=3, S4=4, S5/S6=5. Stage 4 gate default 95%. Bands: Green ≥85, Amber 70–84, Red &lt;70. Stage readiness is Red below the gate even if other scores are green. Average numbers, then band. Never average colours.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Score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Formula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Information Health IH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0.15 OIR + 0.15 PIR + 0.15 EIR + 0.20 AIR + 0.20 AIM + 0.15 IDS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Compliance CS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IDS pass / IDS required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Delivery Health DH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0.40 on-time + 0.30 published + 0.30 packages clear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Stage Readiness RS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0.50 AIM + 0.30 published + 0.20 IDS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Operational Readiness OR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0.40 AIM@LOI5 + 0.20 CMMS bind + 0.20 twin bind + 0.20 ops docs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Twin Readiness TR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0.25 identity + 0.25 IFC + 0.20 COBie + 0.20 AIM + 0.10 bind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Project Health PH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0.30 IH + 0.25 DH + 0.20 CS + 0.15 (100*(1−risk)) + 0.10 workflow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Portfolio Health PoH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Weighted average of PH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Asset Health AH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present / required on that asset</w:t>
            </w:r>
          </w:p>
        </w:tc>
      </w:tr>
      <w:tr>
        <w:tc>
          <w:tcPr>
            <w:tcW w:type="dxa" w:w="28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Forecast delay days</w:t>
            </w:r>
          </w:p>
        </w:tc>
        <w:tc>
          <w:tcPr>
            <w:tcW w:type="dxa" w:w="69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0.5 historical slip + 0.3×14×(1−RS/100) + 0.2×7×P1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risk_idx = min(1, (3·P1 + 2·P2 + P3) / 12). Weights live in ecc.score_weight and are ORGADMIN-versioned.</w:t>
      </w:r>
    </w:p>
    <w:p>
      <w:pPr>
        <w:pStyle w:val="Heading1"/>
        <w:pBdr>
          <w:bottom w:val="single" w:color="847918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3. Personas and boards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146"/>
      </w:tblGrid>
      <w:tr>
        <w:trPr>
          <w:tblHeader/>
        </w:trP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Home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Acts on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Executive / Portfolio / Programme</w:t>
            </w:r>
          </w:p>
        </w:tc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Executive, Portfolio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Intervention, lessons, programme gate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Director / PM / PDM / Construction</w:t>
            </w:r>
          </w:p>
        </w:tc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Project, Risk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Gate, reassign, lock package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Client / IM</w:t>
            </w:r>
          </w:p>
        </w:tc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Information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EIR variation, IDS, conflicts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Asset Owner / FM / Maintenance</w:t>
            </w:r>
          </w:p>
        </w:tc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Asset readiness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AIM accept deep-link, WO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Ops / Twin manager</w:t>
            </w:r>
          </w:p>
        </w:tc>
        <w:tc>
          <w:tcPr>
            <w:tcW w:type="dxa" w:w="24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Twin + Asset</w:t>
            </w:r>
          </w:p>
        </w:tc>
        <w:tc>
          <w:tcPr>
            <w:tcW w:type="dxa" w:w="4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Snapshot, opsWins, identity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Fourteen personas are fully specified in docs/COMMAND-CENTER.md and the KPI workbook (objectives, KPIs, actions, alerts). Alerts consume existing domain events plus ecc.score.dropped.v1.</w:t>
      </w:r>
    </w:p>
    <w:p>
      <w:pPr>
        <w:pStyle w:val="Heading1"/>
        <w:pBdr>
          <w:bottom w:val="single" w:color="847918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4. Eight dashboards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Executive: PoH, red projects, P1, OIR coverage, heat map, copilot dock. Portfolio: project × score matrix, team performance, filters. Project: PH hero, IH/DH/CS/RS/AIM/IDS/blocked/P1, MIDP and workflow tabs. Asset readiness: per-asset AH and missing attributes. Information: OIR→PIR→EIR→AIR→AIM→IDS waterfall. Twin: identity, IFC, COBie, AIM, bind. Risk: P1–P3 plus forecast. AI insights: Decide queue only — classes E/F never auto-apply.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Graph widgets embed why() and impact() on any board. Recovery plan is the existing ask contract.</w:t>
      </w:r>
    </w:p>
    <w:p>
      <w:pPr>
        <w:pStyle w:val="Heading1"/>
        <w:pBdr>
          <w:bottom w:val="single" w:color="847918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5. Copilot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POST /v1/ecc/ask wraps /v1/ask with snapshot context. Grounding order: scores → graph → named queries → Decide. Citations show node ids.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Question</w:t>
            </w:r>
          </w:p>
        </w:tc>
        <w:tc>
          <w:tcPr>
            <w:tcW w:type="dxa" w:w="6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Resolver</w:t>
            </w:r>
          </w:p>
        </w:tc>
      </w:tr>
      <w:tr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Show all projects at risk</w:t>
            </w:r>
          </w:p>
        </w:tc>
        <w:tc>
          <w:tcPr>
            <w:tcW w:type="dxa" w:w="6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PH&lt;70 or P1&gt;0</w:t>
            </w:r>
          </w:p>
        </w:tc>
      </w:tr>
      <w:tr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Behind schedule</w:t>
            </w:r>
          </w:p>
        </w:tc>
        <w:tc>
          <w:tcPr>
            <w:tcW w:type="dxa" w:w="6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forecast delay or on-time &lt; 0.85</w:t>
            </w:r>
          </w:p>
        </w:tc>
      </w:tr>
      <w:tr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Assets not operationally ready</w:t>
            </w:r>
          </w:p>
        </w:tc>
        <w:tc>
          <w:tcPr>
            <w:tcW w:type="dxa" w:w="6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AH below gate or OR component missing</w:t>
            </w:r>
          </w:p>
        </w:tc>
      </w:tr>
      <w:tr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Top information risks</w:t>
            </w:r>
          </w:p>
        </w:tc>
        <w:tc>
          <w:tcPr>
            <w:tcW w:type="dxa" w:w="6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IDS fail + unsatisfied EIR/AIR</w:t>
            </w:r>
          </w:p>
        </w:tc>
      </w:tr>
      <w:tr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Low compliance cause</w:t>
            </w:r>
          </w:p>
        </w:tc>
        <w:tc>
          <w:tcPr>
            <w:tcW w:type="dxa" w:w="6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IDS fail grouped by template</w:t>
            </w:r>
          </w:p>
        </w:tc>
      </w:tr>
      <w:tr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Recovery plan Stage 4</w:t>
            </w:r>
          </w:p>
        </w:tc>
        <w:tc>
          <w:tcPr>
            <w:tcW w:type="dxa" w:w="6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Existing recover answer</w:t>
            </w:r>
          </w:p>
        </w:tc>
      </w:tr>
      <w:tr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OIR to AIM traceability</w:t>
            </w:r>
          </w:p>
        </w:tc>
        <w:tc>
          <w:tcPr>
            <w:tcW w:type="dxa" w:w="6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why(asset|attr)</w:t>
            </w:r>
          </w:p>
        </w:tc>
      </w:tr>
      <w:tr>
        <w:tc>
          <w:tcPr>
            <w:tcW w:type="dxa" w:w="36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Highest information maturity</w:t>
            </w:r>
          </w:p>
        </w:tc>
        <w:tc>
          <w:tcPr>
            <w:tcW w:type="dxa" w:w="61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max IH</w:t>
            </w:r>
          </w:p>
        </w:tc>
      </w:tr>
    </w:tbl>
    <w:p>
      <w:pPr>
        <w:pStyle w:val="Heading1"/>
        <w:pBdr>
          <w:bottom w:val="single" w:color="847918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6. Power BI and data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Facts: project score, asset score, requirement coverage, deliverable status, risk, forecast. Dims: date, org, portfolio, project, stage, team, asset type, persona, score version. Measures named exactly as kpi_id. RLS via ecc.acl and Entra. Schema ecc in Atana-ECC-Analytics.sql is append-only by as_of.</w:t>
      </w:r>
    </w:p>
    <w:p>
      <w:pPr>
        <w:pStyle w:val="Heading1"/>
        <w:pBdr>
          <w:bottom w:val="single" w:color="847918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7. API and security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/v1/ecc/scores/portfolios/{id}, /scores/projects/{id}, /scores/projects/{id}/assets, /kpis, /snapshots, /watchlists, /ask, /graph/why|impact, /insights, /alerts. Scopes atana.ecc.read and atana.ecc.watchlist.write. Investment measures hidden without ERP binding + exec persona. Snapshot freeze is an IM audit event.</w:t>
      </w:r>
    </w:p>
    <w:p>
      <w:pPr>
        <w:pStyle w:val="Heading1"/>
        <w:pBdr>
          <w:bottom w:val="single" w:color="847918" w:sz="12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3E0B3B"/>
          <w:sz w:val="32"/>
          <w:szCs w:val="32"/>
        </w:rPr>
        <w:t xml:space="preserve">8. Stack and roadmap</w:t>
      </w:r>
    </w:p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React + Fluent UI, .NET 9, PostgreSQL, Power BI, Neo4j, Azure OpenAI, Azure AI Search, Azure. Widget library: ScoreHero, RagChip, KpiStrip, HeatMatrix, WaterfallReq, AssetTable, RiskList, ForecastSpark, GraphWhy, GraphImpact, CopilotDock, ActionQueue, GateBanner. Tokens: purple/gold/paper already used in the IM tool.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Wave</w:t>
            </w:r>
          </w:p>
        </w:tc>
        <w:tc>
          <w:tcPr>
            <w:tcW w:type="dxa" w:w="6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3E0B3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Exit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C0 SQL scores</w:t>
            </w:r>
          </w:p>
        </w:tc>
        <w:tc>
          <w:tcPr>
            <w:tcW w:type="dxa" w:w="6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AIM% in SQL equals atnAimScore on the seed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C1 API + React project page</w:t>
            </w:r>
          </w:p>
        </w:tc>
        <w:tc>
          <w:tcPr>
            <w:tcW w:type="dxa" w:w="6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Director sees PH/IH/AIM/IDS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C2 Portfolio + Executive + PBI model</w:t>
            </w:r>
          </w:p>
        </w:tc>
        <w:tc>
          <w:tcPr>
            <w:tcW w:type="dxa" w:w="6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PoH matches API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C3 Asset, Information, Risk</w:t>
            </w:r>
          </w:p>
        </w:tc>
        <w:tc>
          <w:tcPr>
            <w:tcW w:type="dxa" w:w="6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Waterfall OIR→AIM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C4 Graph widgets + Copilot dock</w:t>
            </w:r>
          </w:p>
        </w:tc>
        <w:tc>
          <w:tcPr>
            <w:tcW w:type="dxa" w:w="6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Blocking Stage 4 cites graph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C5 Twin + Ops boards</w:t>
            </w:r>
          </w:p>
        </w:tc>
        <w:tc>
          <w:tcPr>
            <w:tcW w:type="dxa" w:w="6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7F5F6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TR visible without a live twin</w:t>
            </w:r>
          </w:p>
        </w:tc>
      </w:tr>
      <w:tr>
        <w:tc>
          <w:tcPr>
            <w:tcW w:type="dxa" w:w="3200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C6 Watchlists, freeze, PBI RLS</w:t>
            </w:r>
          </w:p>
        </w:tc>
        <w:tc>
          <w:tcPr>
            <w:tcW w:type="dxa" w:w="6546"/>
            <w:tcBorders>
              <w:top w:val="single" w:color="C9BDC8" w:sz="4"/>
              <w:left w:val="single" w:color="C9BDC8" w:sz="4"/>
              <w:bottom w:val="single" w:color="C9BDC8" w:sz="4"/>
              <w:right w:val="single" w:color="C9BDC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41220"/>
                <w:sz w:val="14"/>
                <w:szCs w:val="14"/>
              </w:rPr>
              <w:t xml:space="preserve">Audit pack includes frozen scores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241220"/>
          <w:sz w:val="21"/>
          <w:szCs w:val="21"/>
        </w:rPr>
        <w:t xml:space="preserve">AIM accept is not performed inside ECC. Deep-link to the IM tool or domain API with the Asset Owner seat. Multi-Agent and a live twin are not prerequisites for C1–C4.</w:t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Calibri" w:cs="Calibri" w:eastAsia="Calibri" w:hAnsi="Calibri"/>
        <w:color w:val="7A6B79"/>
        <w:sz w:val="16"/>
        <w:szCs w:val="16"/>
      </w:rPr>
      <w:t xml:space="preserve">Module spec  ·  consumes engines, does not replace them</w:t>
    </w:r>
    <w:r>
      <w:rPr>
        <w:rFonts w:ascii="Calibri" w:cs="Calibri" w:eastAsia="Calibri" w:hAnsi="Calibri"/>
        <w:color w:val="7A6B79"/>
        <w:sz w:val="16"/>
        <w:szCs w:val="16"/>
      </w:rPr>
      <w:t xml:space="preserve">	Page </w:t>
    </w:r>
    <w:r>
      <w:rPr>
        <w:rFonts w:ascii="Calibri" w:cs="Calibri" w:eastAsia="Calibri" w:hAnsi="Calibri"/>
        <w:color w:val="7A6B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7A6B79"/>
        <w:sz w:val="16"/>
        <w:szCs w:val="16"/>
      </w:rPr>
      <w:t xml:space="preserve">Atana  ·  Executive Command Center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3E0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3E0B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3AE2BAD2C6FA4D8B4D95CE89FC31A3" ma:contentTypeVersion="8" ma:contentTypeDescription="Create a new document." ma:contentTypeScope="" ma:versionID="a2ce85c62cd7e9a608298e998330aeb7">
  <xsd:schema xmlns:xsd="http://www.w3.org/2001/XMLSchema" xmlns:xs="http://www.w3.org/2001/XMLSchema" xmlns:p="http://schemas.microsoft.com/office/2006/metadata/properties" xmlns:ns2="ae81e17b-11c2-44ae-89e9-9ad5f5ff8880" targetNamespace="http://schemas.microsoft.com/office/2006/metadata/properties" ma:root="true" ma:fieldsID="1504f635df8bfa7d9525024d2d10bc95" ns2:_="">
    <xsd:import namespace="ae81e17b-11c2-44ae-89e9-9ad5f5ff88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81e17b-11c2-44ae-89e9-9ad5f5ff8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ac2493-9f1f-4345-86a0-c36146f38f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81e17b-11c2-44ae-89e9-9ad5f5ff8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74462B-EB88-49F0-AC41-9746EE957D45}"/>
</file>

<file path=customXml/itemProps2.xml><?xml version="1.0" encoding="utf-8"?>
<ds:datastoreItem xmlns:ds="http://schemas.openxmlformats.org/officeDocument/2006/customXml" ds:itemID="{F93BF435-783B-456D-B626-FC9AA545DE7D}"/>
</file>

<file path=customXml/itemProps3.xml><?xml version="1.0" encoding="utf-8"?>
<ds:datastoreItem xmlns:ds="http://schemas.openxmlformats.org/officeDocument/2006/customXml" ds:itemID="{130D0842-91CE-466D-AABE-58E75C45D63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Atana Executive Command Center v1.0</dc:title>
  <dc:creator>Atana</dc:creator>
  <cp:lastModifiedBy>Un-named</cp:lastModifiedBy>
  <cp:revision>1</cp:revision>
  <dcterms:created xsi:type="dcterms:W3CDTF">2026-08-31T19:54:24Z</dcterms:created>
  <dcterms:modified xsi:type="dcterms:W3CDTF">2026-08-31T19:54:24Z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0x0101008E3AE2BAD2C6FA4D8B4D95CE89FC31A3</vt:lpwstr>
  </property>
</Properties>
</file>