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76"/>
      </w:pPr>
      <w:r>
        <w:rPr>
          <w:rFonts w:ascii="Arial" w:cs="Arial" w:eastAsia="Arial" w:hAnsi="Arial"/>
          <w:b/>
          <w:bCs/>
          <w:color w:val="5B2D8E"/>
          <w:sz w:val="40"/>
          <w:szCs w:val="40"/>
        </w:rPr>
        <w:t xml:space="preserve">ATANA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Implementation Architecture v1.0</w:t>
      </w:r>
    </w:p>
    <w:p>
      <w:pPr>
        <w:spacing w:after="120" w:line="276"/>
      </w:pPr>
      <w:r>
        <w:rPr>
          <w:rFonts w:ascii="Arial" w:cs="Arial" w:eastAsia="Arial" w:hAnsi="Arial"/>
          <w:color w:val="57534E"/>
          <w:sz w:val="20"/>
          <w:szCs w:val="20"/>
        </w:rPr>
        <w:t xml:space="preserve">Stack, events, tenancy, Azure, warehouse, engines. Business rules are frozen. 31 August 2026.</w:t>
      </w:r>
    </w:p>
    <w:p>
      <w:pPr>
        <w:spacing w:after="120" w:line="276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Companions: Platform Specification, Architecture Pack, Schema v1.1, JSON Schemas, Backlog xlsx, Mermaid diagrams.</w:t>
      </w:r>
    </w:p>
    <w:p>
      <w:pPr>
        <w:pStyle w:val="Heading1"/>
        <w:pBdr>
          <w:bottom w:val="single" w:color="5B2D8E" w:sz="12" w:space="4"/>
        </w:pBdr>
        <w:spacing w:after="80" w:before="2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1. Technology stack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4000"/>
      </w:tblGrid>
      <w:tr>
        <w:tc>
          <w:tcPr>
            <w:tcW w:type="dxa" w:w="2000"/>
            <w:shd w:fill="5B2D8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600"/>
            <w:shd w:fill="5B2D8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MVP (now)</w:t>
            </w:r>
          </w:p>
        </w:tc>
        <w:tc>
          <w:tcPr>
            <w:tcW w:type="dxa" w:w="4000"/>
            <w:shd w:fill="5B2D8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Client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Single-file PWA, IndexedDB</w:t>
            </w:r>
          </w:p>
        </w:tc>
        <w:tc>
          <w:tcPr>
            <w:tcW w:type="dxa" w:w="4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Same UI against REST</w:t>
            </w:r>
          </w:p>
        </w:tc>
      </w:tr>
      <w:tr>
        <w:tc>
          <w:tcPr>
            <w:tcW w:type="dxa" w:w="20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API</w:t>
            </w:r>
          </w:p>
        </w:tc>
        <w:tc>
          <w:tcPr>
            <w:tcW w:type="dxa" w:w="36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None (in-browser engine)</w:t>
            </w:r>
          </w:p>
        </w:tc>
        <w:tc>
          <w:tcPr>
            <w:tcW w:type="dxa" w:w="40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Azure Container Apps / App Service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DB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Browser JSON</w:t>
            </w:r>
          </w:p>
        </w:tc>
        <w:tc>
          <w:tcPr>
            <w:tcW w:type="dxa" w:w="4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PostgreSQL 16 Flexible Server</w:t>
            </w:r>
          </w:p>
        </w:tc>
      </w:tr>
      <w:tr>
        <w:tc>
          <w:tcPr>
            <w:tcW w:type="dxa" w:w="20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Identity</w:t>
            </w:r>
          </w:p>
        </w:tc>
        <w:tc>
          <w:tcPr>
            <w:tcW w:type="dxa" w:w="36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Role switcher</w:t>
            </w:r>
          </w:p>
        </w:tc>
        <w:tc>
          <w:tcPr>
            <w:tcW w:type="dxa" w:w="40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Entra ID + app roles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Jobs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UI thread</w:t>
            </w:r>
          </w:p>
        </w:tc>
        <w:tc>
          <w:tcPr>
            <w:tcW w:type="dxa" w:w="4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Container Apps jobs / Service Bus</w:t>
            </w:r>
          </w:p>
        </w:tc>
      </w:tr>
      <w:tr>
        <w:tc>
          <w:tcPr>
            <w:tcW w:type="dxa" w:w="20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Files</w:t>
            </w:r>
          </w:p>
        </w:tc>
        <w:tc>
          <w:tcPr>
            <w:tcW w:type="dxa" w:w="36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Local / ACC</w:t>
            </w:r>
          </w:p>
        </w:tc>
        <w:tc>
          <w:tcPr>
            <w:tcW w:type="dxa" w:w="40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Blob + ACC remains CDE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Secrets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Avoid in client</w:t>
            </w:r>
          </w:p>
        </w:tc>
        <w:tc>
          <w:tcPr>
            <w:tcW w:type="dxa" w:w="4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Key Vault</w:t>
            </w:r>
          </w:p>
        </w:tc>
      </w:tr>
      <w:tr>
        <w:tc>
          <w:tcPr>
            <w:tcW w:type="dxa" w:w="20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BI</w:t>
            </w:r>
          </w:p>
        </w:tc>
        <w:tc>
          <w:tcPr>
            <w:tcW w:type="dxa" w:w="36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In-app charts</w:t>
            </w:r>
          </w:p>
        </w:tc>
        <w:tc>
          <w:tcPr>
            <w:tcW w:type="dxa" w:w="40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Power BI on replica views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Do not introduce Kafka, Neo4j or a second OLTP store in Phase 2. PostgreSQL + JSONB + views is enough.</w:t>
      </w:r>
    </w:p>
    <w:p>
      <w:pPr>
        <w:pStyle w:val="Heading1"/>
        <w:pBdr>
          <w:bottom w:val="single" w:color="5B2D8E" w:sz="12" w:space="4"/>
        </w:pBdr>
        <w:spacing w:after="80" w:before="2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2. Multi-tenant and security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Tenant = organisation. SET atana.org_id and atana.user_id on every connection.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Row Level Security on project-scoped tables (schema v1.1). Platform admin bypass only.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Authorization still FRRM: role + authority + object Ro + state. RLS is not a substitute.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APS tokens never in localStorage long-term once the API exists; broker in the API.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Audit via atana_write_audit on refine and transition.</w:t>
      </w:r>
    </w:p>
    <w:p>
      <w:pPr>
        <w:pStyle w:val="Heading1"/>
        <w:pBdr>
          <w:bottom w:val="single" w:color="5B2D8E" w:sz="12" w:space="4"/>
        </w:pBdr>
        <w:spacing w:after="80" w:before="2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3. Event-driven architecture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400"/>
      </w:tblGrid>
      <w:tr>
        <w:tc>
          <w:tcPr>
            <w:tcW w:type="dxa" w:w="2800"/>
            <w:shd w:fill="5B2D8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400"/>
            <w:shd w:fill="5B2D8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Publisher</w:t>
            </w:r>
          </w:p>
        </w:tc>
        <w:tc>
          <w:tcPr>
            <w:tcW w:type="dxa" w:w="4400"/>
            <w:shd w:fill="5B2D8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Consumers</w:t>
            </w:r>
          </w:p>
        </w:tc>
      </w:tr>
      <w:tr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ProjectCreated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atana-project</w:t>
            </w:r>
          </w:p>
        </w:tc>
        <w:tc>
          <w:tcPr>
            <w:tcW w:type="dxa" w:w="4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audit, analytics</w:t>
            </w:r>
          </w:p>
        </w:tc>
      </w:tr>
      <w:tr>
        <w:tc>
          <w:tcPr>
            <w:tcW w:type="dxa" w:w="28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ScopeUpdated</w:t>
            </w:r>
          </w:p>
        </w:tc>
        <w:tc>
          <w:tcPr>
            <w:tcW w:type="dxa" w:w="24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atana-project</w:t>
            </w:r>
          </w:p>
        </w:tc>
        <w:tc>
          <w:tcPr>
            <w:tcW w:type="dxa" w:w="44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engine cache invalidate</w:t>
            </w:r>
          </w:p>
        </w:tc>
      </w:tr>
      <w:tr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GenerationRequested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UI / API</w:t>
            </w:r>
          </w:p>
        </w:tc>
        <w:tc>
          <w:tcPr>
            <w:tcW w:type="dxa" w:w="4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atana-engine worker</w:t>
            </w:r>
          </w:p>
        </w:tc>
      </w:tr>
      <w:tr>
        <w:tc>
          <w:tcPr>
            <w:tcW w:type="dxa" w:w="28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GenerationCompleted</w:t>
            </w:r>
          </w:p>
        </w:tc>
        <w:tc>
          <w:tcPr>
            <w:tcW w:type="dxa" w:w="24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engine</w:t>
            </w:r>
          </w:p>
        </w:tc>
        <w:tc>
          <w:tcPr>
            <w:tcW w:type="dxa" w:w="44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register UI, audit</w:t>
            </w:r>
          </w:p>
        </w:tc>
      </w:tr>
      <w:tr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DeliverableRefined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register</w:t>
            </w:r>
          </w:p>
        </w:tc>
        <w:tc>
          <w:tcPr>
            <w:tcW w:type="dxa" w:w="4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audit, TIDP export cache</w:t>
            </w:r>
          </w:p>
        </w:tc>
      </w:tr>
      <w:tr>
        <w:tc>
          <w:tcPr>
            <w:tcW w:type="dxa" w:w="28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WorkflowTransitioned</w:t>
            </w:r>
          </w:p>
        </w:tc>
        <w:tc>
          <w:tcPr>
            <w:tcW w:type="dxa" w:w="24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workflow</w:t>
            </w:r>
          </w:p>
        </w:tc>
        <w:tc>
          <w:tcPr>
            <w:tcW w:type="dxa" w:w="44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CDE compare, notify</w:t>
            </w:r>
          </w:p>
        </w:tc>
      </w:tr>
      <w:tr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CdeSyncRequested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UI</w:t>
            </w:r>
          </w:p>
        </w:tc>
        <w:tc>
          <w:tcPr>
            <w:tcW w:type="dxa" w:w="4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atana-cde worker</w:t>
            </w:r>
          </w:p>
        </w:tc>
      </w:tr>
      <w:tr>
        <w:tc>
          <w:tcPr>
            <w:tcW w:type="dxa" w:w="28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CdeSyncCompleted</w:t>
            </w:r>
          </w:p>
        </w:tc>
        <w:tc>
          <w:tcPr>
            <w:tcW w:type="dxa" w:w="24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cde</w:t>
            </w:r>
          </w:p>
        </w:tc>
        <w:tc>
          <w:tcPr>
            <w:tcW w:type="dxa" w:w="44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compare, audit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Transport Phase 2: Azure Service Bus topics. Until then, in-process functions. Outbound webhooks later for Power Automate (parking lot).</w:t>
      </w:r>
    </w:p>
    <w:p>
      <w:pPr>
        <w:pStyle w:val="Heading1"/>
        <w:pBdr>
          <w:bottom w:val="single" w:color="5B2D8E" w:sz="12" w:space="4"/>
        </w:pBdr>
        <w:spacing w:after="80" w:before="2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4. Microservices (when to split)</w:t>
      </w:r>
    </w:p>
    <w:p>
      <w:pPr>
        <w:spacing w:after="120" w:line="276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Keep one API process through Phase 2. Split only when a worker needs independent scale: engine generation and CDE sync. Identity stays in the same API until Entra is live. Never split numbering into its own service.</w:t>
      </w:r>
    </w:p>
    <w:p>
      <w:pPr>
        <w:pStyle w:val="Heading1"/>
        <w:pBdr>
          <w:bottom w:val="single" w:color="5B2D8E" w:sz="12" w:space="4"/>
        </w:pBdr>
        <w:spacing w:after="80" w:before="2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5. Engines (executable contracts)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600"/>
        <w:gridCol w:w="2800"/>
      </w:tblGrid>
      <w:tr>
        <w:tc>
          <w:tcPr>
            <w:tcW w:type="dxa" w:w="1800"/>
            <w:shd w:fill="5B2D8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</w:t>
            </w:r>
          </w:p>
        </w:tc>
        <w:tc>
          <w:tcPr>
            <w:tcW w:type="dxa" w:w="2400"/>
            <w:shd w:fill="5B2D8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600"/>
            <w:shd w:fill="5B2D8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2800"/>
            <w:shd w:fill="5B2D8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 / API</w:t>
            </w:r>
          </w:p>
        </w:tc>
      </w:tr>
      <w:tr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Rule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Project scope + stage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Fired subjects + packages</w:t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POST /generation-runs</w:t>
            </w:r>
          </w:p>
        </w:tc>
      </w:tr>
      <w:tr>
        <w:tc>
          <w:tcPr>
            <w:tcW w:type="dxa" w:w="18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Package</w:t>
            </w:r>
          </w:p>
        </w:tc>
        <w:tc>
          <w:tcPr>
            <w:tcW w:type="dxa" w:w="24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Fired subjects</w:t>
            </w:r>
          </w:p>
        </w:tc>
        <w:tc>
          <w:tcPr>
            <w:tcW w:type="dxa" w:w="26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Package + items</w:t>
            </w:r>
          </w:p>
        </w:tc>
        <w:tc>
          <w:tcPr>
            <w:tcW w:type="dxa" w:w="28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inside generation job</w:t>
            </w:r>
          </w:p>
        </w:tc>
      </w:tr>
      <w:tr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Naming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Tokens + project labels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pure function</w:t>
            </w:r>
          </w:p>
        </w:tc>
      </w:tr>
      <w:tr>
        <w:tc>
          <w:tcPr>
            <w:tcW w:type="dxa" w:w="18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Numbering</w:t>
            </w:r>
          </w:p>
        </w:tc>
        <w:tc>
          <w:tcPr>
            <w:tcW w:type="dxa" w:w="24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orig+role+FB+SL+form</w:t>
            </w:r>
          </w:p>
        </w:tc>
        <w:tc>
          <w:tcPr>
            <w:tcW w:type="dxa" w:w="26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4-digit series</w:t>
            </w:r>
          </w:p>
        </w:tc>
        <w:tc>
          <w:tcPr>
            <w:tcW w:type="dxa" w:w="28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atana_next_number</w:t>
            </w:r>
          </w:p>
        </w:tc>
      </w:tr>
      <w:tr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IR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type + gate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L1–L4 fields</w:t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stamp on insert</w:t>
            </w:r>
          </w:p>
        </w:tc>
      </w:tr>
      <w:tr>
        <w:tc>
          <w:tcPr>
            <w:tcW w:type="dxa" w:w="18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Workflow</w:t>
            </w:r>
          </w:p>
        </w:tc>
        <w:tc>
          <w:tcPr>
            <w:tcW w:type="dxa" w:w="24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del_id + to_state</w:t>
            </w:r>
          </w:p>
        </w:tc>
        <w:tc>
          <w:tcPr>
            <w:tcW w:type="dxa" w:w="26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transition + audit</w:t>
            </w:r>
          </w:p>
        </w:tc>
        <w:tc>
          <w:tcPr>
            <w:tcW w:type="dxa" w:w="28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atana_transition</w:t>
            </w:r>
          </w:p>
        </w:tc>
      </w:tr>
      <w:tr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MIDP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generation_run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deliverables</w:t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GET /midp</w:t>
            </w:r>
          </w:p>
        </w:tc>
      </w:tr>
      <w:tr>
        <w:tc>
          <w:tcPr>
            <w:tcW w:type="dxa" w:w="18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TIDP</w:t>
            </w:r>
          </w:p>
        </w:tc>
        <w:tc>
          <w:tcPr>
            <w:tcW w:type="dxa" w:w="24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midp + ro_code</w:t>
            </w:r>
          </w:p>
        </w:tc>
        <w:tc>
          <w:tcPr>
            <w:tcW w:type="dxa" w:w="26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filtered rows</w:t>
            </w:r>
          </w:p>
        </w:tc>
        <w:tc>
          <w:tcPr>
            <w:tcW w:type="dxa" w:w="28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GET /tidp/{team}</w:t>
            </w:r>
          </w:p>
        </w:tc>
      </w:tr>
      <w:tr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FRRM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assignments + matrix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RACI workbook</w:t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GET /raci.xlsx</w:t>
            </w:r>
          </w:p>
        </w:tc>
      </w:tr>
      <w:tr>
        <w:tc>
          <w:tcPr>
            <w:tcW w:type="dxa" w:w="18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Audit</w:t>
            </w:r>
          </w:p>
        </w:tc>
        <w:tc>
          <w:tcPr>
            <w:tcW w:type="dxa" w:w="24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mutation</w:t>
            </w:r>
          </w:p>
        </w:tc>
        <w:tc>
          <w:tcPr>
            <w:tcW w:type="dxa" w:w="26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audit_log</w:t>
            </w:r>
          </w:p>
        </w:tc>
        <w:tc>
          <w:tcPr>
            <w:tcW w:type="dxa" w:w="28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atana_write_audit</w:t>
            </w:r>
          </w:p>
        </w:tc>
      </w:tr>
      <w:tr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Catalogue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version pin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immutable rules</w:t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catalogue_versions</w:t>
            </w:r>
          </w:p>
        </w:tc>
      </w:tr>
    </w:tbl>
    <w:p>
      <w:pPr>
        <w:pStyle w:val="Heading1"/>
        <w:pBdr>
          <w:bottom w:val="single" w:color="5B2D8E" w:sz="12" w:space="4"/>
        </w:pBdr>
        <w:spacing w:after="80" w:before="2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6. Azure landing zone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Resource group per environment (dev/test/prod).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Static Web App or Blob+CDN for PWA. App Service / Container Apps for API.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PostgreSQL Flexible Server private endpoint. Read replica for BI.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Key Vault: APS client secret, DB connection, Entra app secret.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Application Insights + Log Analytics. No secrets in traces.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GitHub Actions: build static + migrate schema (flyway or sqitch later).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ACC remains external. SharePoint only for settings JSON and static host if chosen.</w:t>
      </w:r>
    </w:p>
    <w:p>
      <w:pPr>
        <w:pStyle w:val="Heading1"/>
        <w:pBdr>
          <w:bottom w:val="single" w:color="5B2D8E" w:sz="12" w:space="4"/>
        </w:pBdr>
        <w:spacing w:after="80" w:before="2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7. Data warehouse and Power BI</w:t>
      </w:r>
    </w:p>
    <w:p>
      <w:pPr>
        <w:spacing w:after="120" w:line="276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Do not copy OLTP into a warehouse in MVP. Phase 3: nightly copy of vw_midp_active and vw_package_counts to a reporting schema or Fabric lake. Power BI semantic model uses those views. KPIs are readiness and state counts, not drawing counts.</w:t>
      </w:r>
    </w:p>
    <w:p>
      <w:pPr>
        <w:pStyle w:val="Heading1"/>
        <w:pBdr>
          <w:bottom w:val="single" w:color="5B2D8E" w:sz="12" w:space="4"/>
        </w:pBdr>
        <w:spacing w:after="80" w:before="2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8. Knowledge graph (v1 meaning)</w:t>
      </w:r>
    </w:p>
    <w:p>
      <w:pPr>
        <w:spacing w:after="120" w:line="276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The graph is relational: FB–Package–Deliverable–IR–Dependency. Query with SQL joins. A graph database is parking-lot Phase 3/Enterprise. Copilot tools call the same REST resources.</w:t>
      </w:r>
    </w:p>
    <w:p>
      <w:pPr>
        <w:pStyle w:val="Heading1"/>
        <w:pBdr>
          <w:bottom w:val="single" w:color="5B2D8E" w:sz="12" w:space="4"/>
        </w:pBdr>
        <w:spacing w:after="80" w:before="2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9. Admin and rule authoring</w:t>
      </w:r>
    </w:p>
    <w:p>
      <w:pPr>
        <w:spacing w:after="120" w:line="276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Admin console = current Settings + Templates + Governance panel, backed by catalogue APIs. Rule authoring in Phase 2 is CRUD on rules with version + approve. Do not build a visual decision-tree designer before the table editor works.</w:t>
      </w:r>
    </w:p>
    <w:p>
      <w:pPr>
        <w:pStyle w:val="Heading1"/>
        <w:pBdr>
          <w:bottom w:val="single" w:color="5B2D8E" w:sz="12" w:space="4"/>
        </w:pBdr>
        <w:spacing w:after="80" w:before="2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10. Deployment units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c>
          <w:tcPr>
            <w:tcW w:type="dxa" w:w="2800"/>
            <w:shd w:fill="5B2D8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6800"/>
            <w:shd w:fill="5B2D8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Contains</w:t>
            </w:r>
          </w:p>
        </w:tc>
      </w:tr>
      <w:tr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atana-web</w:t>
            </w:r>
          </w:p>
        </w:tc>
        <w:tc>
          <w:tcPr>
            <w:tcW w:type="dxa" w:w="68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PWA + spec files + framework HTML</w:t>
            </w:r>
          </w:p>
        </w:tc>
      </w:tr>
      <w:tr>
        <w:tc>
          <w:tcPr>
            <w:tcW w:type="dxa" w:w="28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atana-api</w:t>
            </w:r>
          </w:p>
        </w:tc>
        <w:tc>
          <w:tcPr>
            <w:tcW w:type="dxa" w:w="68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REST, RLS session GUCs, generation</w:t>
            </w:r>
          </w:p>
        </w:tc>
      </w:tr>
      <w:tr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atana-cde-worker</w:t>
            </w:r>
          </w:p>
        </w:tc>
        <w:tc>
          <w:tcPr>
            <w:tcW w:type="dxa" w:w="68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FORMA crawl + reviews map</w:t>
            </w:r>
          </w:p>
        </w:tc>
      </w:tr>
      <w:tr>
        <w:tc>
          <w:tcPr>
            <w:tcW w:type="dxa" w:w="28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atana-db</w:t>
            </w:r>
          </w:p>
        </w:tc>
        <w:tc>
          <w:tcPr>
            <w:tcW w:type="dxa" w:w="6800"/>
            <w:shd w:fill="F5F0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Schema v1.1 + seeds</w:t>
            </w:r>
          </w:p>
        </w:tc>
      </w:tr>
      <w:tr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pyRevit pack</w:t>
            </w:r>
          </w:p>
        </w:tc>
        <w:tc>
          <w:tcPr>
            <w:tcW w:type="dxa" w:w="68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Project Sync + Classify (existing)</w:t>
            </w:r>
          </w:p>
        </w:tc>
      </w:tr>
    </w:tbl>
    <w:p>
      <w:pPr>
        <w:pStyle w:val="Heading1"/>
        <w:pBdr>
          <w:bottom w:val="single" w:color="5B2D8E" w:sz="12" w:space="4"/>
        </w:pBdr>
        <w:spacing w:after="80" w:before="2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11. Backlog mapping</w:t>
      </w:r>
    </w:p>
    <w:p>
      <w:pPr>
        <w:spacing w:after="120" w:line="276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Work items live in Atana-Backlog-AzureDevOps-v1.xlsx. Import the ADO import sheet. MVP is wizard persist, engine, generated MIDP/TIDP, numbering restart, CDE compare, Revit JSON. Phase 2 is Entra, jobs, workflow transitions, version pin, audit RLS. Phase 3 is BI and read-only Copilot. Parking lot sheet is explicit unfinished BIM depth — do not pull it into MVP.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7534E"/>
        <w:sz w:val="16"/>
        <w:szCs w:val="16"/>
      </w:rPr>
      <w:t xml:space="preserve">Internal  ·  </w:t>
    </w:r>
    <w:r>
      <w:rPr>
        <w:rFonts w:ascii="Arial" w:cs="Arial" w:eastAsia="Arial" w:hAnsi="Arial"/>
        <w:color w:val="57534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57534E"/>
        <w:sz w:val="16"/>
        <w:szCs w:val="16"/>
      </w:rPr>
      <w:t xml:space="preserve">Atana  ·  Implementation Architecture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80"/>
      <w:outlineLvl w:val="0"/>
    </w:pPr>
    <w:rPr>
      <w:rFonts w:ascii="Arial" w:cs="Arial" w:eastAsia="Arial" w:hAnsi="Arial"/>
      <w:b/>
      <w:bCs/>
      <w:color w:val="5B2D8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60" w:before="180"/>
      <w:outlineLvl w:val="1"/>
    </w:pPr>
    <w:rPr>
      <w:rFonts w:ascii="Arial" w:cs="Arial" w:eastAsia="Arial" w:hAnsi="Arial"/>
      <w:b/>
      <w:bCs/>
      <w:color w:val="5B2D8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3AE2BAD2C6FA4D8B4D95CE89FC31A3" ma:contentTypeVersion="8" ma:contentTypeDescription="Create a new document." ma:contentTypeScope="" ma:versionID="a2ce85c62cd7e9a608298e998330aeb7">
  <xsd:schema xmlns:xsd="http://www.w3.org/2001/XMLSchema" xmlns:xs="http://www.w3.org/2001/XMLSchema" xmlns:p="http://schemas.microsoft.com/office/2006/metadata/properties" xmlns:ns2="ae81e17b-11c2-44ae-89e9-9ad5f5ff8880" targetNamespace="http://schemas.microsoft.com/office/2006/metadata/properties" ma:root="true" ma:fieldsID="1504f635df8bfa7d9525024d2d10bc95" ns2:_="">
    <xsd:import namespace="ae81e17b-11c2-44ae-89e9-9ad5f5ff88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81e17b-11c2-44ae-89e9-9ad5f5ff88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4ac2493-9f1f-4345-86a0-c36146f38f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e81e17b-11c2-44ae-89e9-9ad5f5ff888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246CFEE-42B6-4130-A7A8-5848036B7BD1}"/>
</file>

<file path=customXml/itemProps2.xml><?xml version="1.0" encoding="utf-8"?>
<ds:datastoreItem xmlns:ds="http://schemas.openxmlformats.org/officeDocument/2006/customXml" ds:itemID="{B63039EC-ED5B-472C-9AE0-DDDF78E0703B}"/>
</file>

<file path=customXml/itemProps3.xml><?xml version="1.0" encoding="utf-8"?>
<ds:datastoreItem xmlns:ds="http://schemas.openxmlformats.org/officeDocument/2006/customXml" ds:itemID="{9C1E14F7-AD77-485F-BF9D-13CA94D8E9BD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2026-08-31T10:26:46Z</dcterms:created>
  <dcterms:modified xsi:type="dcterms:W3CDTF">2026-08-31T10:26:46Z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0x0101008E3AE2BAD2C6FA4D8B4D95CE89FC31A3</vt:lpwstr>
  </property>
</Properties>
</file>