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color w:val="847918"/>
          <w:sz w:val="22"/>
          <w:szCs w:val="22"/>
        </w:rPr>
        <w:t xml:space="preserve">ATANA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3E0B3B"/>
          <w:sz w:val="44"/>
          <w:szCs w:val="44"/>
        </w:rPr>
        <w:t xml:space="preserve">Executive Command Center</w:t>
      </w:r>
    </w:p>
    <w:p>
      <w:pPr>
        <w:spacing w:after="140" w:before="0" w:line="276"/>
      </w:pPr>
      <w:r>
        <w:rPr>
          <w:rFonts w:ascii="Calibri" w:cs="Calibri" w:eastAsia="Calibri" w:hAnsi="Calibri"/>
          <w:i/>
          <w:iCs/>
          <w:color w:val="7A6B79"/>
          <w:sz w:val="22"/>
          <w:szCs w:val="22"/>
        </w:rPr>
        <w:t xml:space="preserve">Implementation module  ·  atana-ecc v1.0  ·  31 August 2026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 single version of the truth for project, portfolio, information, asset, operational and twin readiness. Engines are not redesigned. ECC consumes them. The HTML IM tool remains the console. ECC is a separate React + Fluent app.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1. Architecture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Personas → ECC React (Fluent) → APIM → ECC API, domain API, Neo4j GraphQL, Power BI embedded, Azure OpenAI. OLTP PDS emits events into ecc_* snapshot tables. Power BI measures must equal SQL scores. Drift is a defect. ECC is System of Engagement + Intelligence. It is not a new System of Record.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Routes: / executive landing, /portfolio, /projects/{id} with information|assets|twin|risk|graph, /insights, /watchlists, /admin/scores.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2. Scoring — measurable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AIM% = present / required at LOI(stage). Same as atnAimScore. LOI S1/S2=2, S3=3, S4=4, S5/S6=5. Stage 4 gate default 95%. Bands: Green ≥85, Amber 70–84, Red &lt;70. Stage readiness is Red below the gate even if other scores are green. Average numbers, then band. Never average colours.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946"/>
      </w:tblGrid>
      <w:tr>
        <w:trPr>
          <w:tblHeader/>
        </w:trP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Score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Formula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Information Health IH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0.15 OIR + 0.15 PIR + 0.15 EIR + 0.20 AIR + 0.20 AIM + 0.15 IDS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Compliance CS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IDS pass / IDS required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Delivery Health DH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0.40 on-time + 0.30 published + 0.30 packages clear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Stage Readiness RS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0.50 AIM + 0.30 published + 0.20 IDS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Operational Readiness OR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0.40 AIM@LOI5 + 0.20 CMMS bind + 0.20 twin bind + 0.20 ops docs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Twin Readiness TR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0.25 identity + 0.25 IFC + 0.20 COBie + 0.20 AIM + 0.10 bind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Project Health PH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0.30 IH + 0.25 DH + 0.20 CS + 0.15 (100*(1−risk)) + 0.10 workflow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Portfolio Health PoH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Weighted average of PH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Asset Health AH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present / required on that asset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Forecast delay days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0.5 historical slip + 0.3×14×(1−RS/100) + 0.2×7×P1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risk_idx = min(1, (3·P1 + 2·P2 + P3) / 12). Weights live in ecc.score_weight and are ORGADMIN-versioned.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3. Personas and boards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400"/>
        <w:gridCol w:w="4146"/>
      </w:tblGrid>
      <w:tr>
        <w:trPr>
          <w:tblHeader/>
        </w:trP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Persona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Home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Acts on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Executive / Portfolio / Programme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Executive, Portfolio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Intervention, lessons, programme gate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Director / PM / PDM / Construction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Project, Risk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Gate, reassign, lock package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Client / IM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Information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EIR variation, IDS, conflicts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Asset Owner / FM / Maintenance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Asset readiness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AIM accept deep-link, WO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Ops / Twin manager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Twin + Asset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Snapshot, opsWins, identity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Fourteen personas are fully specified in docs/COMMAND-CENTER.md and the KPI workbook (objectives, KPIs, actions, alerts). Alerts consume existing domain events plus ecc.score.dropped.v1.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4. Eight dashboards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Executive: PoH, red projects, P1, OIR coverage, heat map, copilot dock. Portfolio: project × score matrix, team performance, filters. Project: PH hero, IH/DH/CS/RS/AIM/IDS/blocked/P1, MIDP and workflow tabs. Asset readiness: per-asset AH and missing attributes. Information: OIR→PIR→EIR→AIR→AIM→IDS waterfall. Twin: identity, IFC, COBie, AIM, bind. Risk: P1–P3 plus forecast. AI insights: Decide queue only — classes E/F never auto-apply.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Graph widgets embed why() and impact() on any board. Recovery plan is the existing ask contract.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5. Copilot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POST /v1/ecc/ask wraps /v1/ask with snapshot context. Grounding order: scores → graph → named queries → Decide. Citations show node ids.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146"/>
      </w:tblGrid>
      <w:tr>
        <w:trPr>
          <w:tblHeader/>
        </w:trP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Question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Resolver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Show all projects at risk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PH&lt;70 or P1&gt;0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Behind schedule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forecast delay or on-time &lt; 0.85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Assets not operationally ready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AH below gate or OR component missing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Top information risks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IDS fail + unsatisfied EIR/AIR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Low compliance cause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IDS fail grouped by template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Recovery plan Stage 4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Existing recover answer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OIR to AIM traceability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why(asset|attr)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Highest information maturity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max IH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6. Power BI and data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Facts: project score, asset score, requirement coverage, deliverable status, risk, forecast. Dims: date, org, portfolio, project, stage, team, asset type, persona, score version. Measures named exactly as kpi_id. RLS via ecc.acl and Entra. Schema ecc in Atana-ECC-Analytics.sql is append-only by as_of.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7. API and security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/v1/ecc/scores/portfolios/{id}, /scores/projects/{id}, /scores/projects/{id}/assets, /kpis, /snapshots, /watchlists, /ask, /graph/why|impact, /insights, /alerts. Scopes atana.ecc.read and atana.ecc.watchlist.write. Investment measures hidden without ERP binding + exec persona. Snapshot freeze is an IM audit event.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8. Stack and roadmap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React + Fluent UI, .NET 9, PostgreSQL, Power BI, Neo4j, Azure OpenAI, Azure AI Search, Azure. Widget library: ScoreHero, RagChip, KpiStrip, HeatMatrix, WaterfallReq, AssetTable, RiskList, ForecastSpark, GraphWhy, GraphImpact, CopilotDock, ActionQueue, GateBanner. Tokens: purple/gold/paper already used in the IM tool.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546"/>
      </w:tblGrid>
      <w:tr>
        <w:trPr>
          <w:tblHeader/>
        </w:trP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Wave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Exit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C0 SQL scores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AIM% in SQL equals atnAimScore on the seed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C1 API + React project page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Director sees PH/IH/AIM/IDS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C2 Portfolio + Executive + PBI model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PoH matches API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C3 Asset, Information, Risk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Waterfall OIR→AIM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C4 Graph widgets + Copilot dock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Blocking Stage 4 cites graph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C5 Twin + Ops boards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TR visible without a live twin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C6 Watchlists, freeze, PBI RLS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Audit pack includes frozen scores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AIM accept is not performed inside ECC. Deep-link to the IM tool or domain API with the Asset Owner seat. Multi-Agent and a live twin are not prerequisites for C1–C4.</w:t>
      </w:r>
    </w:p>
    <w:sectPr>
      <w:headerReference w:type="default" r:id="rId7"/>
      <w:footerReference w:type="default" r:id="rId8"/>
      <w:pgSz w:w="11906" w:h="16838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746"/>
      </w:tabs>
    </w:pPr>
    <w:r>
      <w:rPr>
        <w:rFonts w:ascii="Calibri" w:cs="Calibri" w:eastAsia="Calibri" w:hAnsi="Calibri"/>
        <w:color w:val="7A6B79"/>
        <w:sz w:val="16"/>
        <w:szCs w:val="16"/>
      </w:rPr>
      <w:t xml:space="preserve">Module spec  ·  consumes engines, does not replace them</w:t>
    </w:r>
    <w:r>
      <w:rPr>
        <w:rFonts w:ascii="Calibri" w:cs="Calibri" w:eastAsia="Calibri" w:hAnsi="Calibri"/>
        <w:color w:val="7A6B79"/>
        <w:sz w:val="16"/>
        <w:szCs w:val="16"/>
      </w:rPr>
      <w:t xml:space="preserve">	Page </w:t>
    </w:r>
    <w:r>
      <w:rPr>
        <w:rFonts w:ascii="Calibri" w:cs="Calibri" w:eastAsia="Calibri" w:hAnsi="Calibri"/>
        <w:color w:val="7A6B7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Calibri" w:cs="Calibri" w:eastAsia="Calibri" w:hAnsi="Calibri"/>
        <w:color w:val="7A6B79"/>
        <w:sz w:val="16"/>
        <w:szCs w:val="16"/>
      </w:rPr>
      <w:t xml:space="preserve">Atana  ·  Executive Command Center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Calibri" w:cs="Calibri" w:eastAsia="Calibri" w:hAnsi="Calibri"/>
      <w:b/>
      <w:bCs/>
      <w:color w:val="3E0B3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20"/>
      <w:outlineLvl w:val="1"/>
    </w:pPr>
    <w:rPr>
      <w:rFonts w:ascii="Calibri" w:cs="Calibri" w:eastAsia="Calibri" w:hAnsi="Calibri"/>
      <w:b/>
      <w:bCs/>
      <w:color w:val="3E0B3B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footnotes" Target="footnote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customXml" Target="../customXml/item1.xml"/><Relationship Id="rId4" Type="http://schemas.openxmlformats.org/officeDocument/2006/relationships/endnotes" Target="endnotes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3AE2BAD2C6FA4D8B4D95CE89FC31A3" ma:contentTypeVersion="8" ma:contentTypeDescription="Create a new document." ma:contentTypeScope="" ma:versionID="a2ce85c62cd7e9a608298e998330aeb7">
  <xsd:schema xmlns:xsd="http://www.w3.org/2001/XMLSchema" xmlns:xs="http://www.w3.org/2001/XMLSchema" xmlns:p="http://schemas.microsoft.com/office/2006/metadata/properties" xmlns:ns2="ae81e17b-11c2-44ae-89e9-9ad5f5ff8880" targetNamespace="http://schemas.microsoft.com/office/2006/metadata/properties" ma:root="true" ma:fieldsID="1504f635df8bfa7d9525024d2d10bc95" ns2:_="">
    <xsd:import namespace="ae81e17b-11c2-44ae-89e9-9ad5f5ff88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81e17b-11c2-44ae-89e9-9ad5f5ff888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4ac2493-9f1f-4345-86a0-c36146f38f1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e81e17b-11c2-44ae-89e9-9ad5f5ff888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AEA3921-973F-44B1-B20A-BFD9EAF7B3D6}"/>
</file>

<file path=customXml/itemProps2.xml><?xml version="1.0" encoding="utf-8"?>
<ds:datastoreItem xmlns:ds="http://schemas.openxmlformats.org/officeDocument/2006/customXml" ds:itemID="{32495E54-5D77-4FC4-A8B8-ECE3916C0D3A}"/>
</file>

<file path=customXml/itemProps3.xml><?xml version="1.0" encoding="utf-8"?>
<ds:datastoreItem xmlns:ds="http://schemas.openxmlformats.org/officeDocument/2006/customXml" ds:itemID="{309BFEB0-FF0D-4CDF-87FD-350EC895816B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Atana Executive Command Center v1.0</dc:title>
  <dc:creator>Atana</dc:creator>
  <cp:lastModifiedBy>Un-named</cp:lastModifiedBy>
  <cp:revision>1</cp:revision>
  <dcterms:created xsi:type="dcterms:W3CDTF">2026-08-31T19:54:24Z</dcterms:created>
  <dcterms:modified xsi:type="dcterms:W3CDTF">2026-08-31T19:54:24Z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0x0101008E3AE2BAD2C6FA4D8B4D95CE89FC31A3</vt:lpwstr>
  </property>
</Properties>
</file>