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60"/>
      </w:pPr>
      <w:r>
        <w:rPr>
          <w:rFonts w:ascii="Arial" w:cs="Arial" w:eastAsia="Arial" w:hAnsi="Arial"/>
          <w:b/>
          <w:bCs/>
          <w:color w:val="5B2D8E"/>
          <w:sz w:val="40"/>
          <w:szCs w:val="40"/>
        </w:rPr>
        <w:t xml:space="preserve">ATANA</w:t>
      </w:r>
    </w:p>
    <w:p>
      <w:pPr>
        <w:spacing w:after="20" w:line="260"/>
      </w:pPr>
      <w:r>
        <w:rPr>
          <w:rFonts w:ascii="Arial" w:cs="Arial" w:eastAsia="Arial" w:hAnsi="Arial"/>
          <w:b/>
          <w:bCs/>
          <w:color w:val="1C1917"/>
          <w:sz w:val="26"/>
          <w:szCs w:val="26"/>
        </w:rPr>
        <w:t xml:space="preserve">Software Solution Design Package v1.0</w:t>
      </w:r>
    </w:p>
    <w:p>
      <w:pPr>
        <w:spacing w:after="100" w:line="260"/>
      </w:pPr>
      <w:r>
        <w:rPr>
          <w:rFonts w:ascii="Arial" w:cs="Arial" w:eastAsia="Arial" w:hAnsi="Arial"/>
          <w:color w:val="57534E"/>
          <w:sz w:val="19"/>
          <w:szCs w:val="19"/>
        </w:rPr>
        <w:t xml:space="preserve">Handoff for a development team. Business rules frozen. Stack: .NET 9 · PostgreSQL · Redis · Azure Service Bus · Fluent UI · Entra ID.</w:t>
      </w:r>
    </w:p>
    <w:p>
      <w:pPr>
        <w:spacing w:after="160" w:line="260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Read with: Platform Spec, Architecture Pack, Implementation Architecture, Schema v1.1, JSON Schemas, Backlog xlsx, Mermaid diagrams.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1. Solution architecture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One deployable API (Atana.Api) through v1.0. Workers scale independently: Atana.Worker.Generation and Atana.Worker.Cde. Web is the existing PWA lifted onto the API; Fluent UI is the target design system for new screens, not a rewrite of working MIDP/CDE pages in MVP.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600"/>
      </w:tblGrid>
      <w:tr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Project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REST, GraphQL read, auth, RLS session GUCs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Atana.Application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Use-cases: generate, refine, transition, sync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Atana.Domain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Entities, value objects, rule evaluation interfaces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Atana.Infrastructure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EF Core Npgsql, Redis, Service Bus, Blob, APS client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Atana.Worker.Generation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GenerationRequested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Atana.Worker.Cde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Consumes CdeSyncRequested</w:t>
            </w:r>
          </w:p>
        </w:tc>
      </w:tr>
      <w:tr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Atana.Web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/ Fluent shells</w:t>
            </w:r>
          </w:p>
        </w:tc>
      </w:tr>
      <w:tr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Atana.Contracts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Events, API DTOs, JSON schemas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2. Domain entities (canonical)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200"/>
        <w:gridCol w:w="2600"/>
      </w:tblGrid>
      <w:tr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Entity</w:t>
            </w:r>
          </w:p>
        </w:tc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Owns / owned by</w:t>
            </w:r>
          </w:p>
        </w:tc>
        <w:tc>
          <w:tcPr>
            <w:tcW w:type="dxa" w:w="2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Lifecycle</w:t>
            </w:r>
          </w:p>
        </w:tc>
        <w:tc>
          <w:tcPr>
            <w:tcW w:type="dxa" w:w="2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owns Projects, Users, catalogues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active/retired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org_code unique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assignments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email unique per org; entra_oid unique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org; breakdowns, runs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active/archived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number unique per org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FunctionalBreakdown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SpatialBreakdown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selected flag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code unique per project; labels not hardcoded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TaskTeam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 catalogue; project selection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ACTIVE/DRAFT/RETIRED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must have generationModel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FunctionalRole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immutable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DTL PDM IM DM CON-*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 / Asset / Space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Ss / asset / SL codes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version + approve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trigger+subject required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ProductionPackage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project+FB+Ss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persistent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unique (project,fb,ss)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GenerationRun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project; pins catalogue version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completed/failed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idempotency key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run + 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wf_state + gen_status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iso_number unique per project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InformationContainer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platform lookup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stable codes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maps type→form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InformationRequirement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type+gate or object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L1–L4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geometry/data/docs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WorkflowTransition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authority checked in app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 of deliverables for a run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stored duplicate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TIDP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 filter by ro_code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derived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not a second generator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DocumentNumber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counter row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monotonic per key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key=orig+role+FB+SL+form</w:t>
            </w:r>
          </w:p>
        </w:tc>
      </w:tr>
      <w:tr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Override</w:t>
            </w:r>
          </w:p>
        </w:tc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</w:t>
            </w:r>
          </w:p>
        </w:tc>
        <w:tc>
          <w:tcPr>
            <w:tcW w:type="dxa" w:w="2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USER/ASSET/PROJECT/ORG</w:t>
            </w:r>
          </w:p>
        </w:tc>
        <w:tc>
          <w:tcPr>
            <w:tcW w:type="dxa" w:w="2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precedence stack</w:t>
            </w:r>
          </w:p>
        </w:tc>
      </w:tr>
      <w:tr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AuditLog</w:t>
            </w:r>
          </w:p>
        </w:tc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org/project</w:t>
            </w:r>
          </w:p>
        </w:tc>
        <w:tc>
          <w:tcPr>
            <w:tcW w:type="dxa" w:w="2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append-only</w:t>
            </w:r>
          </w:p>
        </w:tc>
        <w:tc>
          <w:tcPr>
            <w:tcW w:type="dxa" w:w="2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who when why old new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Soft delete: catalogues use status=RETIRED. Project data cascades. Do not soft-delete deliverables; use USER_REMOVED. Event sourcing is not the default. Use it only for workflow_transitions and audit_log (already event-shaped).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3. Backend design (.NET 9)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3.1 REST (commands + lists)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3200"/>
      </w:tblGrid>
      <w:tr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Verb</w:t>
            </w:r>
          </w:p>
        </w:tc>
        <w:tc>
          <w:tcPr>
            <w:tcW w:type="dxa" w:w="5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Route</w:t>
            </w:r>
          </w:p>
        </w:tc>
        <w:tc>
          <w:tcPr>
            <w:tcW w:type="dxa" w:w="3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Authz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/v1/projects/{id}/generation-runs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PROJECTADMIN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/v1/projects/{id}/midp?team=&amp;stage=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any assigned role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/v1/projects/{id}/tidp/{team}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team members + 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/v1/projects/{id}/deliverables/{id}:refine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of that Ro, 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/v1/projects/{id}/deliverables/{id}:transition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role matching from-state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PUT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/v1/projects/{id}/scope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</w:t>
            </w:r>
          </w:p>
        </w:tc>
        <w:tc>
          <w:tcPr>
            <w:tcW w:type="dxa" w:w="5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/v1/projects/{id}/cde/sync</w:t>
            </w:r>
          </w:p>
        </w:tc>
        <w:tc>
          <w:tcPr>
            <w:tcW w:type="dxa" w:w="3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GET</w:t>
            </w:r>
          </w:p>
        </w:tc>
        <w:tc>
          <w:tcPr>
            <w:tcW w:type="dxa" w:w="5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/v1/projects/{id}/audit</w:t>
            </w:r>
          </w:p>
        </w:tc>
        <w:tc>
          <w:tcPr>
            <w:tcW w:type="dxa" w:w="3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IM, DTL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3.2 GraphQL (read model only)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Query project { midp(team, stage) { nodes { isoNumber state irLevel } } packages { readiness } }. No GraphQL mutations in v1. HotChocolate on the same API.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3.3 Events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Azure Service Bus topic atana.events. Contracts in Atana.Contracts: GenerationRequested { projectId, stageId, runId, catalogueVersionId }, GenerationCompleted { runId, counts }, WorkflowTransitioned { delId, from, to, actor }, CdeSyncCompleted { projectId, fileCount }. Payload JSON, CloudEvents envelope.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3.4 AuthN / AuthZ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Entra ID (OIDC). API validates JWT. Maps oid → users.entra_oid. Sets SET atana.org_id / atana.user_id. Authorization filter: FunctionalRole + Authority + object Ro + wf_state. TTM cannot PATCH /rules. Redis cache of assignments TTL 5 minutes.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3.5 Rule / workflow runtime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IRuleEvaluator.Evaluate(ProjectScope, Stage) → IReadOnlyList&lt;FiredRule&gt;. IPackageFactory + INumberingService (atana_next_number). IWorkflowService.Transition checks matrix then calls atana_transition. Generation is a Hangfire/Service Bus job, not the HTTP request thread.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4. Frontend architecture (Fluent UI)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rewrite working CDE/MIDP tables in Fluent in MVP. New admin and wizard shells use Fluent 2 / Fluent UI React. Accessibility: keyboard on wizard steps, 4.5:1 contrast (existing purple/gold meets if text is white on purple).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4.1 Navigation tree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  <w:gridCol w:w="3000"/>
      </w:tblGrid>
      <w:tr>
        <w:tc>
          <w:tcPr>
            <w:tcW w:type="dxa" w:w="2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Area</w:t>
            </w:r>
          </w:p>
        </w:tc>
        <w:tc>
          <w:tcPr>
            <w:tcW w:type="dxa" w:w="4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Pages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Roles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Projects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Gallery, open project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Setup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1–10, spatial mgr, FB mgr, teams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Catalogues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Systems, assets, spaces (org)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 list, version, authoring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SYS/ORG ADMIN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Production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Packages, workbench, My Work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TTIM TTM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MIDP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Generated, imported, FORMA, compare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TTM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Workflow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Queues by role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IA PR TTIM TTM IM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/ Reports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IR matrix, readiness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PDM DTL</w:t>
            </w:r>
          </w:p>
        </w:tc>
      </w:tr>
      <w:tr>
        <w:tc>
          <w:tcPr>
            <w:tcW w:type="dxa" w:w="2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  <w:tc>
          <w:tcPr>
            <w:tcW w:type="dxa" w:w="4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Org, users, numbering, governance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Templates</w:t>
            </w:r>
          </w:p>
        </w:tc>
        <w:tc>
          <w:tcPr>
            <w:tcW w:type="dxa" w:w="4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Spec pack downloads (current)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all</w:t>
            </w:r>
          </w:p>
        </w:tc>
      </w:tr>
    </w:tbl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4.2 Component breakdown</w:t>
      </w:r>
    </w:p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AppShell (header, role chip, Forma status). StagePicker. TeamFilterPills. RegisterGrid (virtualised, 30/team page). WizardStepper. PackageHealthBadge. WorkflowQueue. ColumnGear. Permission-aware ActionBar. Do not put generation of 2000 rows in React state without pagination.</w:t>
      </w:r>
    </w:p>
    <w:p>
      <w:pPr>
        <w:pStyle w:val="Heading2"/>
        <w:spacing w:after="70" w:before="16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4.3 Permissions matrix (UI)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000"/>
        <w:gridCol w:w="1000"/>
        <w:gridCol w:w="1100"/>
        <w:gridCol w:w="1400"/>
        <w:gridCol w:w="1000"/>
        <w:gridCol w:w="1100"/>
      </w:tblGrid>
      <w:tr>
        <w:tc>
          <w:tcPr>
            <w:tcW w:type="dxa" w:w="2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IA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TTIM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TTM</w:t>
            </w:r>
          </w:p>
        </w:tc>
        <w:tc>
          <w:tcPr>
            <w:tcW w:type="dxa" w:w="1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IM</w:t>
            </w:r>
          </w:p>
        </w:tc>
        <w:tc>
          <w:tcPr>
            <w:tcW w:type="dxa" w:w="11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Admin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WIP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Peer review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Verify / TTIM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Approve / publish pack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MIDP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Edit global rules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  <w:tr>
        <w:tc>
          <w:tcPr>
            <w:tcW w:type="dxa" w:w="2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Refine generated line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N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 own Ro</w:t>
            </w:r>
          </w:p>
        </w:tc>
        <w:tc>
          <w:tcPr>
            <w:tcW w:type="dxa" w:w="1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  <w:tc>
          <w:tcPr>
            <w:tcW w:type="dxa" w:w="11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</w:t>
            </w:r>
          </w:p>
        </w:tc>
      </w:tr>
    </w:tbl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5. Azure production architecture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200"/>
      </w:tblGrid>
      <w:tr>
        <w:tc>
          <w:tcPr>
            <w:tcW w:type="dxa" w:w="3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Service</w:t>
            </w:r>
          </w:p>
        </w:tc>
        <w:tc>
          <w:tcPr>
            <w:tcW w:type="dxa" w:w="62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Use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Entra ID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AuthN, groups → org mapping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Azure Static Web Apps or Blob+CDN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 Service / Container Apps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Atana.Api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Container Apps Jobs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Generation + CDE workers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PostgreSQL Flexible Server 16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OLTP + RLS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Redis Cache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assignment cache, job locks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Service Bus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domain events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Blob Storage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exports, generation artifacts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Key Vault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DB, APS secret, Entra secret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Application Insights + Monitor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traces, deps, alerts</w:t>
            </w:r>
          </w:p>
        </w:tc>
      </w:tr>
      <w:tr>
        <w:tc>
          <w:tcPr>
            <w:tcW w:type="dxa" w:w="3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Power BI</w:t>
            </w:r>
          </w:p>
        </w:tc>
        <w:tc>
          <w:tcPr>
            <w:tcW w:type="dxa" w:w="62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views on replica, not OLTP</w:t>
            </w:r>
          </w:p>
        </w:tc>
      </w:tr>
      <w:tr>
        <w:tc>
          <w:tcPr>
            <w:tcW w:type="dxa" w:w="3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Microsoft Graph</w:t>
            </w:r>
          </w:p>
        </w:tc>
        <w:tc>
          <w:tcPr>
            <w:tcW w:type="dxa" w:w="62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optional user profile later</w:t>
            </w:r>
          </w:p>
        </w:tc>
      </w:tr>
    </w:tbl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Network: API and DB in a VNet. Public only SWA and App Service front door. DB private endpoint.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Backup: PG PITR 7 days dev / 35 days prod. Blob soft delete 14 days.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DR: paired region replica for prod only. RPO 1 hour, RTO 8 hours v1.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Scale: API autoscale on HTTP. Workers scale on queue depth. Generation concurrency 2 per env.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Cost: one PG Flexible Burstable for test; Memory Optimized only if compare queries demand it. No Cosmos, no SQL Server.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Secrets rotation: Key Vault + managed identity. No connection strings in appsettings.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6. Test strategy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000"/>
        <w:gridCol w:w="30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Layer</w:t>
            </w:r>
          </w:p>
        </w:tc>
        <w:tc>
          <w:tcPr>
            <w:tcW w:type="dxa" w:w="5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</w:t>
            </w:r>
          </w:p>
        </w:tc>
        <w:tc>
          <w:tcPr>
            <w:tcW w:type="dxa" w:w="30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Tool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Unit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RuleEvaluator, numbering restart, precedence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xUnit + FluentAssertions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API + Testcontainers PostgreSQL + RLS GUCs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WebApplicationFactory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Contract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OpenAPI + event payloads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schema tests vs JSON Schemas v1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Performance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Generate 2k containers &lt; 30s job; list page &lt; 200ms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k6 / NBomber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Security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TTM cannot patch rules; tenant B cannot read tenant A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integration + OWASP ZAP on API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UAT</w:t>
            </w:r>
          </w:p>
        </w:tc>
        <w:tc>
          <w:tcPr>
            <w:tcW w:type="dxa" w:w="5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Wizard → generate → refine → export TIDP → compare CDE</w:t>
            </w:r>
          </w:p>
        </w:tc>
        <w:tc>
          <w:tcPr>
            <w:tcW w:type="dxa" w:w="30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IM + one TTM on FB01 pilot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Regression</w:t>
            </w:r>
          </w:p>
        </w:tc>
        <w:tc>
          <w:tcPr>
            <w:tcW w:type="dxa" w:w="5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Sequence restart, optional-off, locked package</w:t>
            </w:r>
          </w:p>
        </w:tc>
        <w:tc>
          <w:tcPr>
            <w:tcW w:type="dxa" w:w="30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seeded fixtures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Acceptance for generation: HVAC ticked + ME selected → HVAC LAYOUT exists with container DRAWING, number restart on spatial change, VESDA absent if optional off, locked foundation still present. UAT project remains FB01 Administration: walls, doors, windows, floors, ceilings.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7. Product roadmap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600"/>
      </w:tblGrid>
      <w:tr>
        <w:tc>
          <w:tcPr>
            <w:tcW w:type="dxa" w:w="18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  <w:tc>
          <w:tcPr>
            <w:tcW w:type="dxa" w:w="14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6600"/>
            <w:shd w:fill="5B2D8E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Ships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MVP (now)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PWA engine, wizard, generated MIDP/TIDP, CDE compare, Revit JSON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v1.0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Y0–Y1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.NET API, PG+RLS, Entra, generation job, workflow transitions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v2.0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Y1–Y2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Catalogue version pin, Fluent admin, Power BI views, CDE worker</w:t>
            </w:r>
          </w:p>
        </w:tc>
      </w:tr>
      <w:tr>
        <w:tc>
          <w:tcPr>
            <w:tcW w:type="dxa" w:w="18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v3.0</w:t>
            </w:r>
          </w:p>
        </w:tc>
        <w:tc>
          <w:tcPr>
            <w:tcW w:type="dxa" w:w="14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Y2–Y3</w:t>
            </w:r>
          </w:p>
        </w:tc>
        <w:tc>
          <w:tcPr>
            <w:tcW w:type="dxa" w:w="6600"/>
            <w:shd w:fill="F5F0FA" w:val="clear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Read-only Copilot, mobile view of My Work, approved Copilot actions</w:t>
            </w:r>
          </w:p>
        </w:tc>
      </w:tr>
      <w:tr>
        <w:tc>
          <w:tcPr>
            <w:tcW w:type="dxa" w:w="18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Enterprise</w:t>
            </w:r>
          </w:p>
        </w:tc>
        <w:tc>
          <w:tcPr>
            <w:tcW w:type="dxa" w:w="14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Y3+</w:t>
            </w:r>
          </w:p>
        </w:tc>
        <w:tc>
          <w:tcPr>
            <w:tcW w:type="dxa" w:w="6600"/>
            <w:tcMar>
              <w:top w:type="dxa" w:w="36"/>
              <w:left w:type="dxa" w:w="50"/>
              <w:bottom w:type="dxa" w:w="36"/>
              <w:right w:type="dxa" w:w="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7"/>
                <w:szCs w:val="17"/>
              </w:rPr>
              <w:t xml:space="preserve">Multi-region DR, Power Automate, COBie/IFC depth</w:t>
            </w:r>
          </w:p>
        </w:tc>
      </w:tr>
    </w:tbl>
    <w:p>
      <w:pPr>
        <w:spacing w:after="100" w:line="260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AI roadmap: v1 none in prod; v2 Copilot read tools citing isoNumber; v3 approved actions. Mobile: responsive My Work only, no native app in Y1. Integration: ACC stays; move sync off browser in v1.0. Parking lot catalogues stay out of v1.0.</w:t>
      </w:r>
    </w:p>
    <w:p>
      <w:pPr>
        <w:pStyle w:val="Heading1"/>
        <w:pBdr>
          <w:bottom w:val="single" w:color="5B2D8E" w:sz="10" w:space="3"/>
        </w:pBdr>
        <w:spacing w:after="70" w:before="240"/>
      </w:pPr>
      <w:r>
        <w:rPr>
          <w:rFonts w:ascii="Arial" w:cs="Arial" w:eastAsia="Arial" w:hAnsi="Arial"/>
          <w:b/>
          <w:bCs/>
          <w:color w:val="5B2D8E"/>
          <w:sz w:val="30"/>
          <w:szCs w:val="30"/>
        </w:rPr>
        <w:t xml:space="preserve">8. What the team should implement first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Atana.Domain RuleEvaluator extracted from the PWA functions (same triggers and precedence).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Schema v1.1 applied; SET atana.org_id in a test.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POST /generation-runs writes deliverables; GET /midp reads them.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PWA Generated MIDP tab pointed at GET /midp when API present, else local engine.</w:t>
      </w:r>
    </w:p>
    <w:p>
      <w:pPr>
        <w:pStyle w:val="ListParagraph"/>
        <w:numPr>
          <w:ilvl w:val="0"/>
          <w:numId w:val="2"/>
        </w:numPr>
        <w:spacing w:after="36"/>
      </w:pPr>
      <w:r>
        <w:rPr>
          <w:rFonts w:ascii="Arial" w:cs="Arial" w:eastAsia="Arial" w:hAnsi="Arial"/>
          <w:color w:val="1C1917"/>
          <w:sz w:val="21"/>
          <w:szCs w:val="21"/>
        </w:rPr>
        <w:t xml:space="preserve">Do not start Fluent rewrite, GraphQL mutations, or Copilot.</w:t>
      </w:r>
    </w:p>
    <w:sectPr>
      <w:headerReference w:type="default" r:id="rId7"/>
      <w:footerReference w:type="default" r:id="rId8"/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handoff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Solution Design Package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70" w:before="240"/>
      <w:outlineLvl w:val="0"/>
    </w:pPr>
    <w:rPr>
      <w:rFonts w:ascii="Arial" w:cs="Arial" w:eastAsia="Arial" w:hAnsi="Arial"/>
      <w:b/>
      <w:bCs/>
      <w:color w:val="5B2D8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60"/>
      <w:outlineLvl w:val="1"/>
    </w:pPr>
    <w:rPr>
      <w:rFonts w:ascii="Arial" w:cs="Arial" w:eastAsia="Arial" w:hAnsi="Arial"/>
      <w:b/>
      <w:bCs/>
      <w:color w:val="5B2D8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0791EDD-52A0-46AD-85C2-609B48A03037}"/>
</file>

<file path=customXml/itemProps2.xml><?xml version="1.0" encoding="utf-8"?>
<ds:datastoreItem xmlns:ds="http://schemas.openxmlformats.org/officeDocument/2006/customXml" ds:itemID="{4AC01FD1-0528-4F28-937E-997DA939809D}"/>
</file>

<file path=customXml/itemProps3.xml><?xml version="1.0" encoding="utf-8"?>
<ds:datastoreItem xmlns:ds="http://schemas.openxmlformats.org/officeDocument/2006/customXml" ds:itemID="{70728D4F-9916-44A2-B021-6A3545F3172E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2026-08-31T10:31:49Z</dcterms:created>
  <dcterms:modified xsi:type="dcterms:W3CDTF">2026-08-31T10:31:49Z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