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Arial" w:cs="Arial" w:eastAsia="Arial" w:hAnsi="Arial"/>
          <w:b/>
          <w:bCs/>
          <w:color w:val="5B2D8E"/>
          <w:sz w:val="44"/>
          <w:szCs w:val="44"/>
        </w:rPr>
        <w:t xml:space="preserve">ATANA</w:t>
      </w:r>
    </w:p>
    <w:p>
      <w:pPr>
        <w:spacing w:after="40" w:before="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Architecture Pack v1.0</w:t>
      </w:r>
    </w:p>
    <w:p>
      <w:pPr>
        <w:spacing w:after="80" w:before="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Rule engine · ERD · JSON schemas · Wizard · Generation flow · ISO 19650 · Copilot</w:t>
      </w:r>
    </w:p>
    <w:p>
      <w:pPr>
        <w:spacing w:after="140" w:before="0" w:line="276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31 August 2026 · Companion files: Atana-Enterprise-Schema-v1.sql, Atana-JSON-Schemas-v1.json, Atana-Architecture-Diagrams-v1.md, Atana-Platform-Specification-v1.0.docx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Rule engine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engine is a deterministic evaluator. It does not invent deliverables. It fires rules against project setup and emits packages, then containers.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1.1 Triggers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400"/>
      </w:tblGrid>
      <w:tr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3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True when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output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SYSTEM_EXISTS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ticked on project for that team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package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ASSET_EXISTS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ticked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package + children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SPACE_CLASS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Uniclass SL space ticked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Space-driven sheets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OPTIONAL_ENABLED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flag on (VESDA, ANPR)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package only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TEAM_SELECTED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Task team selected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Allows that team's rules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STAGE_IS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Current gate matches rule gate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Include/exclude item types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1.2 Precedence and conflict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&gt; ASSET &gt; PROJECT &gt; ORGANISATION &gt; SYSTEM DEFAULT. Same natural key (role + form + description + FB + spatial): one row. Mandatory beats optional. Locked package items cannot be removed. USER_REMOVED is an override, not a delete of the catalogue.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1.3 Execution sequence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Load setup: spatials, FBs, teams+models, systems, assets, spaces, optionals, stage 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For each selected team, evaluate rules whose role matches (or have no role).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Collect fired subjects; expand DGE_DEPENDENCIES (parent present → child present).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Instantiate package archetypes for those subjects.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Flatten items that apply to the gate. Concept denies construction details.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Apply overrides and locks. Stamp container, IR, workflow roles.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Number inside (originator, role, FB, spatial, form), restarting at series start.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 GenerationRun + Deliverable rows. TIDP is a filter, not a second engine.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1.4 Example rule JSON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{ "id":"ME-HVAC-001", "type":"SYSTEM", "trigger":"SYSTEM_EXISTS", "role":"ME", "subject":"HVAC", "outputPackage":"HVAC PACKAGE", "children":["HVAC CALCULATIONS"], "version":"1.0" }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Decision trees and flowcharts: Atana-Architecture-Diagrams-v1.md sections 2–3.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Entity relationship model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Cardinality is in the Mermaid ERD (diagrams file). Logical statements: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Organisation 1—N Project, User, TaskTeam catalogue.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1—N FunctionalBreakdown, SpatialBreakdown, DeliveryStage, GenerationRun, Deliverable.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ProductionPackage unique per (Project, FB, System). Workstage is not a package key.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GenerationRun pins CatalogueVersion (and therefore Rule versions).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Deliverable N—1 InformationContainer, N—1 GenerationRun, 1—N WorkflowTransition.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UserAssignment links User + Project + TaskTeam + FunctionalRole.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Override is project-scoped and wins by level on the precedence stack.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 inheritance tables. Generation model is an enum on TaskTeam, not a subtype table.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2.1 UML (classes, not tables)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owns Breakdowns and Scope. Scope references Catalogue types (System, Asset, Space). Engine.evaluate(Project, Stage) → GenerationRun. GenerationRun.deliverables[] each have Container, IR, Workflow. FunctionalRole.authorityOn(objectType) is a matrix, not a user ACL.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Physical keys, FKs and indexes remain in Atana-Enterprise-Schema-v1.sql. Do not add tables unless a new aggregate appears.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JSON schemas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Canonical file: Atana-JSON-Schemas-v1.json. Use for API payloads and Copilot tool I/O. Entities covered: project, spatialBreakdown, functionalBreakdown, taskTeam, system, asset, space, package, deliverableTemplate, deliverable, rule, workflowTransition, generationRun.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Natural key for a generated container: originator + projectNumber + FB + spatial + form + role + number. isoNumber is the stored unique key per project.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Project setup wizard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2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Captures</w:t>
            </w:r>
          </w:p>
        </w:tc>
        <w:tc>
          <w:tcPr>
            <w:tcW w:type="dxa" w:w="42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Validation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 Framework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Name, client, type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 and number required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2 Spatial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SI, floors, roof…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3 Functional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FB01…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 Task teams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AR ST ME… + custom model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team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5 Systems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HVAC, lighting…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allowed; then no system packages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6 Assets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Foundation, stair…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7 Spaces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Office, MCC…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Optional; drives AR/ID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8 Optional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VESDA, ANPR…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Default off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9 Stages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S1–S6 gates LOD/LOI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Must map to project stages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10 Generate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Summary then persist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Calls engine; opens Generated MIDP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journey: describe the project, never pick drawings. Decision logic is the rule engine, not wizard if-else per discipline. Custom team: must choose a generation model before Generate is enabled for that team.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Deliverable generation workflow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created → spatials → FBs → teams → systems → assets → spaces → stages → rules execute → packages → containers numbered → MIDP persisted → TIDP = filter. BPMN-equivalent is diagrams file section 3.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 behaviour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Concept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Reports and schematics. No construction details.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Detailed / Tender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Layouts, builders works, calculations, specs as required.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 layouts; IR L3.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As-built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information IR L4; commissioning / O&amp;M where typed.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Generated MIDP and imported plan stay separate. Refine ticks write USER_REMOVED. Re-generate rebuilds numbers with the restart rule; removed keys stay removed if still present.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ISO 19650 traceability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concept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Atana entity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 container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information_containers + deliverables.container_code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DR/M3/RP/CA/SH/SP/DS/RG/SC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for a generation_run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Generated MIDP tab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rows filtered by ro_code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Export tabs per team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Responsibility matrix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user_assignments + FRRM authorities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IA AUT, PR RVW, TTIM VFY, TTM APR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EIR / AIR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docs + information_requirements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geometry/data/docs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 milestone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delivery_stages.end_date + peer/QA/submittal tasks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Workstage window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Status / suitability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status catalogue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S0 WIP; S1–S7 D1–D5 Shared; A1/B1/CR Published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Revision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revision field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Pnn.nn WIP; Pnn Shared; Cnn Published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states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wf_state + FORMA folders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WIP/Shared/Published gateways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Appointment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originator + companies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settings Originator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AI / Copilot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Not a document chatbot. Tools call Atana APIs. Graph is the domain already modelled (FB→Ss→Package→IR→Deliverable). No new graph database required for v1.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4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Allowed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Production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TTM TTIM IA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packages, deps, readiness. Recommend next activity.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 TTIM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MIDP/TIDP/state. List ready-to-share / missing IR.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Model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TTIM coordinators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classification coverage when model sync exists.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Executive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DTL PDM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stage readiness, blocked packages.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A: read-only. Every answer cites packageId or isoNumber.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B: approved actions only (create issue, draft generation run). Never silent write.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Prompts must include: current stage, role, project number, and the object id the user is 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Compliance check = compare project scope + generated IR against governance brain (framework HTML + catalogues), not against free text PDFs first.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Tenant: Azure AI / Copilot Studio later. Until Entra exists, do not embed an unbound public model in the PWA.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What not to build next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More discipline lists, more drawing titles, more role codes.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 second generator for TIDP.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New SQL tables without a new aggregate.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Write-back Copilot.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Replacing ACC as the CDE.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Next engineering slice remains S1–S4 in the Platform Specification: deterministic generation job, pin catalogue version, workflow transitions API, CDE sync off the UI thread.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Architecture Pack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0537D71-8E85-4403-B070-31F5B68E0748}"/>
</file>

<file path=customXml/itemProps2.xml><?xml version="1.0" encoding="utf-8"?>
<ds:datastoreItem xmlns:ds="http://schemas.openxmlformats.org/officeDocument/2006/customXml" ds:itemID="{8049247B-8B20-4A7E-B053-B1FB905637CF}"/>
</file>

<file path=customXml/itemProps3.xml><?xml version="1.0" encoding="utf-8"?>
<ds:datastoreItem xmlns:ds="http://schemas.openxmlformats.org/officeDocument/2006/customXml" ds:itemID="{9BF970E9-28C0-4231-8CCA-8AF1DF919F9A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2026-08-31T10:21:47Z</dcterms:created>
  <dcterms:modified xsi:type="dcterms:W3CDTF">2026-08-31T10:21:47Z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