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8"/>
          <w:szCs w:val="48"/>
        </w:rPr>
        <w:t xml:space="preserve">Ecosystem Architecture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Information Lifecycle Operating System  ·  How information flows  ·  v1.0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Implementation-ready architecture. OIR, PIR, EIR, AIR, AIM, IDS, DPoW, packages, templates, requirements, deliverables, MIDP, TIDP, workflows, compliance, the Knowledge Graph and Decision Intelligence are not redesigned. This specification only answers: where information comes from, where it goes, and who owns the truth.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Status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Ready for Wave 1 build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31 August 2026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Console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Atana-IM-Tasks.html v3.6.1 (unchanged operating model)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Runtime target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.NET 9, PostgreSQL, Neo4j, Event Grid, Service Bus, Entra ID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Companions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docs/ECOSYSTEM.md + four JSON contract files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Positioning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the central information layer across client, consultants, contractors, operators, facility managers, digital twins, CDEs, ERP and asset-management systems. It does not replace Autodesk Docs, Revit, SAP or Maximo. It decides what those systems must hold, whether they hold it, and what happens when they do not.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The HTML PWA remains the operational console. It must never hold CDE or ERP secrets. Production adapters run as workers behind an API.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Four system classes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product may play only one class for a given entity. Dual-write of the same field is forbidden.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2623"/>
        <w:gridCol w:w="2623"/>
      </w:tblGrid>
      <w:tr>
        <w:trPr>
          <w:tblHeader/>
        </w:trP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Meaning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Atana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External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Record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Authoritative write and durable ID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Requirements, plan, compliance, graph, decisions, AIM completeness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file+revision; Revit UniqueId; SAP PO; Maximo WO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Reference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Trusted copy; rebuildable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Published AIM snapshot to a twin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telemetry; Power BI dataset; search index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Engagement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Where people act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Workspace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PA approvals, Procore RFIs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Intelligence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Inference that cites SoR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Decide, Foundry agents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OpenAI, Copilot, AI Search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Atana-owned SoR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Organisation, project, breakdowns, OIR/PIR/EIR/AIR, templates, information requirements, scope production packages, deliverable plan (not bytes), MIDP/TIDP, workflow state, IDS + last result, AIM completeness, graph, decisions, actions, risks, connector bindings, conflict records.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External SoR — Atana never overwrites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File bytes and revision (CDE). Geometry and element UniqueId (authoring). Cost, PO, vendor (ERP). Work order, failure code, downtime (CMMS). Live sensor value (twin / OT).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Binding keys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Join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atana.projectId ↔ CDE / hub project 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name + CDE lineageUrn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element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ifcGuid or Revit UniqueId + containerId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tagged onto element and CMMS assetnum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atana.irId / airId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Person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object ID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Integration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Six layers: Experience (Tasks, Teams, PBI, Copilot) → Intelligence (Graph, Decide, Foundry) → Domain services (Requirements, Plan, Compliance, AIM, Workflow) → Integration fabric (APIM, Event Grid, Service Bus, workers) → Adapters → external SoRs.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Eight adapter patterns — do not build 26 architectures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6046"/>
      </w:tblGrid>
      <w:tr>
        <w:trPr>
          <w:tblHeader/>
        </w:trP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/ documents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Docs, ACC, ProjectWise, Asite, Dalux, SharePoint libraries, Procore docs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Authoring / coordination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Revit, Civil 3D, Plant 3D, Navisworks, BIM Collaborate Pro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Collaboration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CDE reviews, Procore RFIs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Analytics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 runtime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Foundry, Azure OpenAI, AI Search, Microsoft Copilot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 / commercial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365, SAP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/ CMMS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Maximo, Hexagon, Aveva, generic CMMS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Digital Twins and vendor twins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Multi-tenant: tenantId on every message and row. Connectors scoped to tenant + project. Exactly one primary CDE (file SoR) per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Event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CloudEvents 1.0 JSON. Event Grid for fan-out. Service Bus for work that must not be lost. At-least-once delivery. Consumers idempotent on eventId + entityId. Inbound webhooks verified by vendor signature. Outbound webhooks HMAC, 3s timeout, retry 1/5/30/120 minutes.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emits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Consumers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requirement.published.v1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AIR/IR locked for a stage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IDS, authoring, search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plan.midp.generated.v1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committed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ensure-folder, Teams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deliverable.state.changed.v1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WIP → Shared → Published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ACL, PBI, Decide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compliance.result.recorded.v1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stored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AIM score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aim.completeness.changed.v1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Present vs required moved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Twin, FM, exec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gate.blocked.v1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Below stage threshold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recovery plan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decision.raised.v1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Action or risk created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PA, D365 case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conflict.opened.v1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SoRs disagree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IM inbox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consumes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CDE version.added and review.closed; pyRevit parameters.pushed; clash.test.completed; Graph item.updated; PA approval.completed; Maximo workorder.completed; twin telemetry threshold (recommendation only); ERP WBS changed (tag only).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Data contracts and master data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Canonical payloads: ProjectBinding, ContainerRef, DeliverablePlan, RequirementSpec, Observation, ComplianceResult, AssetRecord, DecisionAction, ConflictRecord. Every payload carries tenantId, projectId, schemaVersion. Completeness is always present/required at a named LOI. Stage 4 default gate remains 95%.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3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Domain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Master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Propagates as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Users / parties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role map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CDE permission jobs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Uniclass / catalogues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Revit / naming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Shared parameters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+ ATA_ZZ file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Pushed to Revit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identifier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AIM assetId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Written once to element + CMMS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 revision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in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Stage gate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project settings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elsewhere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Cost / vendor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 on package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Catalogue precedence is unchanged: USER &gt; ASSET &gt; PROJECT &gt; ORGANISATION &gt; SYSTEM. Connectors do not invent a sixth layer.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API contracts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REST under /v1 is the integration surface. GraphQL /graphql is read-mostly for the production Knowledge Graph. Errors RFC 7807. Idempotency-Key header. Scopes: atana.read, atana.plan.write, atana.compliance.write, atana.aim.write, atana.admin.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Method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Path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GET/PUT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/projects/{id}/bindings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External system maps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/projects/{id}/midp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SoR / generate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/projects/{id}/containers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joined to CDE refs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/observations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Idempotent upsert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/ids/runs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 IDS against a container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/aim/assets/{id}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Completeness + bindings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/graph/why/{id}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Reverse trace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/graph/impact/{id}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Forward impact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/ask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contract as atnAnswer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/conflicts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Open mapping disputes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/hooks/{connectorId}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Inbound webhook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Product catalogue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Shared defaults: Entra or vendor OAuth; secrets in Key Vault; least privilege; events first, nightly reconcile second, on-demand third; no last-write-wins on requirements; PWA and pyRevit may queue observations offline and flush idempotently; AIR, catalogues and gate thresholds never mutate offline; CDE revision letters are never rewritten by Atana.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2100"/>
        <w:gridCol w:w="2000"/>
        <w:gridCol w:w="1746"/>
        <w:gridCol w:w="1000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Data exchanged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Who owns truth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API / events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Hub, Docs, Issues, Coordination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Files/issues SoR ACC; plan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 read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Autodesk Docs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containers + versions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Docs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Management +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+ ATA_ZZ params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 SoR Revit; AIR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now; DA later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Navisworks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tests / viewpoints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SoR Navis; gate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XML/NWD + Model Coord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Civil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Site / civils property sets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P2 as Revit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 to CDE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Tags, specs, lines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policy per project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Manager extract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BIM Collab Pro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+ packages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fact SoR BC Pro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Model Coordination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SharePoint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Enterprise docs / BEP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Default SoRef; SoR only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Microsoft Graph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cards, approvals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Message ≠ record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 + bot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Automate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Customer flows on events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Cannot bypass FRRM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 /v1 connector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 Analytics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Health / AIM / gates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Dataset SoRef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Warehouse views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Future multi-agent host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SoI; cite graph; no AIM write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Atana tools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LLM behind Decide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Service-to-service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Pinned deployment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AI Search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Retrieval over published meta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Rebuildable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 + weekly rebuild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MS Copilot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M365 ask path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Plugin calls /v1/ask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Copilot plugin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Commercial / cases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Money SoR D365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Dataverse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SAP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WBS, vendor, PO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No FI writes from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Event Mesh + OData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IBM Maximo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+ asset ops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Dual key assetId/assetnum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Hexagon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warehouse / EAM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binding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SDx / EAM APIs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Aveva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Engineering + APM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Telemetry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NET / APM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ProjectWise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Alt/additional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Exactly one file SoR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WSG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Field + drawings + FM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Snag SoR Dalux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Asite if primary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 open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/ submittal / drawings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SoR Procore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Generic CMMS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as Maximo pattern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ICmmSAdapter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Handover + WO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 Twin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Runtime state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Nameplate SoR AIM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ADT / vendor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ACC / Docs (Wave 1)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container store and hub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Folders, items, versions, reviews, members, issues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→ Atana version+state. Atana → Docs ensure-folder from MIDP only when policy allows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version.added, review.closed, issue.created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owns bytes and revision. Atana owns whether that file satisfies a plan row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3-legged user; 2-legged daemon where permitted; app registration isolated from ERP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Webhook then nightly tree walk for drift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= Docs. Required container list = MIDP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files claim one ISO number → ConflictRecord. No auto-rename unless naming.enforce=true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Desktop Connector cache is not 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Item lineage is the only accepted history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Revit (Wave 2)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 geometry and typed parameters that satisfy AIR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UniqueId, category, type, ATA_ZZ shared parameters, rooms, levels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→ Revit: parameter definition + IDS expectation. Revit → Atana: observations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model.published to Docs; pyRevit parameters.pushed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SoR = Revit. Requirement SoR = AIR. Value is an observation until AIM accept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User-scoped pyRevit token to Atana API; Design Automation later uses isolated credentials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 publish + explicit Push to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Element id = Revit. Asset id = Atana, written into a reserved parameter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value ≠ accepted AIM value → keep both, IM accepts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queues JSON, flush on next online push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Host model version = CDE version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Maximo (Wave 4)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 management after handover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assetnum, locations, job plans, work orders, failure codes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→ create/update Maximo asset. WO complete → ops observation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asset.updated, workorder.completed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SoR = Maximo. Required operating information = AIR/AIM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 via Key Vault; write scope only on handover job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Once-per-asset handover plus incremental WO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stored in Maximo spec; assetnum stored on 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Optional opsWinsAfterHandover for operating fields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mobile is vendor-owned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and WO revisions stay in Maximo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Lifecycle data flow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Need (OIR/PIR/EIR) → AIR / templates / IR → MIDP / packages / containers → authoring → CDE states → IDS / observations → AIM present vs required → stage gate → handover snapshot → CMMS + twin → operations observations → lessons into the catalogue (never a silent mutation of AIR).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Fire Rating walk already in the Graph seed: OIR safe building → PIR compartmentation known → EIR fire-rated openings at Stage 4 → AIR Fire Rating on every door → template Door → IDS → D-02 missing → gate.blocked → action to the Information Author → AIM accept → later Maximo and twin receive D-02.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9. Enterprise service model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Capability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Identity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RBAC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users, Atana roles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DGE / MIDP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adapter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files, Atana plan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/ observation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results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completeness; CMMS work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KGE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Decide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AOAI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Fabric + adapters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in Atana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10. Security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Zero secrets in Atana-IM-Tasks.html. Conditional access for people; managed identity for workers. Separate app registrations per adapter pattern. Project roles remain IA, PR, TTIM, TTM, DTL, PDM, IM, DM plus org/sys admin. Connectors write only mapped fields. Audit already specified: who, when, why, old, new. PII from Entra is not copied into twin telemetry. Optional CMEK. Supplier access is time-boxed and cannot edit catalogues.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11. Conflict, offline, version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1. The field map says which system may write the field. 2. If two writes land, open a ConflictRecord and keep both values. 3. IM accepts one; the other is archived. 4. After handover, operating fields may use opsWinsAfterHandover. Offline capture is observations only. Contracts version additively; a breaking change is a new .v2 event type. Each accepted gate produces an immutable aimSnapshotId.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12. Implementation roadmap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41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Scope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Exit criterion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0 Done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HTML tool + in-memory KGE 3.6.1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Graph/Decide answers the Fire Rating walk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1 Next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API, CloudEvents, ACC/Docs read, SharePoint read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row shows live CDE version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observation push + IDS run store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D-02 missing Fire Rating arrives from the model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Power BI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 and dataset match Atana percent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/ CMMS + ERP tags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creates dual-key asset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snapshot + Foundry tools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id = asset id; Copilot cites graph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Parked and not in this wave: ACC/SharePoint write-back inside the HTML file, live twin UI, multi-agent product, executive command center UI. Wave 1 does not write bytes into a CDE unless the IM enables naming.enforce on that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13. Why this is the leap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already the system of intelligence for a single project. Horizontal integration is where that intelligence either governs the estate or becomes a sidecar spreadsheet. The rule that prevents the sidecar is simple: one master per field, events instead of nightly guesswork, and conflicts made visible to the Information Manager instead of overwritten.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Recommended next product prompts after Wave 1 is running: Executive Command Center, Portfolio Intelligence, Multi-Agent Atana, Digital Twin Strategy, Atana Copilot grounded on /v1/ask. None of those replace this fabric; they consume it.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Confidential  ·  Implementation architecture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7A6B79"/>
        <w:sz w:val="16"/>
        <w:szCs w:val="16"/>
      </w:rPr>
      <w:t xml:space="preserve">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Atana  ·  Ecosystem Architecture v1.0</w:t>
    </w:r>
    <w:r>
      <w:rPr>
        <w:rFonts w:ascii="Calibri" w:cs="Calibri" w:eastAsia="Calibri" w:hAnsi="Calibri"/>
        <w:color w:val="847918"/>
        <w:sz w:val="16"/>
        <w:szCs w:val="16"/>
      </w:rPr>
      <w:t xml:space="preserve">	Information Lifecycle 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60365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1A420E5-3CB9-42A5-9173-D96964A4A73D}"/>
</file>

<file path=customXml/itemProps2.xml><?xml version="1.0" encoding="utf-8"?>
<ds:datastoreItem xmlns:ds="http://schemas.openxmlformats.org/officeDocument/2006/customXml" ds:itemID="{F52856C4-C994-498C-AB44-336DE6DEB944}"/>
</file>

<file path=customXml/itemProps3.xml><?xml version="1.0" encoding="utf-8"?>
<ds:datastoreItem xmlns:ds="http://schemas.openxmlformats.org/officeDocument/2006/customXml" ds:itemID="{D7FABEF8-E931-4D0A-900F-CA8E73DDE979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Ecosystem Architecture v1.0</dc:title>
  <dc:creator>Atana</dc:creator>
  <dc:description>Horizontal integration architecture for the Atana Information Lifecycle Operating System</dc:description>
  <cp:lastModifiedBy>Un-named</cp:lastModifiedBy>
  <cp:revision>1</cp:revision>
  <dcterms:created xsi:type="dcterms:W3CDTF">2026-08-31T19:27:00Z</dcterms:created>
  <dcterms:modified xsi:type="dcterms:W3CDTF">2026-08-31T19:27:00Z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