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260"/>
      </w:pPr>
      <w:r>
        <w:rPr>
          <w:rFonts w:ascii="Arial" w:cs="Arial" w:eastAsia="Arial" w:hAnsi="Arial"/>
          <w:b/>
          <w:bCs/>
          <w:color w:val="5B2D8E"/>
          <w:sz w:val="38"/>
          <w:szCs w:val="38"/>
        </w:rPr>
        <w:t xml:space="preserve">ATANA</w:t>
      </w:r>
    </w:p>
    <w:p>
      <w:pPr>
        <w:spacing w:after="20" w:line="260"/>
      </w:pPr>
      <w:r>
        <w:rPr>
          <w:rFonts w:ascii="Arial" w:cs="Arial" w:eastAsia="Arial" w:hAnsi="Arial"/>
          <w:b/>
          <w:bCs/>
          <w:color w:val="1C1917"/>
          <w:sz w:val="26"/>
          <w:szCs w:val="26"/>
        </w:rPr>
        <w:t xml:space="preserve">Information Requirements Engine v1.0</w:t>
      </w:r>
    </w:p>
    <w:p>
      <w:pPr>
        <w:spacing w:after="100" w:line="260"/>
      </w:pPr>
      <w:r>
        <w:rPr>
          <w:rFonts w:ascii="Arial" w:cs="Arial" w:eastAsia="Arial" w:hAnsi="Arial"/>
          <w:color w:val="57534E"/>
          <w:sz w:val="19"/>
          <w:szCs w:val="19"/>
        </w:rPr>
        <w:t xml:space="preserve">DPoW is the front-end. Scope Production Package is the persistent object. LOI workbook is the catalogue. 31 August 2026.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1. Principle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Deliverables are evidence. Information requirements are the need. A Uniclass Ss row is not a task. It is a Scope Production Package that matures through workstages without being recreated.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Task team → Scope production package → work stage → LOD → LOI → information requirements → parameters → required deliverables → MIDP/TIDP.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2. Entities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4000"/>
      </w:tblGrid>
      <w:tr>
        <w:tc>
          <w:tcPr>
            <w:tcW w:type="dxa" w:w="2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Entity</w:t>
            </w:r>
          </w:p>
        </w:tc>
        <w:tc>
          <w:tcPr>
            <w:tcW w:type="dxa" w:w="3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4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IrCatalogue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LOI workbook import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Versioned; P1 parking lot for full parser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InformationRequirement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Workbook line</w:t>
            </w:r>
          </w:p>
        </w:tc>
        <w:tc>
          <w:tcPr>
            <w:tcW w:type="dxa" w:w="4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Team, category, type, attribute, datatype, unit, IFC pset, LOI2–5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ScopeProductionPackage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DPoW scope / Production package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Unique project+Ss+Ro(+FB)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SppStageTarget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DPoW grid cell</w:t>
            </w:r>
          </w:p>
        </w:tc>
        <w:tc>
          <w:tcPr>
            <w:tcW w:type="dxa" w:w="4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lod_target, loi_target only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SppIrLink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Match category to Ss name/team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Required flag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SppDeliverableLink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 rows for that team/scope</w:t>
            </w:r>
          </w:p>
        </w:tc>
        <w:tc>
          <w:tcPr>
            <w:tcW w:type="dxa" w:w="4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Evidence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IrObservation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Model / CDE / manual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present boolean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3. Compliance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compliancePct = 100 * presentRequired / requiredN.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Missing list = required attributes with no observation.present. Door schedule example: Manufacturer, Asset Identifier, Fire Rating missing → 72% if 7 of 10 present.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Workstage gate: package may not move Shared/Published for that stage if compliancePct &lt; project threshold (default 80). Gate is configuration, not hardcoded.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4. APIs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00"/>
      </w:tblGrid>
      <w:tr>
        <w:tc>
          <w:tcPr>
            <w:tcW w:type="dxa" w:w="1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8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Route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/v1/orgs/{id}/ir-catalogues (multipart xlsx) — P1</w:t>
            </w:r>
          </w:p>
        </w:tc>
      </w:tr>
      <w:tr>
        <w:tc>
          <w:tcPr>
            <w:tcW w:type="dxa" w:w="1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/v1/ir?team=&amp;category=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</w:t>
            </w:r>
          </w:p>
        </w:tc>
      </w:tr>
      <w:tr>
        <w:tc>
          <w:tcPr>
            <w:tcW w:type="dxa" w:w="1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PUT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/v1/projects/{id}/scope-packages/{sppId}/stages/{stageId}</w:t>
            </w:r>
          </w:p>
        </w:tc>
      </w:tr>
      <w:tr>
        <w:tc>
          <w:tcPr>
            <w:tcW w:type="dxa" w:w="1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/v1/projects/{id}/scope-packages/{sppId}/compliance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/v1/projects/{id}/scope-packages/{sppId}/observations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5. UI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DPoW grid remains the plan surface (already in PWA v3.40).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Click scope → Overview, Deliverables, LOD, Attributes, Workflow (shipped).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Next screen: IR Matrix (team × category × LOI columns) read-only from catalogue.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Next screen: Compliance per package (required / present / missing).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Do not build IFC/Revit write-back until observations exist.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6. JSON and SQL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Atana-IRE-Schema.json and Atana-IRE-Schema.sql. ERD in Atana-Architecture-Diagrams-v1.md section 6. In-app LOI_BY_ROLE is the seed catalogue until the workbook importer exists.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7. Parking lot (do not build now)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P1 workbook import. P2–P3 full catalogues. P4 AIR. P5 EIR. P6 compliance engine against live model. P7–P10 IFC/Revit/COBie/twin maps. P11–P15 dashboards and maturity scores.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8. Next workstream after IRE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AIM / AIR / EIR architecture — only after a package can show required vs present attributes. Until then, keep generating MIDP from DGE and viewing IR from the catalogue already in the PWA.</w:t>
      </w:r>
    </w:p>
    <w:sectPr>
      <w:headerReference w:type="default" r:id="rId7"/>
      <w:footerReference w:type="default" r:id="rId8"/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IRE Specification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70" w:before="240"/>
      <w:outlineLvl w:val="0"/>
    </w:pPr>
    <w:rPr>
      <w:rFonts w:ascii="Arial" w:cs="Arial" w:eastAsia="Arial" w:hAnsi="Arial"/>
      <w:b/>
      <w:bCs/>
      <w:color w:val="5B2D8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D46983D-9AB8-49F4-857F-C8A794DA39AB}"/>
</file>

<file path=customXml/itemProps2.xml><?xml version="1.0" encoding="utf-8"?>
<ds:datastoreItem xmlns:ds="http://schemas.openxmlformats.org/officeDocument/2006/customXml" ds:itemID="{72C9C6DF-FD49-462E-A2FA-876C1140D097}"/>
</file>

<file path=customXml/itemProps3.xml><?xml version="1.0" encoding="utf-8"?>
<ds:datastoreItem xmlns:ds="http://schemas.openxmlformats.org/officeDocument/2006/customXml" ds:itemID="{C846EAD4-ADFB-4605-B28B-4F21838E991E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2026-08-31T10:38:53Z</dcterms:created>
  <dcterms:modified xsi:type="dcterms:W3CDTF">2026-08-31T10:38:53Z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