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line="260"/>
      </w:pPr>
      <w:r>
        <w:rPr>
          <w:rFonts w:ascii="Arial" w:cs="Arial" w:eastAsia="Arial" w:hAnsi="Arial"/>
          <w:b/>
          <w:bCs/>
          <w:color w:val="5B2D8E"/>
          <w:sz w:val="38"/>
          <w:szCs w:val="38"/>
        </w:rPr>
        <w:t xml:space="preserve">ATANA</w:t>
      </w:r>
    </w:p>
    <w:p>
      <w:pPr>
        <w:spacing w:after="16" w:line="260"/>
      </w:pPr>
      <w:r>
        <w:rPr>
          <w:rFonts w:ascii="Arial" w:cs="Arial" w:eastAsia="Arial" w:hAnsi="Arial"/>
          <w:b/>
          <w:bCs/>
          <w:color w:val="1C1917"/>
          <w:sz w:val="26"/>
          <w:szCs w:val="26"/>
        </w:rPr>
        <w:t xml:space="preserve">Asset Information Model Engine v1.0</w:t>
      </w:r>
    </w:p>
    <w:p>
      <w:pPr>
        <w:spacing w:after="100" w:line="260"/>
      </w:pPr>
      <w:r>
        <w:rPr>
          <w:rFonts w:ascii="Arial" w:cs="Arial" w:eastAsia="Arial" w:hAnsi="Arial"/>
          <w:color w:val="57534E"/>
          <w:sz w:val="19"/>
          <w:szCs w:val="19"/>
        </w:rPr>
        <w:t xml:space="preserve">Information belongs on assets. Deliverables are evidence. DPoW visualises SPP → assets → IR. 31 August 2026.</w:t>
      </w:r>
    </w:p>
    <w:p>
      <w:pPr>
        <w:pStyle w:val="Heading1"/>
        <w:pBdr>
          <w:bottom w:val="single" w:color="5B2D8E" w:sz="10" w:space="3"/>
        </w:pBdr>
        <w:spacing w:after="70" w:before="220"/>
      </w:pPr>
      <w:r>
        <w:rPr>
          <w:rFonts w:ascii="Arial" w:cs="Arial" w:eastAsia="Arial" w:hAnsi="Arial"/>
          <w:b/>
          <w:bCs/>
          <w:color w:val="5B2D8E"/>
          <w:sz w:val="30"/>
          <w:szCs w:val="30"/>
        </w:rPr>
        <w:t xml:space="preserve">1. Principle</w:t>
      </w:r>
    </w:p>
    <w:p>
      <w:pPr>
        <w:spacing w:after="100" w:line="260"/>
      </w:pPr>
      <w:r>
        <w:rPr>
          <w:rFonts w:ascii="Arial" w:cs="Arial" w:eastAsia="Arial" w:hAnsi="Arial"/>
          <w:color w:val="1C1917"/>
          <w:sz w:val="21"/>
          <w:szCs w:val="21"/>
        </w:rPr>
        <w:t xml:space="preserve">ISO 19650 path: Project → information requirements → assets → deliverables. AIM Asset Type is the catalogue. AIM Asset is the instance (mark, GUID, FB, spatial). Completeness is attributes present, not MIDP row count.</w:t>
      </w:r>
    </w:p>
    <w:p>
      <w:pPr>
        <w:pStyle w:val="Heading1"/>
        <w:pBdr>
          <w:bottom w:val="single" w:color="5B2D8E" w:sz="10" w:space="3"/>
        </w:pBdr>
        <w:spacing w:after="70" w:before="220"/>
      </w:pPr>
      <w:r>
        <w:rPr>
          <w:rFonts w:ascii="Arial" w:cs="Arial" w:eastAsia="Arial" w:hAnsi="Arial"/>
          <w:b/>
          <w:bCs/>
          <w:color w:val="5B2D8E"/>
          <w:sz w:val="30"/>
          <w:szCs w:val="30"/>
        </w:rPr>
        <w:t xml:space="preserve">2. Entities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5B2D8E" w:val="clear"/>
            <w:tcMar>
              <w:top w:type="dxa" w:w="36"/>
              <w:left w:type="dxa" w:w="50"/>
              <w:bottom w:type="dxa" w:w="36"/>
              <w:right w:type="dxa" w:w="50"/>
            </w:tcMar>
          </w:tcPr>
          <w:p>
            <w:r>
              <w:rPr>
                <w:rFonts w:ascii="Arial" w:cs="Arial" w:eastAsia="Arial" w:hAnsi="Arial"/>
                <w:b/>
                <w:bCs/>
                <w:color w:val="FFFFFF"/>
                <w:sz w:val="17"/>
                <w:szCs w:val="17"/>
              </w:rPr>
              <w:t xml:space="preserve">Entity</w:t>
            </w:r>
          </w:p>
        </w:tc>
        <w:tc>
          <w:tcPr>
            <w:tcW w:type="dxa" w:w="6600"/>
            <w:shd w:fill="5B2D8E" w:val="clear"/>
            <w:tcMar>
              <w:top w:type="dxa" w:w="36"/>
              <w:left w:type="dxa" w:w="50"/>
              <w:bottom w:type="dxa" w:w="36"/>
              <w:right w:type="dxa" w:w="50"/>
            </w:tcMar>
          </w:tcPr>
          <w:p>
            <w:r>
              <w:rPr>
                <w:rFonts w:ascii="Arial" w:cs="Arial" w:eastAsia="Arial" w:hAnsi="Arial"/>
                <w:b/>
                <w:bCs/>
                <w:color w:val="FFFFFF"/>
                <w:sz w:val="17"/>
                <w:szCs w:val="17"/>
              </w:rPr>
              <w:t xml:space="preserve">Role</w:t>
            </w:r>
          </w:p>
        </w:tc>
      </w:tr>
      <w:tr>
        <w:tc>
          <w:tcPr>
            <w:tcW w:type="dxa" w:w="3200"/>
            <w:tcMar>
              <w:top w:type="dxa" w:w="36"/>
              <w:left w:type="dxa" w:w="50"/>
              <w:bottom w:type="dxa" w:w="36"/>
              <w:right w:type="dxa" w:w="50"/>
            </w:tcMar>
          </w:tcPr>
          <w:p>
            <w:r>
              <w:rPr>
                <w:rFonts w:ascii="Arial" w:cs="Arial" w:eastAsia="Arial" w:hAnsi="Arial"/>
                <w:b w:val="false"/>
                <w:bCs w:val="false"/>
                <w:color w:val="1C1917"/>
                <w:sz w:val="17"/>
                <w:szCs w:val="17"/>
              </w:rPr>
              <w:t xml:space="preserve">AssetType</w:t>
            </w:r>
          </w:p>
        </w:tc>
        <w:tc>
          <w:tcPr>
            <w:tcW w:type="dxa" w:w="6600"/>
            <w:tcMar>
              <w:top w:type="dxa" w:w="36"/>
              <w:left w:type="dxa" w:w="50"/>
              <w:bottom w:type="dxa" w:w="36"/>
              <w:right w:type="dxa" w:w="50"/>
            </w:tcMar>
          </w:tcPr>
          <w:p>
            <w:r>
              <w:rPr>
                <w:rFonts w:ascii="Arial" w:cs="Arial" w:eastAsia="Arial" w:hAnsi="Arial"/>
                <w:b w:val="false"/>
                <w:bCs w:val="false"/>
                <w:color w:val="1C1917"/>
                <w:sz w:val="17"/>
                <w:szCs w:val="17"/>
              </w:rPr>
              <w:t xml:space="preserve">Door, AHU, camera. Links Ss, Ro, IfcEntity</w:t>
            </w:r>
          </w:p>
        </w:tc>
      </w:tr>
      <w:tr>
        <w:tc>
          <w:tcPr>
            <w:tcW w:type="dxa" w:w="32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AssetTypeIr</w:t>
            </w:r>
          </w:p>
        </w:tc>
        <w:tc>
          <w:tcPr>
            <w:tcW w:type="dxa" w:w="66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Required IR rows for that type</w:t>
            </w:r>
          </w:p>
        </w:tc>
      </w:tr>
      <w:tr>
        <w:tc>
          <w:tcPr>
            <w:tcW w:type="dxa" w:w="3200"/>
            <w:tcMar>
              <w:top w:type="dxa" w:w="36"/>
              <w:left w:type="dxa" w:w="50"/>
              <w:bottom w:type="dxa" w:w="36"/>
              <w:right w:type="dxa" w:w="50"/>
            </w:tcMar>
          </w:tcPr>
          <w:p>
            <w:r>
              <w:rPr>
                <w:rFonts w:ascii="Arial" w:cs="Arial" w:eastAsia="Arial" w:hAnsi="Arial"/>
                <w:b w:val="false"/>
                <w:bCs w:val="false"/>
                <w:color w:val="1C1917"/>
                <w:sz w:val="17"/>
                <w:szCs w:val="17"/>
              </w:rPr>
              <w:t xml:space="preserve">AssetTypeDeliverable</w:t>
            </w:r>
          </w:p>
        </w:tc>
        <w:tc>
          <w:tcPr>
            <w:tcW w:type="dxa" w:w="6600"/>
            <w:tcMar>
              <w:top w:type="dxa" w:w="36"/>
              <w:left w:type="dxa" w:w="50"/>
              <w:bottom w:type="dxa" w:w="36"/>
              <w:right w:type="dxa" w:w="50"/>
            </w:tcMar>
          </w:tcPr>
          <w:p>
            <w:r>
              <w:rPr>
                <w:rFonts w:ascii="Arial" w:cs="Arial" w:eastAsia="Arial" w:hAnsi="Arial"/>
                <w:b w:val="false"/>
                <w:bCs w:val="false"/>
                <w:color w:val="1C1917"/>
                <w:sz w:val="17"/>
                <w:szCs w:val="17"/>
              </w:rPr>
              <w:t xml:space="preserve">DOOR SCHEDULE, DOOR DETAILS</w:t>
            </w:r>
          </w:p>
        </w:tc>
      </w:tr>
      <w:tr>
        <w:tc>
          <w:tcPr>
            <w:tcW w:type="dxa" w:w="32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AimAsset</w:t>
            </w:r>
          </w:p>
        </w:tc>
        <w:tc>
          <w:tcPr>
            <w:tcW w:type="dxa" w:w="66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Instance on a project and SPP</w:t>
            </w:r>
          </w:p>
        </w:tc>
      </w:tr>
      <w:tr>
        <w:tc>
          <w:tcPr>
            <w:tcW w:type="dxa" w:w="3200"/>
            <w:tcMar>
              <w:top w:type="dxa" w:w="36"/>
              <w:left w:type="dxa" w:w="50"/>
              <w:bottom w:type="dxa" w:w="36"/>
              <w:right w:type="dxa" w:w="50"/>
            </w:tcMar>
          </w:tcPr>
          <w:p>
            <w:r>
              <w:rPr>
                <w:rFonts w:ascii="Arial" w:cs="Arial" w:eastAsia="Arial" w:hAnsi="Arial"/>
                <w:b w:val="false"/>
                <w:bCs w:val="false"/>
                <w:color w:val="1C1917"/>
                <w:sz w:val="17"/>
                <w:szCs w:val="17"/>
              </w:rPr>
              <w:t xml:space="preserve">IrObservation</w:t>
            </w:r>
          </w:p>
        </w:tc>
        <w:tc>
          <w:tcPr>
            <w:tcW w:type="dxa" w:w="6600"/>
            <w:tcMar>
              <w:top w:type="dxa" w:w="36"/>
              <w:left w:type="dxa" w:w="50"/>
              <w:bottom w:type="dxa" w:w="36"/>
              <w:right w:type="dxa" w:w="50"/>
            </w:tcMar>
          </w:tcPr>
          <w:p>
            <w:r>
              <w:rPr>
                <w:rFonts w:ascii="Arial" w:cs="Arial" w:eastAsia="Arial" w:hAnsi="Arial"/>
                <w:b w:val="false"/>
                <w:bCs w:val="false"/>
                <w:color w:val="1C1917"/>
                <w:sz w:val="17"/>
                <w:szCs w:val="17"/>
              </w:rPr>
              <w:t xml:space="preserve">Reused from IRE — present/absent</w:t>
            </w:r>
          </w:p>
        </w:tc>
      </w:tr>
      <w:tr>
        <w:tc>
          <w:tcPr>
            <w:tcW w:type="dxa" w:w="32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vw_asset_completeness</w:t>
            </w:r>
          </w:p>
        </w:tc>
        <w:tc>
          <w:tcPr>
            <w:tcW w:type="dxa" w:w="66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required vs present per mark</w:t>
            </w:r>
          </w:p>
        </w:tc>
      </w:tr>
      <w:tr>
        <w:tc>
          <w:tcPr>
            <w:tcW w:type="dxa" w:w="3200"/>
            <w:tcMar>
              <w:top w:type="dxa" w:w="36"/>
              <w:left w:type="dxa" w:w="50"/>
              <w:bottom w:type="dxa" w:w="36"/>
              <w:right w:type="dxa" w:w="50"/>
            </w:tcMar>
          </w:tcPr>
          <w:p>
            <w:r>
              <w:rPr>
                <w:rFonts w:ascii="Arial" w:cs="Arial" w:eastAsia="Arial" w:hAnsi="Arial"/>
                <w:b w:val="false"/>
                <w:bCs w:val="false"/>
                <w:color w:val="1C1917"/>
                <w:sz w:val="17"/>
                <w:szCs w:val="17"/>
              </w:rPr>
              <w:t xml:space="preserve">vw_asset_type_dashboard</w:t>
            </w:r>
          </w:p>
        </w:tc>
        <w:tc>
          <w:tcPr>
            <w:tcW w:type="dxa" w:w="6600"/>
            <w:tcMar>
              <w:top w:type="dxa" w:w="36"/>
              <w:left w:type="dxa" w:w="50"/>
              <w:bottom w:type="dxa" w:w="36"/>
              <w:right w:type="dxa" w:w="50"/>
            </w:tcMar>
          </w:tcPr>
          <w:p>
            <w:r>
              <w:rPr>
                <w:rFonts w:ascii="Arial" w:cs="Arial" w:eastAsia="Arial" w:hAnsi="Arial"/>
                <w:b w:val="false"/>
                <w:bCs w:val="false"/>
                <w:color w:val="1C1917"/>
                <w:sz w:val="17"/>
                <w:szCs w:val="17"/>
              </w:rPr>
              <w:t xml:space="preserve">Doors 85%, AHUs 72%</w:t>
            </w:r>
          </w:p>
        </w:tc>
      </w:tr>
    </w:tbl>
    <w:p>
      <w:pPr>
        <w:pStyle w:val="Heading1"/>
        <w:pBdr>
          <w:bottom w:val="single" w:color="5B2D8E" w:sz="10" w:space="3"/>
        </w:pBdr>
        <w:spacing w:after="70" w:before="220"/>
      </w:pPr>
      <w:r>
        <w:rPr>
          <w:rFonts w:ascii="Arial" w:cs="Arial" w:eastAsia="Arial" w:hAnsi="Arial"/>
          <w:b/>
          <w:bCs/>
          <w:color w:val="5B2D8E"/>
          <w:sz w:val="30"/>
          <w:szCs w:val="30"/>
        </w:rPr>
        <w:t xml:space="preserve">3. Algorithms</w:t>
      </w:r>
    </w:p>
    <w:p>
      <w:pPr>
        <w:spacing w:after="100" w:line="260"/>
      </w:pPr>
      <w:r>
        <w:rPr>
          <w:rFonts w:ascii="Arial" w:cs="Arial" w:eastAsia="Arial" w:hAnsi="Arial"/>
          <w:color w:val="1C1917"/>
          <w:sz w:val="21"/>
          <w:szCs w:val="21"/>
        </w:rPr>
        <w:t xml:space="preserve">Asset completeness = 100 × present IR / required IR for that type (via observations on the parent SPP until instance-level observations exist).</w:t>
      </w:r>
    </w:p>
    <w:p>
      <w:pPr>
        <w:spacing w:after="100" w:line="260"/>
      </w:pPr>
      <w:r>
        <w:rPr>
          <w:rFonts w:ascii="Arial" w:cs="Arial" w:eastAsia="Arial" w:hAnsi="Arial"/>
          <w:color w:val="1C1917"/>
          <w:sz w:val="21"/>
          <w:szCs w:val="21"/>
        </w:rPr>
        <w:t xml:space="preserve">Information completeness for a package = average of asset completeness on that SPP. Dashboard groups by type_code. Missing list = required attribute names with present=false.</w:t>
      </w:r>
    </w:p>
    <w:p>
      <w:pPr>
        <w:spacing w:after="100" w:line="260"/>
      </w:pPr>
      <w:r>
        <w:rPr>
          <w:rFonts w:ascii="Arial" w:cs="Arial" w:eastAsia="Arial" w:hAnsi="Arial"/>
          <w:color w:val="1C1917"/>
          <w:sz w:val="21"/>
          <w:szCs w:val="21"/>
        </w:rPr>
        <w:t xml:space="preserve">Do not treat MIDP % as AIM %. They can be shown side by side.</w:t>
      </w:r>
    </w:p>
    <w:p>
      <w:pPr>
        <w:pStyle w:val="Heading1"/>
        <w:pBdr>
          <w:bottom w:val="single" w:color="5B2D8E" w:sz="10" w:space="3"/>
        </w:pBdr>
        <w:spacing w:after="70" w:before="220"/>
      </w:pPr>
      <w:r>
        <w:rPr>
          <w:rFonts w:ascii="Arial" w:cs="Arial" w:eastAsia="Arial" w:hAnsi="Arial"/>
          <w:b/>
          <w:bCs/>
          <w:color w:val="5B2D8E"/>
          <w:sz w:val="30"/>
          <w:szCs w:val="30"/>
        </w:rPr>
        <w:t xml:space="preserve">4. APIs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800"/>
      </w:tblGrid>
      <w:tr>
        <w:tc>
          <w:tcPr>
            <w:tcW w:type="dxa" w:w="2000"/>
            <w:shd w:fill="5B2D8E" w:val="clear"/>
            <w:tcMar>
              <w:top w:type="dxa" w:w="36"/>
              <w:left w:type="dxa" w:w="50"/>
              <w:bottom w:type="dxa" w:w="36"/>
              <w:right w:type="dxa" w:w="50"/>
            </w:tcMar>
          </w:tcPr>
          <w:p>
            <w:r>
              <w:rPr>
                <w:rFonts w:ascii="Arial" w:cs="Arial" w:eastAsia="Arial" w:hAnsi="Arial"/>
                <w:b/>
                <w:bCs/>
                <w:color w:val="FFFFFF"/>
                <w:sz w:val="17"/>
                <w:szCs w:val="17"/>
              </w:rPr>
              <w:t xml:space="preserve">Method</w:t>
            </w:r>
          </w:p>
        </w:tc>
        <w:tc>
          <w:tcPr>
            <w:tcW w:type="dxa" w:w="7800"/>
            <w:shd w:fill="5B2D8E" w:val="clear"/>
            <w:tcMar>
              <w:top w:type="dxa" w:w="36"/>
              <w:left w:type="dxa" w:w="50"/>
              <w:bottom w:type="dxa" w:w="36"/>
              <w:right w:type="dxa" w:w="50"/>
            </w:tcMar>
          </w:tcPr>
          <w:p>
            <w:r>
              <w:rPr>
                <w:rFonts w:ascii="Arial" w:cs="Arial" w:eastAsia="Arial" w:hAnsi="Arial"/>
                <w:b/>
                <w:bCs/>
                <w:color w:val="FFFFFF"/>
                <w:sz w:val="17"/>
                <w:szCs w:val="17"/>
              </w:rPr>
              <w:t xml:space="preserve">Route</w:t>
            </w:r>
          </w:p>
        </w:tc>
      </w:tr>
      <w:tr>
        <w:tc>
          <w:tcPr>
            <w:tcW w:type="dxa" w:w="2000"/>
            <w:tcMar>
              <w:top w:type="dxa" w:w="36"/>
              <w:left w:type="dxa" w:w="50"/>
              <w:bottom w:type="dxa" w:w="36"/>
              <w:right w:type="dxa" w:w="50"/>
            </w:tcMar>
          </w:tcPr>
          <w:p>
            <w:r>
              <w:rPr>
                <w:rFonts w:ascii="Arial" w:cs="Arial" w:eastAsia="Arial" w:hAnsi="Arial"/>
                <w:b w:val="false"/>
                <w:bCs w:val="false"/>
                <w:color w:val="1C1917"/>
                <w:sz w:val="17"/>
                <w:szCs w:val="17"/>
              </w:rPr>
              <w:t xml:space="preserve">GET/POST</w:t>
            </w:r>
          </w:p>
        </w:tc>
        <w:tc>
          <w:tcPr>
            <w:tcW w:type="dxa" w:w="7800"/>
            <w:tcMar>
              <w:top w:type="dxa" w:w="36"/>
              <w:left w:type="dxa" w:w="50"/>
              <w:bottom w:type="dxa" w:w="36"/>
              <w:right w:type="dxa" w:w="50"/>
            </w:tcMar>
          </w:tcPr>
          <w:p>
            <w:r>
              <w:rPr>
                <w:rFonts w:ascii="Arial" w:cs="Arial" w:eastAsia="Arial" w:hAnsi="Arial"/>
                <w:b w:val="false"/>
                <w:bCs w:val="false"/>
                <w:color w:val="1C1917"/>
                <w:sz w:val="17"/>
                <w:szCs w:val="17"/>
              </w:rPr>
              <w:t xml:space="preserve">/v1/orgs/{id}/asset-types</w:t>
            </w:r>
          </w:p>
        </w:tc>
      </w:tr>
      <w:tr>
        <w:tc>
          <w:tcPr>
            <w:tcW w:type="dxa" w:w="20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GET/POST</w:t>
            </w:r>
          </w:p>
        </w:tc>
        <w:tc>
          <w:tcPr>
            <w:tcW w:type="dxa" w:w="78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/v1/projects/{id}/assets</w:t>
            </w:r>
          </w:p>
        </w:tc>
      </w:tr>
      <w:tr>
        <w:tc>
          <w:tcPr>
            <w:tcW w:type="dxa" w:w="2000"/>
            <w:tcMar>
              <w:top w:type="dxa" w:w="36"/>
              <w:left w:type="dxa" w:w="50"/>
              <w:bottom w:type="dxa" w:w="36"/>
              <w:right w:type="dxa" w:w="50"/>
            </w:tcMar>
          </w:tcPr>
          <w:p>
            <w:r>
              <w:rPr>
                <w:rFonts w:ascii="Arial" w:cs="Arial" w:eastAsia="Arial" w:hAnsi="Arial"/>
                <w:b w:val="false"/>
                <w:bCs w:val="false"/>
                <w:color w:val="1C1917"/>
                <w:sz w:val="17"/>
                <w:szCs w:val="17"/>
              </w:rPr>
              <w:t xml:space="preserve">GET</w:t>
            </w:r>
          </w:p>
        </w:tc>
        <w:tc>
          <w:tcPr>
            <w:tcW w:type="dxa" w:w="7800"/>
            <w:tcMar>
              <w:top w:type="dxa" w:w="36"/>
              <w:left w:type="dxa" w:w="50"/>
              <w:bottom w:type="dxa" w:w="36"/>
              <w:right w:type="dxa" w:w="50"/>
            </w:tcMar>
          </w:tcPr>
          <w:p>
            <w:r>
              <w:rPr>
                <w:rFonts w:ascii="Arial" w:cs="Arial" w:eastAsia="Arial" w:hAnsi="Arial"/>
                <w:b w:val="false"/>
                <w:bCs w:val="false"/>
                <w:color w:val="1C1917"/>
                <w:sz w:val="17"/>
                <w:szCs w:val="17"/>
              </w:rPr>
              <w:t xml:space="preserve">/v1/projects/{id}/assets/{id}/completeness</w:t>
            </w:r>
          </w:p>
        </w:tc>
      </w:tr>
      <w:tr>
        <w:tc>
          <w:tcPr>
            <w:tcW w:type="dxa" w:w="20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GET</w:t>
            </w:r>
          </w:p>
        </w:tc>
        <w:tc>
          <w:tcPr>
            <w:tcW w:type="dxa" w:w="7800"/>
            <w:shd w:fill="F5F0FA" w:val="clear"/>
            <w:tcMar>
              <w:top w:type="dxa" w:w="36"/>
              <w:left w:type="dxa" w:w="50"/>
              <w:bottom w:type="dxa" w:w="36"/>
              <w:right w:type="dxa" w:w="50"/>
            </w:tcMar>
          </w:tcPr>
          <w:p>
            <w:r>
              <w:rPr>
                <w:rFonts w:ascii="Arial" w:cs="Arial" w:eastAsia="Arial" w:hAnsi="Arial"/>
                <w:b w:val="false"/>
                <w:bCs w:val="false"/>
                <w:color w:val="1C1917"/>
                <w:sz w:val="17"/>
                <w:szCs w:val="17"/>
              </w:rPr>
              <w:t xml:space="preserve">/v1/projects/{id}/aim/dashboard</w:t>
            </w:r>
          </w:p>
        </w:tc>
      </w:tr>
      <w:tr>
        <w:tc>
          <w:tcPr>
            <w:tcW w:type="dxa" w:w="2000"/>
            <w:tcMar>
              <w:top w:type="dxa" w:w="36"/>
              <w:left w:type="dxa" w:w="50"/>
              <w:bottom w:type="dxa" w:w="36"/>
              <w:right w:type="dxa" w:w="50"/>
            </w:tcMar>
          </w:tcPr>
          <w:p>
            <w:r>
              <w:rPr>
                <w:rFonts w:ascii="Arial" w:cs="Arial" w:eastAsia="Arial" w:hAnsi="Arial"/>
                <w:b w:val="false"/>
                <w:bCs w:val="false"/>
                <w:color w:val="1C1917"/>
                <w:sz w:val="17"/>
                <w:szCs w:val="17"/>
              </w:rPr>
              <w:t xml:space="preserve">POST</w:t>
            </w:r>
          </w:p>
        </w:tc>
        <w:tc>
          <w:tcPr>
            <w:tcW w:type="dxa" w:w="7800"/>
            <w:tcMar>
              <w:top w:type="dxa" w:w="36"/>
              <w:left w:type="dxa" w:w="50"/>
              <w:bottom w:type="dxa" w:w="36"/>
              <w:right w:type="dxa" w:w="50"/>
            </w:tcMar>
          </w:tcPr>
          <w:p>
            <w:r>
              <w:rPr>
                <w:rFonts w:ascii="Arial" w:cs="Arial" w:eastAsia="Arial" w:hAnsi="Arial"/>
                <w:b w:val="false"/>
                <w:bCs w:val="false"/>
                <w:color w:val="1C1917"/>
                <w:sz w:val="17"/>
                <w:szCs w:val="17"/>
              </w:rPr>
              <w:t xml:space="preserve">/v1/projects/{id}/aim/air.xlsx — P18 later</w:t>
            </w:r>
          </w:p>
        </w:tc>
      </w:tr>
    </w:tbl>
    <w:p>
      <w:pPr>
        <w:pStyle w:val="Heading1"/>
        <w:pBdr>
          <w:bottom w:val="single" w:color="5B2D8E" w:sz="10" w:space="3"/>
        </w:pBdr>
        <w:spacing w:after="70" w:before="220"/>
      </w:pPr>
      <w:r>
        <w:rPr>
          <w:rFonts w:ascii="Arial" w:cs="Arial" w:eastAsia="Arial" w:hAnsi="Arial"/>
          <w:b/>
          <w:bCs/>
          <w:color w:val="5B2D8E"/>
          <w:sz w:val="30"/>
          <w:szCs w:val="30"/>
        </w:rPr>
        <w:t xml:space="preserve">5. UI</w:t>
      </w:r>
    </w:p>
    <w:p>
      <w:pPr>
        <w:pStyle w:val="ListParagraph"/>
        <w:numPr>
          <w:ilvl w:val="0"/>
          <w:numId w:val="2"/>
        </w:numPr>
        <w:spacing w:after="36"/>
      </w:pPr>
      <w:r>
        <w:rPr>
          <w:rFonts w:ascii="Arial" w:cs="Arial" w:eastAsia="Arial" w:hAnsi="Arial"/>
          <w:color w:val="1C1917"/>
          <w:sz w:val="21"/>
          <w:szCs w:val="21"/>
        </w:rPr>
        <w:t xml:space="preserve">DPoW click: existing IR panel + Assets tab listing instances for that Ss.</w:t>
      </w:r>
    </w:p>
    <w:p>
      <w:pPr>
        <w:pStyle w:val="ListParagraph"/>
        <w:numPr>
          <w:ilvl w:val="0"/>
          <w:numId w:val="2"/>
        </w:numPr>
        <w:spacing w:after="36"/>
      </w:pPr>
      <w:r>
        <w:rPr>
          <w:rFonts w:ascii="Arial" w:cs="Arial" w:eastAsia="Arial" w:hAnsi="Arial"/>
          <w:color w:val="1C1917"/>
          <w:sz w:val="21"/>
          <w:szCs w:val="21"/>
        </w:rPr>
        <w:t xml:space="preserve">AIM dashboard page: type bars (Doors 85). Click type → missing parameters.</w:t>
      </w:r>
    </w:p>
    <w:p>
      <w:pPr>
        <w:pStyle w:val="ListParagraph"/>
        <w:numPr>
          <w:ilvl w:val="0"/>
          <w:numId w:val="2"/>
        </w:numPr>
        <w:spacing w:after="36"/>
      </w:pPr>
      <w:r>
        <w:rPr>
          <w:rFonts w:ascii="Arial" w:cs="Arial" w:eastAsia="Arial" w:hAnsi="Arial"/>
          <w:color w:val="1C1917"/>
          <w:sz w:val="21"/>
          <w:szCs w:val="21"/>
        </w:rPr>
        <w:t xml:space="preserve">No AIR/EIR generators in v1. Export later from the same required-IR set.</w:t>
      </w:r>
    </w:p>
    <w:p>
      <w:pPr>
        <w:pStyle w:val="ListParagraph"/>
        <w:numPr>
          <w:ilvl w:val="0"/>
          <w:numId w:val="2"/>
        </w:numPr>
        <w:spacing w:after="36"/>
      </w:pPr>
      <w:r>
        <w:rPr>
          <w:rFonts w:ascii="Arial" w:cs="Arial" w:eastAsia="Arial" w:hAnsi="Arial"/>
          <w:color w:val="1C1917"/>
          <w:sz w:val="21"/>
          <w:szCs w:val="21"/>
        </w:rPr>
        <w:t xml:space="preserve">LOD/LOI stay as stage indicators on the SPP, not the asset identity.</w:t>
      </w:r>
    </w:p>
    <w:p>
      <w:pPr>
        <w:pStyle w:val="Heading1"/>
        <w:pBdr>
          <w:bottom w:val="single" w:color="5B2D8E" w:sz="10" w:space="3"/>
        </w:pBdr>
        <w:spacing w:after="70" w:before="220"/>
      </w:pPr>
      <w:r>
        <w:rPr>
          <w:rFonts w:ascii="Arial" w:cs="Arial" w:eastAsia="Arial" w:hAnsi="Arial"/>
          <w:b/>
          <w:bCs/>
          <w:color w:val="5B2D8E"/>
          <w:sz w:val="30"/>
          <w:szCs w:val="30"/>
        </w:rPr>
        <w:t xml:space="preserve">6. Files</w:t>
      </w:r>
    </w:p>
    <w:p>
      <w:pPr>
        <w:spacing w:after="100" w:line="260"/>
      </w:pPr>
      <w:r>
        <w:rPr>
          <w:rFonts w:ascii="Arial" w:cs="Arial" w:eastAsia="Arial" w:hAnsi="Arial"/>
          <w:color w:val="1C1917"/>
          <w:sz w:val="21"/>
          <w:szCs w:val="21"/>
        </w:rPr>
        <w:t xml:space="preserve">Atana-AIM-Schema.sql, Atana-AIM-Schema.json, diagrams §7. Depends on IRE tables already specified.</w:t>
      </w:r>
    </w:p>
    <w:p>
      <w:pPr>
        <w:pStyle w:val="Heading1"/>
        <w:pBdr>
          <w:bottom w:val="single" w:color="5B2D8E" w:sz="10" w:space="3"/>
        </w:pBdr>
        <w:spacing w:after="70" w:before="220"/>
      </w:pPr>
      <w:r>
        <w:rPr>
          <w:rFonts w:ascii="Arial" w:cs="Arial" w:eastAsia="Arial" w:hAnsi="Arial"/>
          <w:b/>
          <w:bCs/>
          <w:color w:val="5B2D8E"/>
          <w:sz w:val="30"/>
          <w:szCs w:val="30"/>
        </w:rPr>
        <w:t xml:space="preserve">7. Parking lot P16–P25</w:t>
      </w:r>
    </w:p>
    <w:p>
      <w:pPr>
        <w:spacing w:after="100" w:line="260"/>
      </w:pPr>
      <w:r>
        <w:rPr>
          <w:rFonts w:ascii="Arial" w:cs="Arial" w:eastAsia="Arial" w:hAnsi="Arial"/>
          <w:color w:val="1C1917"/>
          <w:sz w:val="21"/>
          <w:szCs w:val="21"/>
        </w:rPr>
        <w:t xml:space="preserve">P16 AIM productisation. P17 completeness against live model. P18 AIR generator. P19 EIR generator. P20 AIM dashboards. P21 scoring product. P22 parameter validation. P23 lifecycle. P24 handover rules. P25 operations rules.</w:t>
      </w:r>
    </w:p>
    <w:p>
      <w:pPr>
        <w:spacing w:after="100" w:line="260"/>
      </w:pPr>
      <w:r>
        <w:rPr>
          <w:rFonts w:ascii="Arial" w:cs="Arial" w:eastAsia="Arial" w:hAnsi="Arial"/>
          <w:color w:val="1C1917"/>
          <w:sz w:val="21"/>
          <w:szCs w:val="21"/>
        </w:rPr>
        <w:t xml:space="preserve">Next workstream after a type can show required vs present: AIR / EIR / OIR / PIR management — generators, not more engines.</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7534E"/>
        <w:sz w:val="16"/>
        <w:szCs w:val="16"/>
      </w:rPr>
      <w:t xml:space="preserve">Internal  ·  </w:t>
    </w:r>
    <w:r>
      <w:rPr>
        <w:rFonts w:ascii="Arial" w:cs="Arial" w:eastAsia="Arial" w:hAnsi="Arial"/>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7534E"/>
        <w:sz w:val="16"/>
        <w:szCs w:val="16"/>
      </w:rPr>
      <w:t xml:space="preserve">Atana  ·  AIM Engine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20"/>
      <w:outlineLvl w:val="0"/>
    </w:pPr>
    <w:rPr>
      <w:rFonts w:ascii="Arial" w:cs="Arial" w:eastAsia="Arial" w:hAnsi="Arial"/>
      <w:b/>
      <w:bCs/>
      <w:color w:val="5B2D8E"/>
      <w:sz w:val="30"/>
      <w:szCs w:val="3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3AE2BAD2C6FA4D8B4D95CE89FC31A3" ma:contentTypeVersion="8" ma:contentTypeDescription="Create a new document." ma:contentTypeScope="" ma:versionID="a2ce85c62cd7e9a608298e998330aeb7">
  <xsd:schema xmlns:xsd="http://www.w3.org/2001/XMLSchema" xmlns:xs="http://www.w3.org/2001/XMLSchema" xmlns:p="http://schemas.microsoft.com/office/2006/metadata/properties" xmlns:ns2="ae81e17b-11c2-44ae-89e9-9ad5f5ff8880" targetNamespace="http://schemas.microsoft.com/office/2006/metadata/properties" ma:root="true" ma:fieldsID="1504f635df8bfa7d9525024d2d10bc95" ns2:_="">
    <xsd:import namespace="ae81e17b-11c2-44ae-89e9-9ad5f5ff88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1e17b-11c2-44ae-89e9-9ad5f5ff8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ac2493-9f1f-4345-86a0-c36146f38f1d"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81e17b-11c2-44ae-89e9-9ad5f5ff88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B5EE30-57BA-43C8-BF23-7F0DA86434FE}"/>
</file>

<file path=customXml/itemProps2.xml><?xml version="1.0" encoding="utf-8"?>
<ds:datastoreItem xmlns:ds="http://schemas.openxmlformats.org/officeDocument/2006/customXml" ds:itemID="{41EABCF6-65E0-4A27-B112-BDA10E98AEC7}"/>
</file>

<file path=customXml/itemProps3.xml><?xml version="1.0" encoding="utf-8"?>
<ds:datastoreItem xmlns:ds="http://schemas.openxmlformats.org/officeDocument/2006/customXml" ds:itemID="{19BD8950-12A2-4B1A-954F-FFE819813EB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2026-08-31T10:41:39Z</dcterms:created>
  <dcterms:modified xsi:type="dcterms:W3CDTF">2026-08-31T10:41:39Z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0x0101008E3AE2BAD2C6FA4D8B4D95CE89FC31A3</vt:lpwstr>
  </property>
</Properties>
</file>