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4"/>
          <w:szCs w:val="44"/>
        </w:rPr>
        <w:t xml:space="preserve">Executive Command Center</w:t>
      </w:r>
    </w:p>
    <w:p>
      <w:pPr>
        <w:spacing w:after="140" w:before="0" w:line="276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Implementation module  ·  atana-ecc v1.0  ·  31 August 2026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single version of the truth for project, portfolio, information, asset, operational and twin readiness. Engines are not redesigned. ECC consumes them. The HTML IM tool remains the console. ECC is a separate React + Fluent app.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Architecture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Personas → ECC React (Fluent) → APIM → ECC API, domain API, Neo4j GraphQL, Power BI embedded, Azure OpenAI. OLTP PDS emits events into ecc_* snapshot tables. Power BI measures must equal SQL scores. Drift is a defect. ECC is System of Engagement + Intelligence. It is not a new System of Record.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Routes: / executive landing, /portfolio, /projects/{id} with information|assets|twin|risk|graph, /insights, /watchlists, /admin/scores.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Scoring — measurable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AIM% = present / required at LOI(stage). Same as atnAimScore. LOI S1/S2=2, S3=3, S4=4, S5/S6=5. Stage 4 gate default 95%. Bands: Green ≥85, Amber 70–84, Red &lt;70. Stage readiness is Red below the gate even if other scores are green. Average numbers, then band. Never average colours.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Score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Formula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 Health IH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0.15 OIR + 0.15 PIR + 0.15 EIR + 0.20 AIR + 0.20 AIM + 0.15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Compliance CS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pass / IDS required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Delivery Health DH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on-time + 0.30 published + 0.30 packages clear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Stage Readiness RS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0.50 AIM + 0.30 published + 0.20 IDS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Operational Readiness OR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0.40 AIM@LOI5 + 0.20 CMMS bind + 0.20 twin bind + 0.20 ops docs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Readiness TR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0.25 identity + 0.25 IFC + 0.20 COBie + 0.20 AIM + 0.10 bind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 Health PH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0.30 IH + 0.25 DH + 0.20 CS + 0.15 (100*(1−risk)) + 0.10 workflow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Portfolio Health PoH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Weighted average of PH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Health AH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present / required on that asset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days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0.5 historical slip + 0.3×14×(1−RS/100) + 0.2×7×P1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risk_idx = min(1, (3·P1 + 2·P2 + P3) / 12). Weights live in ecc.score_weight and are ORGADMIN-versioned.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Personas and boards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41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Persona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Home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Acts on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 / Portfolio / Programme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Executive, Portfolio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Intervention, lessons, programme gate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/ PM / PDM / Construction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Project, Risk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Gate, reassign, lock package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Client / IM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Information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EIR variation, IDS, conflicts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Owner / FM / Maintenance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 readiness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 accept deep-link, WO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Ops / Twin manager</w:t>
            </w:r>
          </w:p>
        </w:tc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Twin + Asset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Snapshot, opsWins, identity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Fourteen personas are fully specified in docs/COMMAND-CENTER.md and the KPI workbook (objectives, KPIs, actions, alerts). Alerts consume existing domain events plus ecc.score.dropped.v1.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Eight dashboards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Executive: PoH, red projects, P1, OIR coverage, heat map, copilot dock. Portfolio: project × score matrix, team performance, filters. Project: PH hero, IH/DH/CS/RS/AIM/IDS/blocked/P1, MIDP and workflow tabs. Asset readiness: per-asset AH and missing attributes. Information: OIR→PIR→EIR→AIR→AIM→IDS waterfall. Twin: identity, IFC, COBie, AIM, bind. Risk: P1–P3 plus forecast. AI insights: Decide queue only — classes E/F never auto-apply.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Graph widgets embed why() and impact() on any board. Recovery plan is the existing ask contract.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Copilot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POST /v1/ecc/ask wraps /v1/ask with snapshot context. Grounding order: scores → graph → named queries → Decide. Citations show node ids.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46"/>
      </w:tblGrid>
      <w:tr>
        <w:trPr>
          <w:tblHeader/>
        </w:trP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Question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Resolver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Show all projects at risk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PH&lt;70 or P1&gt;0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Behind schedule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forecast delay or on-time &lt; 0.85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Assets not operationally ready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AH below gate or OR component missing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Top information risks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+ unsatisfied EIR/AIR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Low compliance cause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IDS fail grouped by template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Recovery plan Stage 4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Existing recover answer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OIR to AIM traceability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why(asset|attr)</w:t>
            </w:r>
          </w:p>
        </w:tc>
      </w:tr>
      <w:tr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Highest information maturity</w:t>
            </w:r>
          </w:p>
        </w:tc>
        <w:tc>
          <w:tcPr>
            <w:tcW w:type="dxa" w:w="6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max IH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Power BI and data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Facts: project score, asset score, requirement coverage, deliverable status, risk, forecast. Dims: date, org, portfolio, project, stage, team, asset type, persona, score version. Measures named exactly as kpi_id. RLS via ecc.acl and Entra. Schema ecc in Atana-ECC-Analytics.sql is append-only by as_of.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API and security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/v1/ecc/scores/portfolios/{id}, /scores/projects/{id}, /scores/projects/{id}/assets, /kpis, /snapshots, /watchlists, /ask, /graph/why|impact, /insights, /alerts. Scopes atana.ecc.read and atana.ecc.watchlist.write. Investment measures hidden without ERP binding + exec persona. Snapshot freeze is an IM audit event.</w:t>
      </w:r>
    </w:p>
    <w:p>
      <w:pPr>
        <w:pStyle w:val="Heading1"/>
        <w:pBdr>
          <w:bottom w:val="single" w:color="847918" w:sz="12" w:space="4"/>
        </w:pBdr>
        <w:spacing w:after="120" w:before="30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Stack and roadmap</w:t>
      </w:r>
    </w:p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React + Fluent UI, .NET 9, PostgreSQL, Power BI, Neo4j, Azure OpenAI, Azure AI Search, Azure. Widget library: ScoreHero, RagChip, KpiStrip, HeatMatrix, WaterfallReq, AssetTable, RiskList, ForecastSpark, GraphWhy, GraphImpact, CopilotDock, ActionQueue, GateBanner. Tokens: purple/gold/paper already used in the IM tool.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Wave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Exit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C0 SQL scores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AIM% in SQL equals atnAimScore on the seed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C1 API + React project page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Director sees PH/IH/AIM/IDS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C2 Portfolio + Executive + PBI model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PoH matches API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C3 Asset, Information, Risk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Waterfall OIR→AIM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C4 Graph widgets + Copilot dock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Blocking Stage 4 cites graph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C5 Twin + Ops boards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TR visible without a live twin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C6 Watchlists, freeze, PBI RLS</w:t>
            </w:r>
          </w:p>
        </w:tc>
        <w:tc>
          <w:tcPr>
            <w:tcW w:type="dxa" w:w="6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4"/>
                <w:szCs w:val="14"/>
              </w:rPr>
              <w:t xml:space="preserve">Audit pack includes frozen scores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AIM accept is not performed inside ECC. Deep-link to the IM tool or domain API with the Asset Owner seat. Multi-Agent and a live twin are not prerequisites for C1–C4.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Module spec  ·  consumes engines, does not replace them</w:t>
    </w:r>
    <w:r>
      <w:rPr>
        <w:rFonts w:ascii="Calibri" w:cs="Calibri" w:eastAsia="Calibri" w:hAnsi="Calibri"/>
        <w:color w:val="7A6B79"/>
        <w:sz w:val="16"/>
        <w:szCs w:val="16"/>
      </w:rPr>
      <w:t xml:space="preserve">	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7A6B79"/>
        <w:sz w:val="16"/>
        <w:szCs w:val="16"/>
      </w:rPr>
      <w:t xml:space="preserve">Atana  ·  Executive Command Center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C836520-10C6-4E0E-A385-6A5D3B793A29}"/>
</file>

<file path=customXml/itemProps2.xml><?xml version="1.0" encoding="utf-8"?>
<ds:datastoreItem xmlns:ds="http://schemas.openxmlformats.org/officeDocument/2006/customXml" ds:itemID="{E81DE1F7-A4BB-410D-862A-23D5E7C5C6E8}"/>
</file>

<file path=customXml/itemProps3.xml><?xml version="1.0" encoding="utf-8"?>
<ds:datastoreItem xmlns:ds="http://schemas.openxmlformats.org/officeDocument/2006/customXml" ds:itemID="{1F966B64-2D13-4F90-9884-94F38BEBD581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Executive Command Center v1.0</dc:title>
  <dc:creator>Atana</dc:creator>
  <cp:lastModifiedBy>Un-named</cp:lastModifiedBy>
  <cp:revision>1</cp:revision>
  <dcterms:created xsi:type="dcterms:W3CDTF">2026-08-31T19:54:24Z</dcterms:created>
  <dcterms:modified xsi:type="dcterms:W3CDTF">2026-08-31T19:54:24Z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