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(New Group 1)</w:t>
      </w:r>
    </w:p>
    <w:p w:rsidR="00000000" w:rsidDel="00000000" w:rsidP="00000000" w:rsidRDefault="00000000" w:rsidRPr="00000000" w14:paraId="00000002">
      <w:pPr>
        <w:rPr/>
      </w:pPr>
      <w:r w:rsidDel="00000000" w:rsidR="00000000" w:rsidRPr="00000000">
        <w:rPr>
          <w:rtl w:val="0"/>
        </w:rPr>
        <w:t xml:space="preserve">Girma Dingeto</w:t>
      </w:r>
    </w:p>
    <w:p w:rsidR="00000000" w:rsidDel="00000000" w:rsidP="00000000" w:rsidRDefault="00000000" w:rsidRPr="00000000" w14:paraId="00000003">
      <w:pPr>
        <w:spacing w:after="0" w:before="0" w:lineRule="auto"/>
        <w:rPr/>
      </w:pPr>
      <w:r w:rsidDel="00000000" w:rsidR="00000000" w:rsidRPr="00000000">
        <w:rPr>
          <w:rtl w:val="0"/>
        </w:rPr>
        <w:t xml:space="preserve">Brady Heinz</w:t>
      </w:r>
    </w:p>
    <w:p w:rsidR="00000000" w:rsidDel="00000000" w:rsidP="00000000" w:rsidRDefault="00000000" w:rsidRPr="00000000" w14:paraId="00000004">
      <w:pPr>
        <w:spacing w:after="0" w:before="0" w:line="240" w:lineRule="auto"/>
        <w:rPr/>
      </w:pPr>
      <w:r w:rsidDel="00000000" w:rsidR="00000000" w:rsidRPr="00000000">
        <w:rPr>
          <w:rtl w:val="0"/>
        </w:rPr>
        <w:t xml:space="preserve">Samuel Sidzyik</w:t>
      </w:r>
    </w:p>
    <w:p w:rsidR="00000000" w:rsidDel="00000000" w:rsidP="00000000" w:rsidRDefault="00000000" w:rsidRPr="00000000" w14:paraId="00000005">
      <w:pPr>
        <w:spacing w:after="0" w:before="0" w:line="240" w:lineRule="auto"/>
        <w:rPr/>
      </w:pPr>
      <w:r w:rsidDel="00000000" w:rsidR="00000000" w:rsidRPr="00000000">
        <w:rPr>
          <w:rtl w:val="0"/>
        </w:rPr>
        <w:t xml:space="preserve">Module 10.1 Assignment</w:t>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line="240" w:lineRule="auto"/>
        <w:rPr/>
      </w:pPr>
      <w:r w:rsidDel="00000000" w:rsidR="00000000" w:rsidRPr="00000000">
        <w:rPr>
          <w:rtl w:val="0"/>
        </w:rPr>
        <w:t xml:space="preserve">This report goes over completed deliveries and gives a status based on the number of days it took for delivery ordered by status giving ‘LATE’ the priority in attention. ‘LATE’ is determined to be any delivery over 5 days as that is standard business delivery standards (Despite what Amazon has conditioned you to).</w:t>
      </w: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drawing>
          <wp:inline distB="114300" distT="114300" distL="114300" distR="114300">
            <wp:extent cx="2162175" cy="39338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62175" cy="393382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line="240" w:lineRule="auto"/>
        <w:ind w:left="0" w:firstLine="0"/>
        <w:rPr/>
      </w:pPr>
      <w:r w:rsidDel="00000000" w:rsidR="00000000" w:rsidRPr="00000000">
        <w:rPr>
          <w:rtl w:val="0"/>
        </w:rPr>
        <w:t xml:space="preserve">The second report goes over wine inventory by location. Further improvements to this report would be to iterate through location groupings and pair wines to locations so that you could more easily see BinA1 carries both Merlot and Chardonnay. With 4 wine varieties available and only 2 locations using 1 or 2 of them shows a clear lack of distribution variety.</w:t>
      </w: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drawing>
          <wp:inline distB="114300" distT="114300" distL="114300" distR="114300">
            <wp:extent cx="2209800" cy="19907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980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line="240" w:lineRule="auto"/>
        <w:ind w:right="-60"/>
        <w:rPr/>
      </w:pPr>
      <w:r w:rsidDel="00000000" w:rsidR="00000000" w:rsidRPr="00000000">
        <w:rPr>
          <w:rtl w:val="0"/>
        </w:rPr>
        <w:t xml:space="preserve">The last report goes through each employee and gives their hours worked by quarter iterating back then totalling the last 4 quarters. A standard full time schedule is 2080 hours. Omitting employee 10006 as they started in Q2 and haven't served a full year this averages ~1,950 hours worked for a full year per employee. That amounts to 16 days PTO used per year. The industry standard is closer to 20 which raises the question of incentivising use of PTO as burnout and turnover costs are often greater than any PTO used by trained and seasoned employees.</w:t>
      </w: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drawing>
          <wp:inline distB="114300" distT="114300" distL="114300" distR="114300">
            <wp:extent cx="3543300" cy="68389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43300" cy="68389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