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ibliography"/>
        <w:rPr/>
      </w:pPr>
      <w:r>
        <w:rPr/>
        <w:t xml:space="preserve">Benkler, Y., Faris, R., &amp; Roberts, H. (2018). </w:t>
      </w:r>
      <w:r>
        <w:rPr>
          <w:i/>
          <w:iCs/>
        </w:rPr>
        <w:t>Network propaganda: manipulation, disinformation, and radicalization in American politics</w:t>
      </w:r>
      <w:r>
        <w:rPr/>
        <w:t>. Oxford University Press.</w:t>
      </w:r>
      <w:bookmarkStart w:id="0" w:name="Xfd3290ca57225b66b7fe7e24d7e28976bd118b1"/>
      <w:bookmarkEnd w:id="0"/>
    </w:p>
    <w:p>
      <w:pPr>
        <w:pStyle w:val="Bibliography"/>
        <w:rPr/>
      </w:pPr>
      <w:r>
        <w:rPr/>
        <w:t xml:space="preserve">Campbell, B. M., Beare, D. J., Bennett, E. M., Hall-Spencer, J. M., Ingram, J. S. I., Jaramillo, F., Ortiz, R., Ramankutty, N., Sayer, J. A., &amp; Shindell, D. (2017). Agriculture production as a major driver of the Earth system exceeding planetary boundaries. </w:t>
      </w:r>
      <w:r>
        <w:rPr>
          <w:i/>
          <w:iCs/>
        </w:rPr>
        <w:t>Ecology and Society</w:t>
      </w:r>
      <w:r>
        <w:rPr/>
        <w:t xml:space="preserve">, </w:t>
      </w:r>
      <w:r>
        <w:rPr>
          <w:i/>
          <w:iCs/>
        </w:rPr>
        <w:t>22</w:t>
      </w:r>
      <w:r>
        <w:rPr/>
        <w:t xml:space="preserve">(4), art8. </w:t>
      </w:r>
      <w:hyperlink r:id="rId2">
        <w:r>
          <w:rPr>
            <w:rStyle w:val="Internetverknpfung"/>
          </w:rPr>
          <w:t>https://doi.org/10.5751/ES-09595-220408</w:t>
        </w:r>
      </w:hyperlink>
      <w:bookmarkStart w:id="1" w:name="Xee30ce71e01272c05ea1b055341792c40c412c9"/>
      <w:bookmarkEnd w:id="1"/>
    </w:p>
    <w:p>
      <w:pPr>
        <w:pStyle w:val="Bibliography"/>
        <w:rPr/>
      </w:pPr>
      <w:r>
        <w:rPr/>
        <w:t xml:space="preserve">Charbonnier, P. (2020). </w:t>
      </w:r>
      <w:r>
        <w:rPr>
          <w:i/>
          <w:iCs/>
        </w:rPr>
        <w:t>Abondance et liberté: une histoire environnementale des idées politiques</w:t>
      </w:r>
      <w:r>
        <w:rPr/>
        <w:t>. La Découverte.</w:t>
      </w:r>
      <w:bookmarkStart w:id="2" w:name="X8d82ac9290dba311a43fa7d1eadb745ec0dffa3"/>
      <w:bookmarkEnd w:id="2"/>
    </w:p>
    <w:p>
      <w:pPr>
        <w:pStyle w:val="Bibliography"/>
        <w:rPr/>
      </w:pPr>
      <w:r>
        <w:rPr/>
        <w:t xml:space="preserve">Cowie, R. H., Bouchet, P., &amp; Fontaine, B. (2022). The Sixth Mass Extinction: fact, fiction or speculation? </w:t>
      </w:r>
      <w:r>
        <w:rPr>
          <w:i/>
          <w:iCs/>
        </w:rPr>
        <w:t>Biological Reviews</w:t>
      </w:r>
      <w:r>
        <w:rPr/>
        <w:t xml:space="preserve">, </w:t>
      </w:r>
      <w:r>
        <w:rPr>
          <w:i/>
          <w:iCs/>
        </w:rPr>
        <w:t>97</w:t>
      </w:r>
      <w:r>
        <w:rPr/>
        <w:t xml:space="preserve">(2), 640–663. </w:t>
      </w:r>
      <w:hyperlink r:id="rId3">
        <w:r>
          <w:rPr>
            <w:rStyle w:val="Internetverknpfung"/>
          </w:rPr>
          <w:t>https://doi.org/10.1111/brv.12816</w:t>
        </w:r>
      </w:hyperlink>
      <w:bookmarkStart w:id="3" w:name="ref-cowieSixthMassExtinction2022"/>
      <w:bookmarkEnd w:id="3"/>
    </w:p>
    <w:p>
      <w:pPr>
        <w:pStyle w:val="Bibliography"/>
        <w:rPr/>
      </w:pPr>
      <w:r>
        <w:rPr/>
        <w:t xml:space="preserve">DIW Econ GmbH (Ed.). (2021). </w:t>
      </w:r>
      <w:r>
        <w:rPr>
          <w:i/>
          <w:iCs/>
        </w:rPr>
        <w:t>Wie viel Klimaneutralität steckt in den Wahlprogrammen? Eine Studie für die Stiftung Klimaneutralität</w:t>
      </w:r>
      <w:r>
        <w:rPr/>
        <w:t xml:space="preserve">. </w:t>
      </w:r>
      <w:hyperlink r:id="rId4">
        <w:r>
          <w:rPr>
            <w:rStyle w:val="Internetverknpfung"/>
          </w:rPr>
          <w:t>https://diw-econ.de/wp-content/uploads/DIWEcon_Wahlprogramme_Plausibilitaetsanalyse_v2.0.pdf</w:t>
        </w:r>
      </w:hyperlink>
      <w:bookmarkStart w:id="4" w:name="X3d21ee3207cd0ebf87f1035cf1972cef5dc575e"/>
      <w:bookmarkEnd w:id="4"/>
    </w:p>
    <w:p>
      <w:pPr>
        <w:pStyle w:val="Bibliography"/>
        <w:rPr/>
      </w:pPr>
      <w:r>
        <w:rPr/>
        <w:t xml:space="preserve">Doughnut Economics Action Lab. (2020). </w:t>
      </w:r>
      <w:r>
        <w:rPr>
          <w:i/>
          <w:iCs/>
        </w:rPr>
        <w:t>Amsterdam City Doughnut</w:t>
      </w:r>
      <w:r>
        <w:rPr/>
        <w:t xml:space="preserve">. </w:t>
      </w:r>
      <w:hyperlink r:id="rId5">
        <w:r>
          <w:rPr>
            <w:rStyle w:val="Internetverknpfung"/>
          </w:rPr>
          <w:t>https://assets.amsterdam.nl/publish/pages/867635/amsterdam-city-doughnut.pdf</w:t>
        </w:r>
      </w:hyperlink>
      <w:bookmarkStart w:id="5" w:name="X9f10590a966b64698a6703d184455ff559b6631"/>
      <w:bookmarkEnd w:id="5"/>
    </w:p>
    <w:p>
      <w:pPr>
        <w:pStyle w:val="Bibliography"/>
        <w:rPr/>
      </w:pPr>
      <w:r>
        <w:rPr/>
        <w:t xml:space="preserve">IPCC </w:t>
      </w:r>
      <w:r>
        <w:rPr/>
        <w:t>(Ed.)</w:t>
      </w:r>
      <w:r>
        <w:rPr/>
        <w:t xml:space="preserve">. (2021). </w:t>
      </w:r>
      <w:r>
        <w:rPr>
          <w:i/>
          <w:iCs/>
        </w:rPr>
        <w:t>Climate Change 2021: The Physical Science Basis. Contribution of Working Group I to the Sixth Assessment Report of the Intergovernmental Panel on Climate Change</w:t>
      </w:r>
      <w:r>
        <w:rPr/>
        <w:t xml:space="preserve">. </w:t>
      </w:r>
      <w:r>
        <w:fldChar w:fldCharType="begin"/>
      </w:r>
      <w:r>
        <w:rPr>
          <w:rStyle w:val="Internetverknpfung"/>
        </w:rPr>
        <w:instrText> HYPERLINK "https://www.ipcc.ch/report/ar6/wg1/" \l "FullReport"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https://www.ipcc.ch/report/ar6/wg1/#FullReport</w:t>
      </w:r>
      <w:r>
        <w:rPr>
          <w:rStyle w:val="Internetverknpfung"/>
        </w:rPr>
        <w:fldChar w:fldCharType="end"/>
      </w:r>
    </w:p>
    <w:p>
      <w:pPr>
        <w:pStyle w:val="Bibliography"/>
        <w:rPr/>
      </w:pPr>
      <w:r>
        <w:rPr/>
        <w:t xml:space="preserve">IPCC (Ed.). (2022). </w:t>
      </w:r>
      <w:r>
        <w:rPr>
          <w:i/>
          <w:iCs/>
        </w:rPr>
        <w:t>Working Group III Contribution to the IPCC Sixth Assessment Report (AR6) Summary for Policy Makers</w:t>
      </w:r>
      <w:r>
        <w:rPr/>
        <w:t xml:space="preserve">. </w:t>
      </w:r>
      <w:hyperlink r:id="rId6">
        <w:r>
          <w:rPr>
            <w:rStyle w:val="Internetverknpfung"/>
          </w:rPr>
          <w:t>https://report.ipcc.ch/ar6wg3/pdf/IPCC_AR6_WGIII_SummaryForPolicymakers.pdf</w:t>
        </w:r>
      </w:hyperlink>
      <w:bookmarkStart w:id="6" w:name="ref-ipccClimateChange20212021"/>
      <w:bookmarkEnd w:id="6"/>
    </w:p>
    <w:p>
      <w:pPr>
        <w:pStyle w:val="Bibliography"/>
        <w:rPr/>
      </w:pPr>
      <w:r>
        <w:rPr/>
        <w:t xml:space="preserve">Kuhnhenn, K., Thiele, L., &amp; Schmelzer, M. (2021). </w:t>
      </w:r>
      <w:r>
        <w:rPr>
          <w:i/>
          <w:iCs/>
        </w:rPr>
        <w:t>Ist Klima</w:t>
        <w:softHyphen/>
        <w:t>gerechtigkeit wählbar? - Eine Wahlprogramm-Analyse</w:t>
      </w:r>
      <w:r>
        <w:rPr/>
        <w:t xml:space="preserve">. </w:t>
      </w:r>
      <w:hyperlink r:id="rId7">
        <w:r>
          <w:rPr>
            <w:rStyle w:val="Internetverknpfung"/>
          </w:rPr>
          <w:t>https://konzeptwerk-neue-oekonomie.org/wp-content/uploads/2021/08/Konzeptwerk_Wahlprogrammanalyse_2021.pdf</w:t>
        </w:r>
      </w:hyperlink>
      <w:bookmarkStart w:id="7" w:name="ref-kuhnhennIstKlimaGerechtigkeit2021"/>
      <w:bookmarkEnd w:id="7"/>
    </w:p>
    <w:p>
      <w:pPr>
        <w:pStyle w:val="Bibliography"/>
        <w:rPr/>
      </w:pPr>
      <w:r>
        <w:rPr/>
        <w:t xml:space="preserve">Latour, B. (2018). </w:t>
      </w:r>
      <w:r>
        <w:rPr>
          <w:i/>
          <w:iCs/>
        </w:rPr>
        <w:t>Das terrestrische Manifest</w:t>
      </w:r>
      <w:r>
        <w:rPr/>
        <w:t xml:space="preserve"> (B. Schwibs, Trans.; Deutsche Erstausgabe). Suhrkamp.</w:t>
      </w:r>
      <w:bookmarkStart w:id="8" w:name="ref-latourTerrestrischeManifest2018"/>
      <w:bookmarkEnd w:id="8"/>
    </w:p>
    <w:p>
      <w:pPr>
        <w:pStyle w:val="Bibliography"/>
        <w:rPr/>
      </w:pPr>
      <w:r>
        <w:rPr/>
        <w:t xml:space="preserve">Mitchell, T. (2011). </w:t>
      </w:r>
      <w:r>
        <w:rPr>
          <w:i/>
          <w:iCs/>
        </w:rPr>
        <w:t>Carbon democracy: political power in the age of oil</w:t>
      </w:r>
      <w:r>
        <w:rPr/>
        <w:t xml:space="preserve">. </w:t>
      </w:r>
      <w:r>
        <w:rPr/>
        <w:t>Verso Books.</w:t>
      </w:r>
      <w:r>
        <w:rPr/>
        <w:t xml:space="preserve"> </w:t>
      </w:r>
      <w:bookmarkStart w:id="9" w:name="ref-mitchellCarbonDemocracyPolitical2011"/>
      <w:bookmarkEnd w:id="9"/>
    </w:p>
    <w:p>
      <w:pPr>
        <w:pStyle w:val="Bibliography"/>
        <w:rPr/>
      </w:pPr>
      <w:r>
        <w:rPr/>
        <w:t xml:space="preserve">Ostrom, E. (2010). Polycentric systems for coping with collective action and global environmental change. </w:t>
      </w:r>
      <w:r>
        <w:rPr>
          <w:i/>
          <w:iCs/>
        </w:rPr>
        <w:t>Global Environmental Change</w:t>
      </w:r>
      <w:r>
        <w:rPr/>
        <w:t xml:space="preserve">, </w:t>
      </w:r>
      <w:r>
        <w:rPr>
          <w:i/>
          <w:iCs/>
        </w:rPr>
        <w:t>20</w:t>
      </w:r>
      <w:r>
        <w:rPr/>
        <w:t xml:space="preserve">(4), 550–557. </w:t>
      </w:r>
      <w:hyperlink r:id="rId8">
        <w:r>
          <w:rPr>
            <w:rStyle w:val="Internetverknpfung"/>
          </w:rPr>
          <w:t>https://doi.org/10.1016/j.gloenvcha.2010.07.004</w:t>
        </w:r>
      </w:hyperlink>
      <w:bookmarkStart w:id="10" w:name="ref-ostromPolycentricSystemsCoping2010"/>
      <w:bookmarkEnd w:id="10"/>
    </w:p>
    <w:p>
      <w:pPr>
        <w:pStyle w:val="Bibliography"/>
        <w:rPr/>
      </w:pPr>
      <w:r>
        <w:rPr/>
        <w:t xml:space="preserve">Otto, I. M., Donges, J. F., Cremades, R., Bhowmik, A., Hewitt, R. J., Lucht, W., Rockström, J., Allerberger, F., McCaffrey, M., Doe, S. S. P., Lenferna, A., Morán, N., van Vuuren, D. P., &amp; Schellnhuber, H. J. (2020). Social tipping dynamics for stabilizing Earth’s climate by 2050. </w:t>
      </w:r>
      <w:r>
        <w:rPr>
          <w:i/>
          <w:iCs/>
        </w:rPr>
        <w:t>Proceedings of the National Academy of Sciences</w:t>
      </w:r>
      <w:r>
        <w:rPr/>
        <w:t xml:space="preserve">, </w:t>
      </w:r>
      <w:r>
        <w:rPr>
          <w:i/>
          <w:iCs/>
        </w:rPr>
        <w:t>117</w:t>
      </w:r>
      <w:r>
        <w:rPr/>
        <w:t xml:space="preserve">(5), 2354–2365. </w:t>
      </w:r>
      <w:hyperlink r:id="rId9">
        <w:r>
          <w:rPr>
            <w:rStyle w:val="Internetverknpfung"/>
          </w:rPr>
          <w:t>https://doi.org/10.1073/pnas.1900577117</w:t>
        </w:r>
      </w:hyperlink>
      <w:bookmarkStart w:id="11" w:name="ref-ottoSocialTippingDynamics2020"/>
      <w:bookmarkEnd w:id="11"/>
    </w:p>
    <w:p>
      <w:pPr>
        <w:pStyle w:val="Bibliography"/>
        <w:rPr/>
      </w:pPr>
      <w:r>
        <w:rPr/>
        <w:t xml:space="preserve">Robinson, K. S. (2021). </w:t>
      </w:r>
      <w:r>
        <w:rPr>
          <w:i/>
          <w:iCs/>
        </w:rPr>
        <w:t>Das Ministerium für die Zukunft: Roman</w:t>
      </w:r>
      <w:r>
        <w:rPr/>
        <w:t xml:space="preserve"> (P. Bär, Trans.; Deutsche Erstausgabe). Wilhelm Heyne Verlag.</w:t>
      </w:r>
      <w:bookmarkStart w:id="12" w:name="ref-robinsonMinisteriumFurZukunft2021"/>
      <w:bookmarkEnd w:id="12"/>
    </w:p>
    <w:p>
      <w:pPr>
        <w:pStyle w:val="Bibliography"/>
        <w:spacing w:before="0" w:after="200"/>
        <w:rPr/>
      </w:pPr>
      <w:r>
        <w:rPr/>
        <w:t xml:space="preserve">Rockström, J., Steffen, W., Noone, K., Persson, Å., Chapin, F. S., Lambin, E. F., Lenton, T. M., Scheffer, M., Folke, C., Schellnhuber, H. J., Nykvist, B., de Wit, C. A., Hughes, T., van der Leeuw, S., Rodhe, H., Sörlin, S., Snyder, P. K., Costanza, R., Svedin, U., … Foley, J. A. (2009). A safe operating space for humanity. </w:t>
      </w:r>
      <w:r>
        <w:rPr>
          <w:i/>
          <w:iCs/>
        </w:rPr>
        <w:t>Nature</w:t>
      </w:r>
      <w:r>
        <w:rPr/>
        <w:t xml:space="preserve">, </w:t>
      </w:r>
      <w:r>
        <w:rPr>
          <w:i/>
          <w:iCs/>
        </w:rPr>
        <w:t>461</w:t>
      </w:r>
      <w:r>
        <w:rPr/>
        <w:t xml:space="preserve">(7263), 472–475. </w:t>
      </w:r>
      <w:hyperlink r:id="rId10">
        <w:r>
          <w:rPr>
            <w:rStyle w:val="Internetverknpfung"/>
          </w:rPr>
          <w:t>https://doi.org/10.1038/461472a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verknpfung">
    <w:name w:val="Internetverknüpfung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Berschrift1"/>
    <w:next w:val="Textkrper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5751/ES-09595-220408" TargetMode="External"/><Relationship Id="rId3" Type="http://schemas.openxmlformats.org/officeDocument/2006/relationships/hyperlink" Target="https://doi.org/10.1111/brv.12816" TargetMode="External"/><Relationship Id="rId4" Type="http://schemas.openxmlformats.org/officeDocument/2006/relationships/hyperlink" Target="https://diw-econ.de/wp-content/uploads/DIWEcon_Wahlprogramme_Plausibilitaetsanalyse_v2.0.pdf" TargetMode="External"/><Relationship Id="rId5" Type="http://schemas.openxmlformats.org/officeDocument/2006/relationships/hyperlink" Target="https://assets.amsterdam.nl/publish/pages/867635/amsterdam-city-doughnut.pdf" TargetMode="External"/><Relationship Id="rId6" Type="http://schemas.openxmlformats.org/officeDocument/2006/relationships/hyperlink" Target="https://report.ipcc.ch/ar6wg3/pdf/IPCC_AR6_WGIII_SummaryForPolicymakers.pdf" TargetMode="External"/><Relationship Id="rId7" Type="http://schemas.openxmlformats.org/officeDocument/2006/relationships/hyperlink" Target="https://konzeptwerk-neue-oekonomie.org/wp-content/uploads/2021/08/Konzeptwerk_Wahlprogrammanalyse_2021.pdf" TargetMode="External"/><Relationship Id="rId8" Type="http://schemas.openxmlformats.org/officeDocument/2006/relationships/hyperlink" Target="https://doi.org/10.1016/j.gloenvcha.2010.07.004" TargetMode="External"/><Relationship Id="rId9" Type="http://schemas.openxmlformats.org/officeDocument/2006/relationships/hyperlink" Target="https://doi.org/10.1073/pnas.1900577117" TargetMode="External"/><Relationship Id="rId10" Type="http://schemas.openxmlformats.org/officeDocument/2006/relationships/hyperlink" Target="https://doi.org/10.1038/461472a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2</Pages>
  <Words>381</Words>
  <Characters>2704</Characters>
  <CharactersWithSpaces>3067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2022-04-22T07:27:13Z</dcterms:created>
  <dc:creator/>
  <dc:description/>
  <dc:language>de-AT</dc:language>
  <cp:lastModifiedBy/>
  <dcterms:modified xsi:type="dcterms:W3CDTF">2022-04-22T09:31:43Z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ibliography">
    <vt:lpwstr/>
  </property>
  <property fmtid="{D5CDD505-2E9C-101B-9397-08002B2CF9AE}" pid="9" name="csl">
    <vt:lpwstr>/home/heinz/Nextcloud/Library/apa.csl</vt:lpwstr>
  </property>
  <property fmtid="{D5CDD505-2E9C-101B-9397-08002B2CF9AE}" pid="10" name="zettlr">
    <vt:lpwstr/>
  </property>
</Properties>
</file>