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0C8C7E"/>
          <w:sz w:val="30"/>
          <w:szCs w:val="30"/>
        </w:rPr>
        <w:t xml:space="preserve">MOKA UNITED</w:t>
      </w:r>
    </w:p>
    <w:p>
      <w:pPr>
        <w:spacing w:after="40" w:before="60"/>
        <w:jc w:val="center"/>
      </w:pPr>
      <w:r>
        <w:rPr>
          <w:rFonts w:ascii="Calibri" w:cs="Calibri" w:eastAsia="Calibri" w:hAnsi="Calibri"/>
          <w:b/>
          <w:bCs/>
          <w:color w:val="0E1A2B"/>
          <w:sz w:val="40"/>
          <w:szCs w:val="40"/>
        </w:rPr>
        <w:t xml:space="preserve">İşlem Sorgulama ve Descriptor Aydınlatma Sistemi</w:t>
      </w:r>
    </w:p>
    <w:p>
      <w:pPr>
        <w:spacing w:after="400"/>
        <w:jc w:val="center"/>
      </w:pPr>
      <w:r>
        <w:rPr>
          <w:rFonts w:ascii="Calibri" w:cs="Calibri" w:eastAsia="Calibri" w:hAnsi="Calibri"/>
          <w:color w:val="5A6B7B"/>
          <w:sz w:val="28"/>
          <w:szCs w:val="28"/>
        </w:rPr>
        <w:t xml:space="preserve">Teknik Mimari ve Mevzuata Uyum Raporu</w:t>
      </w:r>
    </w:p>
    <w:p>
      <w:pPr>
        <w:spacing w:after="40"/>
        <w:jc w:val="center"/>
      </w:pPr>
      <w:r>
        <w:rPr>
          <w:rFonts w:ascii="Calibri" w:cs="Calibri" w:eastAsia="Calibri" w:hAnsi="Calibri"/>
          <w:i/>
          <w:iCs/>
          <w:color w:val="5A6B7B"/>
          <w:sz w:val="22"/>
          <w:szCs w:val="22"/>
        </w:rPr>
        <w:t xml:space="preserve">Birinci Taraf (Friendly Fraud) İtiraz Önleme Katmanı</w:t>
      </w:r>
    </w:p>
    <w:p>
      <w:pPr>
        <w:spacing w:after="20" w:before="1600"/>
        <w:jc w:val="center"/>
      </w:pPr>
      <w:r>
        <w:rPr>
          <w:rFonts w:ascii="Calibri" w:cs="Calibri" w:eastAsia="Calibri" w:hAnsi="Calibri"/>
          <w:color w:val="5A6B7B"/>
          <w:sz w:val="20"/>
          <w:szCs w:val="20"/>
        </w:rPr>
        <w:t xml:space="preserve">Sürüm 1.0</w:t>
      </w:r>
    </w:p>
    <w:p>
      <w:pPr>
        <w:jc w:val="center"/>
      </w:pPr>
      <w:r>
        <w:rPr>
          <w:rFonts w:ascii="Calibri" w:cs="Calibri" w:eastAsia="Calibri" w:hAnsi="Calibri"/>
          <w:color w:val="5A6B7B"/>
          <w:sz w:val="20"/>
          <w:szCs w:val="20"/>
        </w:rPr>
        <w:t xml:space="preserve">Temmuz 2026</w:t>
      </w:r>
    </w:p>
    <w:p>
      <w:r>
        <w:br w:type="page"/>
      </w:r>
    </w:p>
    <w:p>
      <w:pPr>
        <w:pStyle w:val="Heading1"/>
        <w:spacing w:after="140" w:before="320"/>
      </w:pPr>
      <w:r>
        <w:rPr>
          <w:rFonts w:ascii="Calibri" w:cs="Calibri" w:eastAsia="Calibri" w:hAnsi="Calibri"/>
          <w:b/>
          <w:bCs/>
          <w:color w:val="0E1A2B"/>
          <w:sz w:val="30"/>
          <w:szCs w:val="30"/>
        </w:rPr>
        <w:t xml:space="preserve">1. Yönetici Özeti</w:t>
      </w:r>
    </w:p>
    <w:p>
      <w:pPr>
        <w:spacing w:after="130" w:line="276"/>
        <w:jc w:val="both"/>
      </w:pPr>
      <w:r>
        <w:rPr>
          <w:rFonts w:ascii="Calibri" w:cs="Calibri" w:eastAsia="Calibri" w:hAnsi="Calibri"/>
          <w:color w:val="222222"/>
          <w:sz w:val="21"/>
          <w:szCs w:val="21"/>
        </w:rPr>
        <w:t xml:space="preserve">Bu rapor, Moka United bünyesinde kurulması planlanan bir işlem sorgulama sisteminin teknik mimarisini ve bu mimarinin Türkiye mevzuatına uyumunu tanımlar. Sistemin amacı, kart ekstresinde tanımadığı bir işlem gören kart hamilinin, bankasına başvurup ters ibraz (chargeback) süreci başlatmadan önce, ilgili işleme ait zenginleştirilmiş işyeri bilgilerine erişerek harcamasını hatırlamasını sağlamaktır. Böylece birinci taraf (first-party / friendly) fraud kaynaklı, aslında meşru olan işlemlere yönelik itirazların önemli bir kısmı kaynağında önlenir.</w:t>
      </w:r>
    </w:p>
    <w:p>
      <w:pPr>
        <w:spacing w:after="130" w:line="276"/>
        <w:jc w:val="both"/>
      </w:pPr>
      <w:r>
        <w:rPr>
          <w:rFonts w:ascii="Calibri" w:cs="Calibri" w:eastAsia="Calibri" w:hAnsi="Calibri"/>
          <w:color w:val="222222"/>
          <w:sz w:val="21"/>
          <w:szCs w:val="21"/>
        </w:rPr>
        <w:t xml:space="preserve">Sistem, kullanıcının ekstresinde gördüğü sınırlı bilgileri (işlem tarihi, tutar, kartın maskeli haneleri) bir forma girmesi, Moka United'ın bu bilgileri kendi kayıtlarındaki işlemle deterministik biçimde eşleştirmesi ve doğrulama sonrasında yalnızca hatırlatma amacına hizmet eden asgari işyeri bilgisini göstermesi esasına dayanır. Rapor boyunca gösterildiği üzere, sistemin hukuki dayanağı 6698 sayılı Kişisel Verilerin Korunması Kanunu (KVKK), teknik güvenlik çerçevesi 6493 sayılı Kanun kapsamındaki TCMB düzenlemeleri ile PCI DSS v4.0.1 standardıdır.</w:t>
      </w:r>
    </w:p>
    <w:p>
      <w:pPr>
        <w:spacing w:after="130" w:line="276"/>
        <w:jc w:val="both"/>
      </w:pPr>
      <w:r>
        <w:rPr>
          <w:rFonts w:ascii="Calibri" w:cs="Calibri" w:eastAsia="Calibri" w:hAnsi="Calibri"/>
          <w:b/>
          <w:bCs/>
          <w:color w:val="222222"/>
          <w:sz w:val="21"/>
          <w:szCs w:val="21"/>
        </w:rPr>
        <w:t xml:space="preserve">Raporun en kritik tasarım ilkesi şudur: </w:t>
      </w:r>
      <w:r>
        <w:rPr>
          <w:rFonts w:ascii="Calibri" w:cs="Calibri" w:eastAsia="Calibri" w:hAnsi="Calibri"/>
          <w:color w:val="222222"/>
          <w:sz w:val="21"/>
          <w:szCs w:val="21"/>
        </w:rPr>
        <w:t xml:space="preserve">yeterli düzeyde doğrulanmamış hiçbir kişiye üçüncü bir kişiye ait işlem verisi gösterilmez. </w:t>
      </w:r>
      <w:r>
        <w:rPr>
          <w:rFonts w:ascii="Calibri" w:cs="Calibri" w:eastAsia="Calibri" w:hAnsi="Calibri"/>
          <w:color w:val="222222"/>
          <w:sz w:val="21"/>
          <w:szCs w:val="21"/>
        </w:rPr>
        <w:t xml:space="preserve">Kişisel Verileri Koruma Kurulu'nun yerleşik yaklaşımı, veri sorumlusunun üçüncü kişinin kişisel verisini ilgili kişiye açıklama yükümlülüğü bulunmadığı ve talebin ilgili kişinin kendi hesabından yapılmış olsa dahi işlemin başka biri tarafından gerçekleştirildiği tespit edilirse paylaşımdan kaçınılması yönündedir. Sistemin tüm doğrulama ve asgari ifşa mantığı bu ilke üzerine kurulmuştur.</w:t>
      </w:r>
    </w:p>
    <w:p>
      <w:pPr>
        <w:pStyle w:val="Heading1"/>
        <w:spacing w:after="140" w:before="320"/>
      </w:pPr>
      <w:r>
        <w:rPr>
          <w:rFonts w:ascii="Calibri" w:cs="Calibri" w:eastAsia="Calibri" w:hAnsi="Calibri"/>
          <w:b/>
          <w:bCs/>
          <w:color w:val="0E1A2B"/>
          <w:sz w:val="30"/>
          <w:szCs w:val="30"/>
        </w:rPr>
        <w:t xml:space="preserve">2. Amaç, Kapsam ve Kurumsal Konum</w:t>
      </w:r>
    </w:p>
    <w:p>
      <w:pPr>
        <w:pStyle w:val="Heading2"/>
        <w:spacing w:after="100" w:before="220"/>
      </w:pPr>
      <w:r>
        <w:rPr>
          <w:rFonts w:ascii="Calibri" w:cs="Calibri" w:eastAsia="Calibri" w:hAnsi="Calibri"/>
          <w:b/>
          <w:bCs/>
          <w:color w:val="0C8C7E"/>
          <w:sz w:val="25"/>
          <w:szCs w:val="25"/>
        </w:rPr>
        <w:t xml:space="preserve">2.1. İş Problemi</w:t>
      </w:r>
    </w:p>
    <w:p>
      <w:pPr>
        <w:spacing w:after="130" w:line="276"/>
        <w:jc w:val="both"/>
      </w:pPr>
      <w:r>
        <w:rPr>
          <w:rFonts w:ascii="Calibri" w:cs="Calibri" w:eastAsia="Calibri" w:hAnsi="Calibri"/>
          <w:color w:val="222222"/>
          <w:sz w:val="21"/>
          <w:szCs w:val="21"/>
        </w:rPr>
        <w:t xml:space="preserve">Kart hamilleri, ekstrelerinde muğlak veya tanınmayan bir işlem tanımı (billing descriptor) gördüklerinde, işlemi hatırlayamadıkları için bunu yetkisiz işlem sanıp bankalarına itiraz edebilmektedir. Bu itirazların önemli bölümü gerçek dolandırıcılık değil, kart hamilinin meşru bir harcamayı tanımamasından kaynaklanan birinci taraf (friendly) frauddur. Sonuç, üye işyeri için gereksiz chargeback maliyeti ve itiraz oranı yükü, ödeme kuruluşu için ise operasyonel yüktür.</w:t>
      </w:r>
    </w:p>
    <w:p>
      <w:pPr>
        <w:pStyle w:val="Heading2"/>
        <w:spacing w:after="100" w:before="220"/>
      </w:pPr>
      <w:r>
        <w:rPr>
          <w:rFonts w:ascii="Calibri" w:cs="Calibri" w:eastAsia="Calibri" w:hAnsi="Calibri"/>
          <w:b/>
          <w:bCs/>
          <w:color w:val="0C8C7E"/>
          <w:sz w:val="25"/>
          <w:szCs w:val="25"/>
        </w:rPr>
        <w:t xml:space="preserve">2.2. Çözümün Konumu</w:t>
      </w:r>
    </w:p>
    <w:p>
      <w:pPr>
        <w:spacing w:after="130" w:line="276"/>
        <w:jc w:val="both"/>
      </w:pPr>
      <w:r>
        <w:rPr>
          <w:rFonts w:ascii="Calibri" w:cs="Calibri" w:eastAsia="Calibri" w:hAnsi="Calibri"/>
          <w:color w:val="222222"/>
          <w:sz w:val="21"/>
          <w:szCs w:val="21"/>
        </w:rPr>
        <w:t xml:space="preserve">Uluslararası ödeme ekosisteminde bu problem, işyeri işlem verisinin kart hamiline zamanında sunulmasıyla çözülür; Visa tarafında Verifi Order Insight, Mastercard tarafında Ethoca Consumer Clarity bu işlevi görür ve verileri kart hamilinin ihraççı (issuer) bankası kanalıyla sunar. Moka United bir banka değil, 6493 sayılı Kanun kapsamında faaliyet gösteren bir ödeme kuruluşudur (acquirer/PSP); kart hamili ile doğrudan bir ihraççı-banka ilişkisi yoktur. Bu nedenle bu raporda tanımlanan sistem, ihraççı kanalının yerine, Moka United'ın kendi verisine dayalı, kaynakta descriptor iyileştirmesini tamamlayan bir self-servis aydınlatma katmanı olarak konumlandırılır.</w:t>
      </w:r>
    </w:p>
    <w:p>
      <w:pPr>
        <w:pStyle w:val="Heading2"/>
        <w:spacing w:after="100" w:before="220"/>
      </w:pPr>
      <w:r>
        <w:rPr>
          <w:rFonts w:ascii="Calibri" w:cs="Calibri" w:eastAsia="Calibri" w:hAnsi="Calibri"/>
          <w:b/>
          <w:bCs/>
          <w:color w:val="0C8C7E"/>
          <w:sz w:val="25"/>
          <w:szCs w:val="25"/>
        </w:rPr>
        <w:t xml:space="preserve">2.3. Kapsam Dışı</w:t>
      </w:r>
    </w:p>
    <w:p>
      <w:pPr>
        <w:pStyle w:val="ListParagraph"/>
        <w:numPr>
          <w:ilvl w:val="0"/>
          <w:numId w:val="2"/>
        </w:numPr>
        <w:spacing w:after="90" w:line="272"/>
        <w:jc w:val="both"/>
      </w:pPr>
      <w:r>
        <w:rPr>
          <w:rFonts w:ascii="Calibri" w:cs="Calibri" w:eastAsia="Calibri" w:hAnsi="Calibri"/>
          <w:color w:val="222222"/>
          <w:sz w:val="21"/>
          <w:szCs w:val="21"/>
        </w:rPr>
        <w:t xml:space="preserve">Tam kart numarasının (PAN), CVV/CVC, PIN veya kart manyetik şerit/çip verisinin toplanması veya işlenmesi kapsam dışıdır ve kesinlikle yapılmaz.</w:t>
      </w:r>
    </w:p>
    <w:p>
      <w:pPr>
        <w:pStyle w:val="ListParagraph"/>
        <w:numPr>
          <w:ilvl w:val="0"/>
          <w:numId w:val="2"/>
        </w:numPr>
        <w:spacing w:after="90" w:line="272"/>
        <w:jc w:val="both"/>
      </w:pPr>
      <w:r>
        <w:rPr>
          <w:rFonts w:ascii="Calibri" w:cs="Calibri" w:eastAsia="Calibri" w:hAnsi="Calibri"/>
          <w:color w:val="222222"/>
          <w:sz w:val="21"/>
          <w:szCs w:val="21"/>
        </w:rPr>
        <w:t xml:space="preserve">Sistem bir itiraz karar mercii değildir; nihai chargeback değerlendirmesi mevcut süreçlerde kalır. Sistem yalnızca aydınlatma/hatırlatma amaçlıdır.</w:t>
      </w:r>
    </w:p>
    <w:p>
      <w:pPr>
        <w:pStyle w:val="ListParagraph"/>
        <w:numPr>
          <w:ilvl w:val="0"/>
          <w:numId w:val="2"/>
        </w:numPr>
        <w:spacing w:after="90" w:line="272"/>
        <w:jc w:val="both"/>
      </w:pPr>
      <w:r>
        <w:rPr>
          <w:rFonts w:ascii="Calibri" w:cs="Calibri" w:eastAsia="Calibri" w:hAnsi="Calibri"/>
          <w:color w:val="222222"/>
          <w:sz w:val="21"/>
          <w:szCs w:val="21"/>
        </w:rPr>
        <w:t xml:space="preserve">İhraççı banka veya kart şeması sistemlerine doğrudan müdahale kapsam dışıdır.</w:t>
      </w:r>
    </w:p>
    <w:p>
      <w:r>
        <w:br w:type="page"/>
      </w:r>
    </w:p>
    <w:p>
      <w:pPr>
        <w:pStyle w:val="Heading1"/>
        <w:spacing w:after="140" w:before="320"/>
      </w:pPr>
      <w:r>
        <w:rPr>
          <w:rFonts w:ascii="Calibri" w:cs="Calibri" w:eastAsia="Calibri" w:hAnsi="Calibri"/>
          <w:b/>
          <w:bCs/>
          <w:color w:val="0E1A2B"/>
          <w:sz w:val="30"/>
          <w:szCs w:val="30"/>
        </w:rPr>
        <w:t xml:space="preserve">3. Sistem Mimarisi ve Uçtan Uca Akış</w:t>
      </w:r>
    </w:p>
    <w:p>
      <w:pPr>
        <w:spacing w:after="130" w:line="276"/>
        <w:jc w:val="both"/>
      </w:pPr>
      <w:r>
        <w:rPr>
          <w:rFonts w:ascii="Calibri" w:cs="Calibri" w:eastAsia="Calibri" w:hAnsi="Calibri"/>
          <w:color w:val="222222"/>
          <w:sz w:val="21"/>
          <w:szCs w:val="21"/>
        </w:rPr>
        <w:t xml:space="preserve">Sistem beş mantıksal katmandan oluşur. Her katman hem işlevsel bir amaca hem de bir hukuki/güvenlik gerekçesine hizmet eder.</w:t>
      </w:r>
    </w:p>
    <w:p>
      <w:pPr>
        <w:pStyle w:val="Heading2"/>
        <w:spacing w:after="100" w:before="220"/>
      </w:pPr>
      <w:r>
        <w:rPr>
          <w:rFonts w:ascii="Calibri" w:cs="Calibri" w:eastAsia="Calibri" w:hAnsi="Calibri"/>
          <w:b/>
          <w:bCs/>
          <w:color w:val="0C8C7E"/>
          <w:sz w:val="25"/>
          <w:szCs w:val="25"/>
        </w:rPr>
        <w:t xml:space="preserve">3.1. Katman 0 — Aydınlatma ve Hukuki Kapı</w:t>
      </w:r>
    </w:p>
    <w:p>
      <w:pPr>
        <w:spacing w:after="130" w:line="276"/>
        <w:jc w:val="both"/>
      </w:pPr>
      <w:r>
        <w:rPr>
          <w:rFonts w:ascii="Calibri" w:cs="Calibri" w:eastAsia="Calibri" w:hAnsi="Calibri"/>
          <w:color w:val="222222"/>
          <w:sz w:val="21"/>
          <w:szCs w:val="21"/>
        </w:rPr>
        <w:t xml:space="preserve">Kullanıcı sorgu formuna erişmeden önce, KVKK'nın 10. maddesi uyarınca aydınlatma yükümlülüğü yerine getirilir. Aydınlatma metni, hangi verilerin hangi amaçla, hangi hukuki sebebe dayanılarak işlendiğini açık ve anlaşılır biçimde belirtir. Kişisel Verileri Koruma Kurulu'nun 2026/347 sayılı ilke kararı gereği, aydınlatma metni ile açık rıza metni ayrı ayrı düzenlenir; tek bir onay eylemiyle birbirine bağlanmaz.</w:t>
      </w:r>
    </w:p>
    <w:p>
      <w:pPr>
        <w:spacing w:after="130" w:line="276"/>
        <w:jc w:val="both"/>
      </w:pPr>
      <w:r>
        <w:rPr>
          <w:rFonts w:ascii="Calibri" w:cs="Calibri" w:eastAsia="Calibri" w:hAnsi="Calibri"/>
          <w:color w:val="222222"/>
          <w:sz w:val="21"/>
          <w:szCs w:val="21"/>
        </w:rPr>
        <w:t xml:space="preserve">Bu işlemin birincil hukuki dayanağı olarak açık rıza yerine, KVKK'nın 5. maddesindeki diğer işleme şartları değerlendirilmelidir: işlemin sözleşmenin ifasıyla doğrudan ilgili olması (m.5/2-c), bir hakkın tesisi/kullanılması/korunması için zorunlu olması (m.5/2-e) veya veri sorumlusunun meşru menfaati (m.5/2-f). Kurul, başka bir işleme şartı mevcutken gereksiz yere açık rıza alınmasını ve hizmetin açık rıza şartına bağlanmasını hukuka aykırı bulmaktadır; bu nedenle rıza tabanlı değil, meşru menfaat/sözleşme temelli bir zemin daha sağlamdır. Nihai hukuki nitelendirme veri koruma hukuku uzmanınca teyit edilmelidir.</w:t>
      </w:r>
    </w:p>
    <w:p>
      <w:pPr>
        <w:pStyle w:val="Heading2"/>
        <w:spacing w:after="100" w:before="220"/>
      </w:pPr>
      <w:r>
        <w:rPr>
          <w:rFonts w:ascii="Calibri" w:cs="Calibri" w:eastAsia="Calibri" w:hAnsi="Calibri"/>
          <w:b/>
          <w:bCs/>
          <w:color w:val="0C8C7E"/>
          <w:sz w:val="25"/>
          <w:szCs w:val="25"/>
        </w:rPr>
        <w:t xml:space="preserve">3.2. Katman 1 — Sorgu Formu ve İşlem Eşleştirme</w:t>
      </w:r>
    </w:p>
    <w:p>
      <w:pPr>
        <w:spacing w:after="130" w:line="276"/>
        <w:jc w:val="both"/>
      </w:pPr>
      <w:r>
        <w:rPr>
          <w:rFonts w:ascii="Calibri" w:cs="Calibri" w:eastAsia="Calibri" w:hAnsi="Calibri"/>
          <w:color w:val="222222"/>
          <w:sz w:val="21"/>
          <w:szCs w:val="21"/>
        </w:rPr>
        <w:t xml:space="preserve">Kullanıcı, ekstresinden okuyabildiği asgari alanları girer: işlem tarihi, işlem tutarı, kartın ilk altı hanesi (BIN) ve son dört hanesi. Bu alanların hiçbiri tek başına bir işlemi tekilleştirmediğinden, eşleştirme bu alanların mantıksal kesişimiyle (AND) yapılır. Eşleştirmenin teknik ayrıntısı 4. bölümde ele alınmaktadır. Bu katmanın çıktısı ya tek bir işlem kaydı ya da 'bulunamadı' sonucudur; birden fazla eşleşme veya hiç eşleşme olmadığında sistem hangi alanın tutup tutmadığına dair hiçbir ipucu vermez (numaralandırma/enumeration saldırısını önlemek için).</w:t>
      </w:r>
    </w:p>
    <w:p>
      <w:pPr>
        <w:pStyle w:val="Heading2"/>
        <w:spacing w:after="100" w:before="220"/>
      </w:pPr>
      <w:r>
        <w:rPr>
          <w:rFonts w:ascii="Calibri" w:cs="Calibri" w:eastAsia="Calibri" w:hAnsi="Calibri"/>
          <w:b/>
          <w:bCs/>
          <w:color w:val="0C8C7E"/>
          <w:sz w:val="25"/>
          <w:szCs w:val="25"/>
        </w:rPr>
        <w:t xml:space="preserve">3.3. Katman 2 — Kart Hamili Doğrulama</w:t>
      </w:r>
    </w:p>
    <w:p>
      <w:pPr>
        <w:spacing w:after="130" w:line="276"/>
        <w:jc w:val="both"/>
      </w:pPr>
      <w:r>
        <w:rPr>
          <w:rFonts w:ascii="Calibri" w:cs="Calibri" w:eastAsia="Calibri" w:hAnsi="Calibri"/>
          <w:color w:val="222222"/>
          <w:sz w:val="21"/>
          <w:szCs w:val="21"/>
        </w:rPr>
        <w:t xml:space="preserve">İşlem bulunsa dahi, herhangi bir işyeri bilgisi gösterilmeden önce, sorguyu yapan kişinin gerçekten işlemi gerçekleştiren kişi olduğuna dair ek bir doğrulama uygulanır. Bu, Kurul'un üçüncü kişiye ifşayı önleme yönündeki beklentisinin teknik karşılığıdır. İki alternatif uygulanır:</w:t>
      </w:r>
    </w:p>
    <w:p>
      <w:pPr>
        <w:pStyle w:val="ListParagraph"/>
        <w:numPr>
          <w:ilvl w:val="0"/>
          <w:numId w:val="2"/>
        </w:numPr>
        <w:spacing w:after="90" w:line="272"/>
        <w:jc w:val="both"/>
      </w:pPr>
      <w:r>
        <w:rPr>
          <w:rFonts w:ascii="Calibri" w:cs="Calibri" w:eastAsia="Calibri" w:hAnsi="Calibri"/>
          <w:b/>
          <w:bCs/>
          <w:color w:val="222222"/>
          <w:sz w:val="21"/>
          <w:szCs w:val="21"/>
        </w:rPr>
        <w:t xml:space="preserve">Bilgi tabanlı doğrulama (challenge): </w:t>
      </w:r>
      <w:r>
        <w:rPr>
          <w:rFonts w:ascii="Calibri" w:cs="Calibri" w:eastAsia="Calibri" w:hAnsi="Calibri"/>
          <w:color w:val="222222"/>
          <w:sz w:val="21"/>
          <w:szCs w:val="21"/>
        </w:rPr>
        <w:t xml:space="preserve">Yalnızca işlemi yapanın bilebileceği, ancak ekstrede yer almayan bir-iki bilgi sorulur (ör. işlemin tek çekim mi taksitli mi olduğu, işlemin yaklaşık saati). Bu bilgiler Moka United kayıtlarında mevcuttur; ekstrede bulunmadığından, ekstreyi ele geçiren üçüncü kişi bunları bilemez.</w:t>
      </w:r>
    </w:p>
    <w:p>
      <w:pPr>
        <w:pStyle w:val="ListParagraph"/>
        <w:numPr>
          <w:ilvl w:val="0"/>
          <w:numId w:val="2"/>
        </w:numPr>
        <w:spacing w:after="90" w:line="272"/>
        <w:jc w:val="both"/>
      </w:pPr>
      <w:r>
        <w:rPr>
          <w:rFonts w:ascii="Calibri" w:cs="Calibri" w:eastAsia="Calibri" w:hAnsi="Calibri"/>
          <w:b/>
          <w:bCs/>
          <w:color w:val="222222"/>
          <w:sz w:val="21"/>
          <w:szCs w:val="21"/>
        </w:rPr>
        <w:t xml:space="preserve">OTP (tek kullanımlık kod): </w:t>
      </w:r>
      <w:r>
        <w:rPr>
          <w:rFonts w:ascii="Calibri" w:cs="Calibri" w:eastAsia="Calibri" w:hAnsi="Calibri"/>
          <w:color w:val="222222"/>
          <w:sz w:val="21"/>
          <w:szCs w:val="21"/>
        </w:rPr>
        <w:t xml:space="preserve">İşleme ait bir iletişim kanalı (ör. 3D Secure/e-ticaret işlemlerinde toplanmış telefon/e-posta) kayıtlarda mevcutsa, doğrulama tek kullanımlık kod ile yapılır. Kurul'un 2025/1072 sayılı ilke kararı gereği, doğrulama SMS'i öncesinde/içinde amaç aydınlatması yapılır ve bu kod başka bir işleme faaliyeti (ör. ticari elektronik ileti onayı) ile birleştirilmez.</w:t>
      </w:r>
    </w:p>
    <w:p>
      <w:pPr>
        <w:spacing w:after="130" w:line="276"/>
        <w:jc w:val="both"/>
      </w:pPr>
      <w:r>
        <w:rPr>
          <w:rFonts w:ascii="Calibri" w:cs="Calibri" w:eastAsia="Calibri" w:hAnsi="Calibri"/>
          <w:color w:val="222222"/>
          <w:sz w:val="21"/>
          <w:szCs w:val="21"/>
        </w:rPr>
        <w:t xml:space="preserve">Kart mevcut (card-present) POS işlemlerinde iletişim kanalı çoğunlukla bulunmadığından, bu tür işlemlerde bilgi tabanlı doğrulama esas alınır; iletişim kanalı bulunan işlemlerde OTP tercih edilir.</w:t>
      </w:r>
    </w:p>
    <w:p>
      <w:pPr>
        <w:pStyle w:val="Heading2"/>
        <w:spacing w:after="100" w:before="220"/>
      </w:pPr>
      <w:r>
        <w:rPr>
          <w:rFonts w:ascii="Calibri" w:cs="Calibri" w:eastAsia="Calibri" w:hAnsi="Calibri"/>
          <w:b/>
          <w:bCs/>
          <w:color w:val="0C8C7E"/>
          <w:sz w:val="25"/>
          <w:szCs w:val="25"/>
        </w:rPr>
        <w:t xml:space="preserve">3.4. Katman 3 — Asgari İfşa</w:t>
      </w:r>
    </w:p>
    <w:p>
      <w:pPr>
        <w:spacing w:after="130" w:line="276"/>
        <w:jc w:val="both"/>
      </w:pPr>
      <w:r>
        <w:rPr>
          <w:rFonts w:ascii="Calibri" w:cs="Calibri" w:eastAsia="Calibri" w:hAnsi="Calibri"/>
          <w:color w:val="222222"/>
          <w:sz w:val="21"/>
          <w:szCs w:val="21"/>
        </w:rPr>
        <w:t xml:space="preserve">Doğrulama başarılı olduğunda, yalnızca hatırlatma amacına hizmet eden asgari bilgi gösterilir: net işyeri görünen adı, işyerinin ilçe/şehir bilgisi, işyeri kategorisi (MCC) ve varsa işyeri logosu ile eşleşen tek işlem satırı. Kartın diğer işlemleri, işyerinin tam açık adresi, tam kart numarası veya amaç dışı hiçbir alan gösterilmez. Bu sınırlama KVKK m.4'teki 'amaçla bağlantılı, sınırlı ve ölçülü olma' ilkesinin doğrudan gereğidir.</w:t>
      </w:r>
    </w:p>
    <w:p>
      <w:pPr>
        <w:pStyle w:val="Heading2"/>
        <w:spacing w:after="100" w:before="220"/>
      </w:pPr>
      <w:r>
        <w:rPr>
          <w:rFonts w:ascii="Calibri" w:cs="Calibri" w:eastAsia="Calibri" w:hAnsi="Calibri"/>
          <w:b/>
          <w:bCs/>
          <w:color w:val="0C8C7E"/>
          <w:sz w:val="25"/>
          <w:szCs w:val="25"/>
        </w:rPr>
        <w:t xml:space="preserve">3.5. Katman 4 — Denetim İzi ve Kötüye Kullanım Önleme</w:t>
      </w:r>
    </w:p>
    <w:p>
      <w:pPr>
        <w:spacing w:after="130" w:line="276"/>
        <w:jc w:val="both"/>
      </w:pPr>
      <w:r>
        <w:rPr>
          <w:rFonts w:ascii="Calibri" w:cs="Calibri" w:eastAsia="Calibri" w:hAnsi="Calibri"/>
          <w:color w:val="222222"/>
          <w:sz w:val="21"/>
          <w:szCs w:val="21"/>
        </w:rPr>
        <w:t xml:space="preserve">Her sorgu denemesi, güvenliği ve bütünlüğü korunacak şekilde denetim izi (audit trail) kayıt sistemine yazılır. IP ve kart bazında hız sınırlaması (rate limiting) ve deneme kilidi uygulanır; otomatik istekleri sınırlamak için CAPTCHA kullanılır. Bu önlemler hem TCMB bilgi sistemleri düzenlemelerinin denetim izi ve güvenlik gereklerini karşılar hem de enumeration/veri madenciliği girişimlerini engeller.</w:t>
      </w:r>
    </w:p>
    <w:p>
      <w:r>
        <w:br w:type="page"/>
      </w:r>
    </w:p>
    <w:p>
      <w:pPr>
        <w:pStyle w:val="Heading1"/>
        <w:spacing w:after="140" w:before="320"/>
      </w:pPr>
      <w:r>
        <w:rPr>
          <w:rFonts w:ascii="Calibri" w:cs="Calibri" w:eastAsia="Calibri" w:hAnsi="Calibri"/>
          <w:b/>
          <w:bCs/>
          <w:color w:val="0E1A2B"/>
          <w:sz w:val="30"/>
          <w:szCs w:val="30"/>
        </w:rPr>
        <w:t xml:space="preserve">4. Arka Plandaki Eşleştirme Mantığı</w:t>
      </w:r>
    </w:p>
    <w:p>
      <w:pPr>
        <w:spacing w:after="130" w:line="276"/>
        <w:jc w:val="both"/>
      </w:pPr>
      <w:r>
        <w:rPr>
          <w:rFonts w:ascii="Calibri" w:cs="Calibri" w:eastAsia="Calibri" w:hAnsi="Calibri"/>
          <w:color w:val="222222"/>
          <w:sz w:val="21"/>
          <w:szCs w:val="21"/>
        </w:rPr>
        <w:t xml:space="preserve">Bu bölüm, kullanıcının girdiği verinin Moka United kayıtlarındaki işlemle nasıl eşleştiğini tanımlar. Eşleştirme tamamen deterministiktir; olasılıksal bir model veya yapay zekâ kullanılmaz. Kesin veri eşleştirmesinde olasılıksal bir katman güvenlik ve doğruluk açısından uygun olmadığından, bu bileşen bilinçli olarak saf sorgu mantığı üzerine kuruludur.</w:t>
      </w:r>
    </w:p>
    <w:p>
      <w:pPr>
        <w:pStyle w:val="Heading2"/>
        <w:spacing w:after="100" w:before="220"/>
      </w:pPr>
      <w:r>
        <w:rPr>
          <w:rFonts w:ascii="Calibri" w:cs="Calibri" w:eastAsia="Calibri" w:hAnsi="Calibri"/>
          <w:b/>
          <w:bCs/>
          <w:color w:val="0C8C7E"/>
          <w:sz w:val="25"/>
          <w:szCs w:val="25"/>
        </w:rPr>
        <w:t xml:space="preserve">4.1. Temel İlke: Tekillik Kesişimden Doğar</w:t>
      </w:r>
    </w:p>
    <w:p>
      <w:pPr>
        <w:spacing w:after="130" w:line="276"/>
        <w:jc w:val="both"/>
      </w:pPr>
      <w:r>
        <w:rPr>
          <w:rFonts w:ascii="Calibri" w:cs="Calibri" w:eastAsia="Calibri" w:hAnsi="Calibri"/>
          <w:color w:val="222222"/>
          <w:sz w:val="21"/>
          <w:szCs w:val="21"/>
        </w:rPr>
        <w:t xml:space="preserve">Kullanıcının sağlayabildiği alanların hiçbiri tek başına bir işlemi benzersiz kılmaz. Kart alanları (BIN + son dört) düşük entropilidir: BIN yalnızca ihraççı bankayı ve kart tipini gösterir ve on binlerce kart tarafından paylaşılır; son dört hane 10.000 kombinasyon sunar. Bu nedenle işlem, ancak kart + tutar + tarih alanlarının birlikte sağladığı kesişimle tekilleşir.</w:t>
      </w:r>
    </w:p>
    <w:p>
      <w:pPr>
        <w:pStyle w:val="Heading2"/>
        <w:spacing w:after="100" w:before="220"/>
      </w:pPr>
      <w:r>
        <w:rPr>
          <w:rFonts w:ascii="Calibri" w:cs="Calibri" w:eastAsia="Calibri" w:hAnsi="Calibri"/>
          <w:b/>
          <w:bCs/>
          <w:color w:val="0C8C7E"/>
          <w:sz w:val="25"/>
          <w:szCs w:val="25"/>
        </w:rPr>
        <w:t xml:space="preserve">4.2. Kart Eşleştirmesi ve PAN'ın Saklanmama İlkesi</w:t>
      </w:r>
    </w:p>
    <w:p>
      <w:pPr>
        <w:spacing w:after="130" w:line="276"/>
        <w:jc w:val="both"/>
      </w:pPr>
      <w:r>
        <w:rPr>
          <w:rFonts w:ascii="Calibri" w:cs="Calibri" w:eastAsia="Calibri" w:hAnsi="Calibri"/>
          <w:color w:val="222222"/>
          <w:sz w:val="21"/>
          <w:szCs w:val="21"/>
        </w:rPr>
        <w:t xml:space="preserve">PCI DSS v4.0.1'in 3. gereksinimi uyarınca saklanan kart numarası okunamaz kılınmak zorundadır; ekranda gösterilebilecek azami bölüm ilk altı ve son dört hanedir. Truncation (kırpma) yönteminde de yalnızca BIN (ilk 6-8 hane) ve son dört hane saklanır. Dolayısıyla Moka United tam PAN'ı saklamaz; kayıtta işlemin görselindeki gibi maskeli bir değer bulunur (örn. 526955**...**3339). Eşleştirme, kullanıcının girdiği BIN ve son dört hanenin bu maskeli sütunlarla dize (string) eşitliği karşılaştırmasıyla yapılır:</w:t>
      </w:r>
    </w:p>
    <w:p>
      <w:pPr>
        <w:shd w:fill="F3F6F8" w:val="clear"/>
        <w:spacing w:after="130"/>
        <w:jc w:val="left"/>
      </w:pPr>
      <w:r>
        <w:rPr>
          <w:rFonts w:ascii="Consolas" w:cs="Consolas" w:eastAsia="Consolas" w:hAnsi="Consolas"/>
          <w:color w:val="0E1A2B"/>
          <w:sz w:val="19"/>
          <w:szCs w:val="19"/>
        </w:rPr>
        <w:t xml:space="preserve">stored_bin = kullanıcı_bin   AND   stored_last4 = kullanıcı_last4</w:t>
      </w:r>
    </w:p>
    <w:p>
      <w:pPr>
        <w:spacing w:after="130" w:line="276"/>
        <w:jc w:val="both"/>
      </w:pPr>
      <w:r>
        <w:rPr>
          <w:rFonts w:ascii="Calibri" w:cs="Calibri" w:eastAsia="Calibri" w:hAnsi="Calibri"/>
          <w:color w:val="222222"/>
          <w:sz w:val="21"/>
          <w:szCs w:val="21"/>
        </w:rPr>
        <w:t xml:space="preserve">Kullanıcıdan ilk dört değil ilk altı hane (BIN) istenmelidir; çünkü saklanan/maskelenen format BIN'i altı hane olarak tutar. Tam PAN toplanmadığından, PAN'ın anahtarlı özetine (keyed hash) dayalı bir eşleştirme yolu bilinçli olarak kullanılmaz; yalnızca maskeli sütunlarla çalışılır. Ayrıca CVV, PIN ve manyetik şerit/çip verisi gibi hassas kimlik doğrulama verisi (SAD) yetkilendirme sonrası hiçbir koşulda saklanmadığından, bu alanlar eşleştirmede yer almaz.</w:t>
      </w:r>
    </w:p>
    <w:p>
      <w:pPr>
        <w:pStyle w:val="Heading2"/>
        <w:spacing w:after="100" w:before="220"/>
      </w:pPr>
      <w:r>
        <w:rPr>
          <w:rFonts w:ascii="Calibri" w:cs="Calibri" w:eastAsia="Calibri" w:hAnsi="Calibri"/>
          <w:b/>
          <w:bCs/>
          <w:color w:val="0C8C7E"/>
          <w:sz w:val="25"/>
          <w:szCs w:val="25"/>
        </w:rPr>
        <w:t xml:space="preserve">4.3. Tutar Eşleştirmesi ve Taksit İstisnası</w:t>
      </w:r>
    </w:p>
    <w:p>
      <w:pPr>
        <w:spacing w:after="130" w:line="276"/>
        <w:jc w:val="both"/>
      </w:pPr>
      <w:r>
        <w:rPr>
          <w:rFonts w:ascii="Calibri" w:cs="Calibri" w:eastAsia="Calibri" w:hAnsi="Calibri"/>
          <w:color w:val="222222"/>
          <w:sz w:val="21"/>
          <w:szCs w:val="21"/>
        </w:rPr>
        <w:t xml:space="preserve">Tutar, kuruş düzeyinde tam eşitlikle karşılaştırılır. Ancak taksitli işlemlerde kart hamilinin ekstresinde gördüğü tutar çoğunlukla aylık taksit tutarıdır, işlem toplamı değildir. Bu nedenle tutar eşleştirmesi iki ihtimali birlikte değerlendirir: kullanıcının girdiği tutar ya işlem toplamı ile ya da işlem toplamının taksit sayısına bölümü (aylık dilim) ile eşleşmelidir. Aksi halde taksitli işlemler sistematik olarak kaçırılır.</w:t>
      </w:r>
    </w:p>
    <w:p>
      <w:pPr>
        <w:pStyle w:val="Heading2"/>
        <w:spacing w:after="100" w:before="220"/>
      </w:pPr>
      <w:r>
        <w:rPr>
          <w:rFonts w:ascii="Calibri" w:cs="Calibri" w:eastAsia="Calibri" w:hAnsi="Calibri"/>
          <w:b/>
          <w:bCs/>
          <w:color w:val="0C8C7E"/>
          <w:sz w:val="25"/>
          <w:szCs w:val="25"/>
        </w:rPr>
        <w:t xml:space="preserve">4.4. Tarih Eşleştirmesi</w:t>
      </w:r>
    </w:p>
    <w:p>
      <w:pPr>
        <w:spacing w:after="130" w:line="276"/>
        <w:jc w:val="both"/>
      </w:pPr>
      <w:r>
        <w:rPr>
          <w:rFonts w:ascii="Calibri" w:cs="Calibri" w:eastAsia="Calibri" w:hAnsi="Calibri"/>
          <w:color w:val="222222"/>
          <w:sz w:val="21"/>
          <w:szCs w:val="21"/>
        </w:rPr>
        <w:t xml:space="preserve">İşlem kaydında tam zaman damgası (tarih ve saat) bulunur; ancak ekstrede genellikle yalnızca tarih görünür ve işlem tarihi ile hesaba yansıma/ekstre tarihi bir-iki gün kayabilir. Bu nedenle tarih, tam eşitlik yerine dar bir tolerans penceresiyle (±1 gün) karşılaştırılır. İşlem saati bir eşleştirme anahtarı olarak kullanılmaz; kullanıcı bunu bilemez ve ekstrede yer almaz. Saat bilgisi, 3.3'te tanımlanan doğrulama sorusunda kullanılır.</w:t>
      </w:r>
    </w:p>
    <w:p>
      <w:pPr>
        <w:pStyle w:val="Heading2"/>
        <w:spacing w:after="100" w:before="220"/>
      </w:pPr>
      <w:r>
        <w:rPr>
          <w:rFonts w:ascii="Calibri" w:cs="Calibri" w:eastAsia="Calibri" w:hAnsi="Calibri"/>
          <w:b/>
          <w:bCs/>
          <w:color w:val="0C8C7E"/>
          <w:sz w:val="25"/>
          <w:szCs w:val="25"/>
        </w:rPr>
        <w:t xml:space="preserve">4.5. İsim Alanının Kullanılmaması</w:t>
      </w:r>
    </w:p>
    <w:p>
      <w:pPr>
        <w:spacing w:after="130" w:line="276"/>
        <w:jc w:val="both"/>
      </w:pPr>
      <w:r>
        <w:rPr>
          <w:rFonts w:ascii="Calibri" w:cs="Calibri" w:eastAsia="Calibri" w:hAnsi="Calibri"/>
          <w:color w:val="222222"/>
          <w:sz w:val="21"/>
          <w:szCs w:val="21"/>
        </w:rPr>
        <w:t xml:space="preserve">Kart hamili adı bir eşleştirme anahtarı olarak kullanılmaz. Bu alan acquirer kayıtlarında güvenilir biçimde bulunmayabilir ve mevcut örnek veride yer tutucu bir değerle dolu olduğu görülmektedir. Kullanıldığında yalnızca güvenilir olduğu işlemlerde ikincil bir kontrol olarak değerlendirilebilir.</w:t>
      </w:r>
    </w:p>
    <w:p>
      <w:pPr>
        <w:pStyle w:val="Heading2"/>
        <w:spacing w:after="100" w:before="220"/>
      </w:pPr>
      <w:r>
        <w:rPr>
          <w:rFonts w:ascii="Calibri" w:cs="Calibri" w:eastAsia="Calibri" w:hAnsi="Calibri"/>
          <w:b/>
          <w:bCs/>
          <w:color w:val="0C8C7E"/>
          <w:sz w:val="25"/>
          <w:szCs w:val="25"/>
        </w:rPr>
        <w:t xml:space="preserve">4.6. Sorgu ve Sonuç Mantığı</w:t>
      </w:r>
    </w:p>
    <w:p>
      <w:pPr>
        <w:spacing w:after="130" w:line="276"/>
        <w:jc w:val="both"/>
      </w:pPr>
      <w:r>
        <w:rPr>
          <w:rFonts w:ascii="Calibri" w:cs="Calibri" w:eastAsia="Calibri" w:hAnsi="Calibri"/>
          <w:color w:val="222222"/>
          <w:sz w:val="21"/>
          <w:szCs w:val="21"/>
        </w:rPr>
        <w:t xml:space="preserve">Tüm koşullar birleştirildiğinde, arka planda çalışan mantık esasen tek bir parametreli sorgudur:</w:t>
      </w:r>
    </w:p>
    <w:p>
      <w:pPr>
        <w:shd w:fill="F3F6F8" w:val="clear"/>
        <w:spacing w:after="60"/>
      </w:pPr>
      <w:r>
        <w:rPr>
          <w:rFonts w:ascii="Consolas" w:cs="Consolas" w:eastAsia="Consolas" w:hAnsi="Consolas"/>
          <w:color w:val="0E1A2B"/>
          <w:sz w:val="18"/>
          <w:szCs w:val="18"/>
        </w:rPr>
        <w:t xml:space="preserve">SELECT dp.PaymentId, d.DealerName, d.City, d.MCC, dp.Amount</w:t>
      </w:r>
    </w:p>
    <w:p>
      <w:pPr>
        <w:shd w:fill="F3F6F8" w:val="clear"/>
        <w:spacing w:after="60"/>
      </w:pPr>
      <w:r>
        <w:rPr>
          <w:rFonts w:ascii="Consolas" w:cs="Consolas" w:eastAsia="Consolas" w:hAnsi="Consolas"/>
          <w:color w:val="0E1A2B"/>
          <w:sz w:val="18"/>
          <w:szCs w:val="18"/>
        </w:rPr>
        <w:t xml:space="preserve">FROM PaymentLookup dp JOIN Dealer d ON d.DealerId = dp.DealerId</w:t>
      </w:r>
    </w:p>
    <w:p>
      <w:pPr>
        <w:shd w:fill="F3F6F8" w:val="clear"/>
        <w:spacing w:after="60"/>
      </w:pPr>
      <w:r>
        <w:rPr>
          <w:rFonts w:ascii="Consolas" w:cs="Consolas" w:eastAsia="Consolas" w:hAnsi="Consolas"/>
          <w:color w:val="0E1A2B"/>
          <w:sz w:val="18"/>
          <w:szCs w:val="18"/>
        </w:rPr>
        <w:t xml:space="preserve">WHERE dp.CardBin = :bin AND dp.CardLast4 = :last4</w:t>
      </w:r>
    </w:p>
    <w:p>
      <w:pPr>
        <w:shd w:fill="F3F6F8" w:val="clear"/>
        <w:spacing w:after="60"/>
      </w:pPr>
      <w:r>
        <w:rPr>
          <w:rFonts w:ascii="Consolas" w:cs="Consolas" w:eastAsia="Consolas" w:hAnsi="Consolas"/>
          <w:color w:val="0E1A2B"/>
          <w:sz w:val="18"/>
          <w:szCs w:val="18"/>
        </w:rPr>
        <w:t xml:space="preserve">  AND (dp.Amount = :amount OR dp.Amount / dp.Installment = :amount)</w:t>
      </w:r>
    </w:p>
    <w:p>
      <w:pPr>
        <w:shd w:fill="F3F6F8" w:val="clear"/>
        <w:spacing w:after="130"/>
      </w:pPr>
      <w:r>
        <w:rPr>
          <w:rFonts w:ascii="Consolas" w:cs="Consolas" w:eastAsia="Consolas" w:hAnsi="Consolas"/>
          <w:color w:val="0E1A2B"/>
          <w:sz w:val="18"/>
          <w:szCs w:val="18"/>
        </w:rPr>
        <w:t xml:space="preserve">  AND dp.TxnDate BETWEEN :date - 1 AND :date + 1;</w:t>
      </w:r>
    </w:p>
    <w:p>
      <w:pPr>
        <w:spacing w:after="130" w:line="276"/>
        <w:jc w:val="both"/>
      </w:pPr>
      <w:r>
        <w:rPr>
          <w:rFonts w:ascii="Calibri" w:cs="Calibri" w:eastAsia="Calibri" w:hAnsi="Calibri"/>
          <w:b/>
          <w:bCs/>
          <w:color w:val="222222"/>
          <w:sz w:val="21"/>
          <w:szCs w:val="21"/>
        </w:rPr>
        <w:t xml:space="preserve">Sonuç sayısına göre davranış: </w:t>
      </w:r>
      <w:r>
        <w:rPr>
          <w:rFonts w:ascii="Calibri" w:cs="Calibri" w:eastAsia="Calibri" w:hAnsi="Calibri"/>
          <w:color w:val="222222"/>
          <w:sz w:val="21"/>
          <w:szCs w:val="21"/>
        </w:rPr>
        <w:t xml:space="preserve">Tek satır dönerse işyeri bilgisi (doğrulama sonrası) gösterilir. Sıfır satır dönerse jenerik 'bulunamadı' mesajı verilir. Birden fazla satır dönerse (ör. aynı kart, aynı tutar, aynı gün iki özdeş alışveriş) güvenli ifşa mümkün olmadığından ya işlem kapatılır ya da bu küçük küme Katman 2 doğrulama sorusuyla tek satıra indirilerek gösterilir.</w:t>
      </w:r>
    </w:p>
    <w:p>
      <w:pPr>
        <w:pStyle w:val="Heading2"/>
        <w:spacing w:after="100" w:before="220"/>
      </w:pPr>
      <w:r>
        <w:rPr>
          <w:rFonts w:ascii="Calibri" w:cs="Calibri" w:eastAsia="Calibri" w:hAnsi="Calibri"/>
          <w:b/>
          <w:bCs/>
          <w:color w:val="0C8C7E"/>
          <w:sz w:val="25"/>
          <w:szCs w:val="25"/>
        </w:rPr>
        <w:t xml:space="preserve">4.7. Mimari İlke: Ayrık Sorgulama İndeksi</w:t>
      </w:r>
    </w:p>
    <w:p>
      <w:pPr>
        <w:spacing w:after="130" w:line="276"/>
        <w:jc w:val="both"/>
      </w:pPr>
      <w:r>
        <w:rPr>
          <w:rFonts w:ascii="Calibri" w:cs="Calibri" w:eastAsia="Calibri" w:hAnsi="Calibri"/>
          <w:color w:val="222222"/>
          <w:sz w:val="21"/>
          <w:szCs w:val="21"/>
        </w:rPr>
        <w:t xml:space="preserve">Sorgu, canlı çekirdek ödeme veritabanına karşı çalıştırılmaz. Bunun yerine, yalnızca eşleştirme için gerekli asgari alanlar (BIN, son dört, tutar, tarih, taksit, işyeri adı, şehir, MCC, logo) ayrı bir sorgulama indeksine aktarılır; hassas alanlar (token, tam kayıt) bu indekse hiç taşınmaz. Bu yaklaşım hem veri minimizasyonu ilkesini hem de performans gereğini karşılar. İlgili alanlar üzerinde bileşik (composite) indeks tanımlanır.</w:t>
      </w:r>
    </w:p>
    <w:p>
      <w:r>
        <w:br w:type="page"/>
      </w:r>
    </w:p>
    <w:p>
      <w:pPr>
        <w:pStyle w:val="Heading1"/>
        <w:spacing w:after="140" w:before="320"/>
      </w:pPr>
      <w:r>
        <w:rPr>
          <w:rFonts w:ascii="Calibri" w:cs="Calibri" w:eastAsia="Calibri" w:hAnsi="Calibri"/>
          <w:b/>
          <w:bCs/>
          <w:color w:val="0E1A2B"/>
          <w:sz w:val="30"/>
          <w:szCs w:val="30"/>
        </w:rPr>
        <w:t xml:space="preserve">5. Kullanılan Veri ve Sınıflandırması</w:t>
      </w:r>
    </w:p>
    <w:p>
      <w:pPr>
        <w:spacing w:after="130" w:line="276"/>
        <w:jc w:val="both"/>
      </w:pPr>
      <w:r>
        <w:rPr>
          <w:rFonts w:ascii="Calibri" w:cs="Calibri" w:eastAsia="Calibri" w:hAnsi="Calibri"/>
          <w:color w:val="222222"/>
          <w:sz w:val="21"/>
          <w:szCs w:val="21"/>
        </w:rPr>
        <w:t xml:space="preserve">Aşağıdaki tablo, sistemin kullandığı veri alanlarını, KVKK açısından niteliklerini ve işleme gerekçesini özetler. KVKK yalnızca gerçek kişilere ilişkin verileri korur; işyeri (tüzel kişi) bilgileri Kanun kapsamı dışındadır, ancak işyeri adı bir gerçek kişi adını içeriyorsa (şahıs işletmesi) kişisel veri niteliği kazanabilir.</w:t>
      </w:r>
    </w:p>
    <w:tbl>
      <w:tblPr>
        <w:tblW w:type="dxa" w:w="9000"/>
        <w:tblBorders>
          <w:top w:val="single" w:color="D5DBE2" w:sz="4"/>
          <w:left w:val="single" w:color="D5DBE2" w:sz="4"/>
          <w:bottom w:val="single" w:color="D5DBE2" w:sz="4"/>
          <w:right w:val="single" w:color="D5DBE2" w:sz="4"/>
          <w:insideH w:val="single" w:color="D5DBE2" w:sz="4"/>
          <w:insideV w:val="single" w:color="D5DBE2" w:sz="4"/>
        </w:tblBorders>
      </w:tblPr>
      <w:tblGrid>
        <w:gridCol w:w="3200"/>
        <w:gridCol w:w="2600"/>
        <w:gridCol w:w="3200"/>
      </w:tblGrid>
      <w:tr>
        <w:trPr>
          <w:tblHeader/>
        </w:trPr>
        <w:tc>
          <w:tcPr>
            <w:tcW w:type="dxa" w:w="3200"/>
            <w:shd w:fill="0E1A2B" w:val="clear"/>
            <w:tcMar>
              <w:top w:type="dxa" w:w="60"/>
              <w:left w:type="dxa" w:w="90"/>
              <w:bottom w:type="dxa" w:w="60"/>
              <w:right w:type="dxa" w:w="90"/>
            </w:tcMar>
          </w:tcPr>
          <w:p>
            <w:r>
              <w:rPr>
                <w:rFonts w:ascii="Calibri" w:cs="Calibri" w:eastAsia="Calibri" w:hAnsi="Calibri"/>
                <w:b/>
                <w:bCs/>
                <w:color w:val="FFFFFF"/>
                <w:sz w:val="19"/>
                <w:szCs w:val="19"/>
              </w:rPr>
              <w:t xml:space="preserve">Veri Alanı</w:t>
            </w:r>
          </w:p>
        </w:tc>
        <w:tc>
          <w:tcPr>
            <w:tcW w:type="dxa" w:w="2600"/>
            <w:shd w:fill="0E1A2B" w:val="clear"/>
            <w:tcMar>
              <w:top w:type="dxa" w:w="60"/>
              <w:left w:type="dxa" w:w="90"/>
              <w:bottom w:type="dxa" w:w="60"/>
              <w:right w:type="dxa" w:w="90"/>
            </w:tcMar>
          </w:tcPr>
          <w:p>
            <w:r>
              <w:rPr>
                <w:rFonts w:ascii="Calibri" w:cs="Calibri" w:eastAsia="Calibri" w:hAnsi="Calibri"/>
                <w:b/>
                <w:bCs/>
                <w:color w:val="FFFFFF"/>
                <w:sz w:val="19"/>
                <w:szCs w:val="19"/>
              </w:rPr>
              <w:t xml:space="preserve">KVKK Niteliği</w:t>
            </w:r>
          </w:p>
        </w:tc>
        <w:tc>
          <w:tcPr>
            <w:tcW w:type="dxa" w:w="3200"/>
            <w:shd w:fill="0E1A2B" w:val="clear"/>
            <w:tcMar>
              <w:top w:type="dxa" w:w="60"/>
              <w:left w:type="dxa" w:w="90"/>
              <w:bottom w:type="dxa" w:w="60"/>
              <w:right w:type="dxa" w:w="90"/>
            </w:tcMar>
          </w:tcPr>
          <w:p>
            <w:r>
              <w:rPr>
                <w:rFonts w:ascii="Calibri" w:cs="Calibri" w:eastAsia="Calibri" w:hAnsi="Calibri"/>
                <w:b/>
                <w:bCs/>
                <w:color w:val="FFFFFF"/>
                <w:sz w:val="19"/>
                <w:szCs w:val="19"/>
              </w:rPr>
              <w:t xml:space="preserve">Kaynak / Kullanım</w:t>
            </w:r>
          </w:p>
        </w:tc>
      </w:tr>
      <w:tr>
        <w:tc>
          <w:tcPr>
            <w:tcW w:type="dxa" w:w="3200"/>
            <w:shd w:fill="FFFFFF" w:val="clear"/>
            <w:tcMar>
              <w:top w:type="dxa" w:w="55"/>
              <w:left w:type="dxa" w:w="90"/>
              <w:bottom w:type="dxa" w:w="55"/>
              <w:right w:type="dxa" w:w="90"/>
            </w:tcMar>
          </w:tcPr>
          <w:p>
            <w:r>
              <w:rPr>
                <w:rFonts w:ascii="Calibri" w:cs="Calibri" w:eastAsia="Calibri" w:hAnsi="Calibri"/>
                <w:color w:val="222222"/>
                <w:sz w:val="18"/>
                <w:szCs w:val="18"/>
              </w:rPr>
              <w:t xml:space="preserve">Kartın ilk 6 + son 4 hanesi (maskeli)</w:t>
            </w:r>
          </w:p>
        </w:tc>
        <w:tc>
          <w:tcPr>
            <w:tcW w:type="dxa" w:w="2600"/>
            <w:shd w:fill="FFFFFF" w:val="clear"/>
            <w:tcMar>
              <w:top w:type="dxa" w:w="55"/>
              <w:left w:type="dxa" w:w="90"/>
              <w:bottom w:type="dxa" w:w="55"/>
              <w:right w:type="dxa" w:w="90"/>
            </w:tcMar>
          </w:tcPr>
          <w:p>
            <w:r>
              <w:rPr>
                <w:rFonts w:ascii="Calibri" w:cs="Calibri" w:eastAsia="Calibri" w:hAnsi="Calibri"/>
                <w:color w:val="222222"/>
                <w:sz w:val="18"/>
                <w:szCs w:val="18"/>
              </w:rPr>
              <w:t xml:space="preserve">Maskeli kart verisi — kişiyi tek başına belirlemez</w:t>
            </w:r>
          </w:p>
        </w:tc>
        <w:tc>
          <w:tcPr>
            <w:tcW w:type="dxa" w:w="3200"/>
            <w:shd w:fill="FFFFFF" w:val="clear"/>
            <w:tcMar>
              <w:top w:type="dxa" w:w="55"/>
              <w:left w:type="dxa" w:w="90"/>
              <w:bottom w:type="dxa" w:w="55"/>
              <w:right w:type="dxa" w:w="90"/>
            </w:tcMar>
          </w:tcPr>
          <w:p>
            <w:r>
              <w:rPr>
                <w:rFonts w:ascii="Calibri" w:cs="Calibri" w:eastAsia="Calibri" w:hAnsi="Calibri"/>
                <w:color w:val="222222"/>
                <w:sz w:val="18"/>
                <w:szCs w:val="18"/>
              </w:rPr>
              <w:t xml:space="preserve">Kullanıcı girişi + maskeli kayıt; eşleştirme anahtarı</w:t>
            </w:r>
          </w:p>
        </w:tc>
      </w:tr>
      <w:tr>
        <w:tc>
          <w:tcPr>
            <w:tcW w:type="dxa" w:w="3200"/>
            <w:shd w:fill="F3F6F8" w:val="clear"/>
            <w:tcMar>
              <w:top w:type="dxa" w:w="55"/>
              <w:left w:type="dxa" w:w="90"/>
              <w:bottom w:type="dxa" w:w="55"/>
              <w:right w:type="dxa" w:w="90"/>
            </w:tcMar>
          </w:tcPr>
          <w:p>
            <w:r>
              <w:rPr>
                <w:rFonts w:ascii="Calibri" w:cs="Calibri" w:eastAsia="Calibri" w:hAnsi="Calibri"/>
                <w:color w:val="222222"/>
                <w:sz w:val="18"/>
                <w:szCs w:val="18"/>
              </w:rPr>
              <w:t xml:space="preserve">İşlem tutarı</w:t>
            </w:r>
          </w:p>
        </w:tc>
        <w:tc>
          <w:tcPr>
            <w:tcW w:type="dxa" w:w="2600"/>
            <w:shd w:fill="F3F6F8" w:val="clear"/>
            <w:tcMar>
              <w:top w:type="dxa" w:w="55"/>
              <w:left w:type="dxa" w:w="90"/>
              <w:bottom w:type="dxa" w:w="55"/>
              <w:right w:type="dxa" w:w="90"/>
            </w:tcMar>
          </w:tcPr>
          <w:p>
            <w:r>
              <w:rPr>
                <w:rFonts w:ascii="Calibri" w:cs="Calibri" w:eastAsia="Calibri" w:hAnsi="Calibri"/>
                <w:color w:val="222222"/>
                <w:sz w:val="18"/>
                <w:szCs w:val="18"/>
              </w:rPr>
              <w:t xml:space="preserve">İşlem verisi</w:t>
            </w:r>
          </w:p>
        </w:tc>
        <w:tc>
          <w:tcPr>
            <w:tcW w:type="dxa" w:w="3200"/>
            <w:shd w:fill="F3F6F8" w:val="clear"/>
            <w:tcMar>
              <w:top w:type="dxa" w:w="55"/>
              <w:left w:type="dxa" w:w="90"/>
              <w:bottom w:type="dxa" w:w="55"/>
              <w:right w:type="dxa" w:w="90"/>
            </w:tcMar>
          </w:tcPr>
          <w:p>
            <w:r>
              <w:rPr>
                <w:rFonts w:ascii="Calibri" w:cs="Calibri" w:eastAsia="Calibri" w:hAnsi="Calibri"/>
                <w:color w:val="222222"/>
                <w:sz w:val="18"/>
                <w:szCs w:val="18"/>
              </w:rPr>
              <w:t xml:space="preserve">Kullanıcı girişi + kayıt; eşleştirme</w:t>
            </w:r>
          </w:p>
        </w:tc>
      </w:tr>
      <w:tr>
        <w:tc>
          <w:tcPr>
            <w:tcW w:type="dxa" w:w="3200"/>
            <w:shd w:fill="FFFFFF" w:val="clear"/>
            <w:tcMar>
              <w:top w:type="dxa" w:w="55"/>
              <w:left w:type="dxa" w:w="90"/>
              <w:bottom w:type="dxa" w:w="55"/>
              <w:right w:type="dxa" w:w="90"/>
            </w:tcMar>
          </w:tcPr>
          <w:p>
            <w:r>
              <w:rPr>
                <w:rFonts w:ascii="Calibri" w:cs="Calibri" w:eastAsia="Calibri" w:hAnsi="Calibri"/>
                <w:color w:val="222222"/>
                <w:sz w:val="18"/>
                <w:szCs w:val="18"/>
              </w:rPr>
              <w:t xml:space="preserve">İşlem tarihi</w:t>
            </w:r>
          </w:p>
        </w:tc>
        <w:tc>
          <w:tcPr>
            <w:tcW w:type="dxa" w:w="2600"/>
            <w:shd w:fill="FFFFFF" w:val="clear"/>
            <w:tcMar>
              <w:top w:type="dxa" w:w="55"/>
              <w:left w:type="dxa" w:w="90"/>
              <w:bottom w:type="dxa" w:w="55"/>
              <w:right w:type="dxa" w:w="90"/>
            </w:tcMar>
          </w:tcPr>
          <w:p>
            <w:r>
              <w:rPr>
                <w:rFonts w:ascii="Calibri" w:cs="Calibri" w:eastAsia="Calibri" w:hAnsi="Calibri"/>
                <w:color w:val="222222"/>
                <w:sz w:val="18"/>
                <w:szCs w:val="18"/>
              </w:rPr>
              <w:t xml:space="preserve">İşlem verisi</w:t>
            </w:r>
          </w:p>
        </w:tc>
        <w:tc>
          <w:tcPr>
            <w:tcW w:type="dxa" w:w="3200"/>
            <w:shd w:fill="FFFFFF" w:val="clear"/>
            <w:tcMar>
              <w:top w:type="dxa" w:w="55"/>
              <w:left w:type="dxa" w:w="90"/>
              <w:bottom w:type="dxa" w:w="55"/>
              <w:right w:type="dxa" w:w="90"/>
            </w:tcMar>
          </w:tcPr>
          <w:p>
            <w:r>
              <w:rPr>
                <w:rFonts w:ascii="Calibri" w:cs="Calibri" w:eastAsia="Calibri" w:hAnsi="Calibri"/>
                <w:color w:val="222222"/>
                <w:sz w:val="18"/>
                <w:szCs w:val="18"/>
              </w:rPr>
              <w:t xml:space="preserve">Kullanıcı girişi + kayıt; eşleştirme (±1 gün)</w:t>
            </w:r>
          </w:p>
        </w:tc>
      </w:tr>
      <w:tr>
        <w:tc>
          <w:tcPr>
            <w:tcW w:type="dxa" w:w="3200"/>
            <w:shd w:fill="F3F6F8" w:val="clear"/>
            <w:tcMar>
              <w:top w:type="dxa" w:w="55"/>
              <w:left w:type="dxa" w:w="90"/>
              <w:bottom w:type="dxa" w:w="55"/>
              <w:right w:type="dxa" w:w="90"/>
            </w:tcMar>
          </w:tcPr>
          <w:p>
            <w:r>
              <w:rPr>
                <w:rFonts w:ascii="Calibri" w:cs="Calibri" w:eastAsia="Calibri" w:hAnsi="Calibri"/>
                <w:color w:val="222222"/>
                <w:sz w:val="18"/>
                <w:szCs w:val="18"/>
              </w:rPr>
              <w:t xml:space="preserve">İşlem saati / taksit bilgisi</w:t>
            </w:r>
          </w:p>
        </w:tc>
        <w:tc>
          <w:tcPr>
            <w:tcW w:type="dxa" w:w="2600"/>
            <w:shd w:fill="F3F6F8" w:val="clear"/>
            <w:tcMar>
              <w:top w:type="dxa" w:w="55"/>
              <w:left w:type="dxa" w:w="90"/>
              <w:bottom w:type="dxa" w:w="55"/>
              <w:right w:type="dxa" w:w="90"/>
            </w:tcMar>
          </w:tcPr>
          <w:p>
            <w:r>
              <w:rPr>
                <w:rFonts w:ascii="Calibri" w:cs="Calibri" w:eastAsia="Calibri" w:hAnsi="Calibri"/>
                <w:color w:val="222222"/>
                <w:sz w:val="18"/>
                <w:szCs w:val="18"/>
              </w:rPr>
              <w:t xml:space="preserve">İşlem verisi</w:t>
            </w:r>
          </w:p>
        </w:tc>
        <w:tc>
          <w:tcPr>
            <w:tcW w:type="dxa" w:w="3200"/>
            <w:shd w:fill="F3F6F8" w:val="clear"/>
            <w:tcMar>
              <w:top w:type="dxa" w:w="55"/>
              <w:left w:type="dxa" w:w="90"/>
              <w:bottom w:type="dxa" w:w="55"/>
              <w:right w:type="dxa" w:w="90"/>
            </w:tcMar>
          </w:tcPr>
          <w:p>
            <w:r>
              <w:rPr>
                <w:rFonts w:ascii="Calibri" w:cs="Calibri" w:eastAsia="Calibri" w:hAnsi="Calibri"/>
                <w:color w:val="222222"/>
                <w:sz w:val="18"/>
                <w:szCs w:val="18"/>
              </w:rPr>
              <w:t xml:space="preserve">Yalnızca doğrulama sorusu (kullanıcıya sorulmaz olarak saklı)</w:t>
            </w:r>
          </w:p>
        </w:tc>
      </w:tr>
      <w:tr>
        <w:tc>
          <w:tcPr>
            <w:tcW w:type="dxa" w:w="3200"/>
            <w:shd w:fill="FFFFFF" w:val="clear"/>
            <w:tcMar>
              <w:top w:type="dxa" w:w="55"/>
              <w:left w:type="dxa" w:w="90"/>
              <w:bottom w:type="dxa" w:w="55"/>
              <w:right w:type="dxa" w:w="90"/>
            </w:tcMar>
          </w:tcPr>
          <w:p>
            <w:r>
              <w:rPr>
                <w:rFonts w:ascii="Calibri" w:cs="Calibri" w:eastAsia="Calibri" w:hAnsi="Calibri"/>
                <w:color w:val="222222"/>
                <w:sz w:val="18"/>
                <w:szCs w:val="18"/>
              </w:rPr>
              <w:t xml:space="preserve">Kart hamili adı</w:t>
            </w:r>
          </w:p>
        </w:tc>
        <w:tc>
          <w:tcPr>
            <w:tcW w:type="dxa" w:w="2600"/>
            <w:shd w:fill="FFFFFF" w:val="clear"/>
            <w:tcMar>
              <w:top w:type="dxa" w:w="55"/>
              <w:left w:type="dxa" w:w="90"/>
              <w:bottom w:type="dxa" w:w="55"/>
              <w:right w:type="dxa" w:w="90"/>
            </w:tcMar>
          </w:tcPr>
          <w:p>
            <w:r>
              <w:rPr>
                <w:rFonts w:ascii="Calibri" w:cs="Calibri" w:eastAsia="Calibri" w:hAnsi="Calibri"/>
                <w:color w:val="222222"/>
                <w:sz w:val="18"/>
                <w:szCs w:val="18"/>
              </w:rPr>
              <w:t xml:space="preserve">Kişisel veri</w:t>
            </w:r>
          </w:p>
        </w:tc>
        <w:tc>
          <w:tcPr>
            <w:tcW w:type="dxa" w:w="3200"/>
            <w:shd w:fill="FFFFFF" w:val="clear"/>
            <w:tcMar>
              <w:top w:type="dxa" w:w="55"/>
              <w:left w:type="dxa" w:w="90"/>
              <w:bottom w:type="dxa" w:w="55"/>
              <w:right w:type="dxa" w:w="90"/>
            </w:tcMar>
          </w:tcPr>
          <w:p>
            <w:r>
              <w:rPr>
                <w:rFonts w:ascii="Calibri" w:cs="Calibri" w:eastAsia="Calibri" w:hAnsi="Calibri"/>
                <w:color w:val="222222"/>
                <w:sz w:val="18"/>
                <w:szCs w:val="18"/>
              </w:rPr>
              <w:t xml:space="preserve">Eşleştirmede kullanılmaz; güvenilmez alan</w:t>
            </w:r>
          </w:p>
        </w:tc>
      </w:tr>
      <w:tr>
        <w:tc>
          <w:tcPr>
            <w:tcW w:type="dxa" w:w="3200"/>
            <w:shd w:fill="F3F6F8" w:val="clear"/>
            <w:tcMar>
              <w:top w:type="dxa" w:w="55"/>
              <w:left w:type="dxa" w:w="90"/>
              <w:bottom w:type="dxa" w:w="55"/>
              <w:right w:type="dxa" w:w="90"/>
            </w:tcMar>
          </w:tcPr>
          <w:p>
            <w:r>
              <w:rPr>
                <w:rFonts w:ascii="Calibri" w:cs="Calibri" w:eastAsia="Calibri" w:hAnsi="Calibri"/>
                <w:color w:val="222222"/>
                <w:sz w:val="18"/>
                <w:szCs w:val="18"/>
              </w:rPr>
              <w:t xml:space="preserve">Telefon / e-posta (varsa)</w:t>
            </w:r>
          </w:p>
        </w:tc>
        <w:tc>
          <w:tcPr>
            <w:tcW w:type="dxa" w:w="2600"/>
            <w:shd w:fill="F3F6F8" w:val="clear"/>
            <w:tcMar>
              <w:top w:type="dxa" w:w="55"/>
              <w:left w:type="dxa" w:w="90"/>
              <w:bottom w:type="dxa" w:w="55"/>
              <w:right w:type="dxa" w:w="90"/>
            </w:tcMar>
          </w:tcPr>
          <w:p>
            <w:r>
              <w:rPr>
                <w:rFonts w:ascii="Calibri" w:cs="Calibri" w:eastAsia="Calibri" w:hAnsi="Calibri"/>
                <w:color w:val="222222"/>
                <w:sz w:val="18"/>
                <w:szCs w:val="18"/>
              </w:rPr>
              <w:t xml:space="preserve">Kişisel veri</w:t>
            </w:r>
          </w:p>
        </w:tc>
        <w:tc>
          <w:tcPr>
            <w:tcW w:type="dxa" w:w="3200"/>
            <w:shd w:fill="F3F6F8" w:val="clear"/>
            <w:tcMar>
              <w:top w:type="dxa" w:w="55"/>
              <w:left w:type="dxa" w:w="90"/>
              <w:bottom w:type="dxa" w:w="55"/>
              <w:right w:type="dxa" w:w="90"/>
            </w:tcMar>
          </w:tcPr>
          <w:p>
            <w:r>
              <w:rPr>
                <w:rFonts w:ascii="Calibri" w:cs="Calibri" w:eastAsia="Calibri" w:hAnsi="Calibri"/>
                <w:color w:val="222222"/>
                <w:sz w:val="18"/>
                <w:szCs w:val="18"/>
              </w:rPr>
              <w:t xml:space="preserve">Yalnızca OTP doğrulaması (mevcutsa)</w:t>
            </w:r>
          </w:p>
        </w:tc>
      </w:tr>
      <w:tr>
        <w:tc>
          <w:tcPr>
            <w:tcW w:type="dxa" w:w="3200"/>
            <w:shd w:fill="FFFFFF" w:val="clear"/>
            <w:tcMar>
              <w:top w:type="dxa" w:w="55"/>
              <w:left w:type="dxa" w:w="90"/>
              <w:bottom w:type="dxa" w:w="55"/>
              <w:right w:type="dxa" w:w="90"/>
            </w:tcMar>
          </w:tcPr>
          <w:p>
            <w:r>
              <w:rPr>
                <w:rFonts w:ascii="Calibri" w:cs="Calibri" w:eastAsia="Calibri" w:hAnsi="Calibri"/>
                <w:color w:val="222222"/>
                <w:sz w:val="18"/>
                <w:szCs w:val="18"/>
              </w:rPr>
              <w:t xml:space="preserve">İşyeri adı, ilçe/şehir, MCC, logo</w:t>
            </w:r>
          </w:p>
        </w:tc>
        <w:tc>
          <w:tcPr>
            <w:tcW w:type="dxa" w:w="2600"/>
            <w:shd w:fill="FFFFFF" w:val="clear"/>
            <w:tcMar>
              <w:top w:type="dxa" w:w="55"/>
              <w:left w:type="dxa" w:w="90"/>
              <w:bottom w:type="dxa" w:w="55"/>
              <w:right w:type="dxa" w:w="90"/>
            </w:tcMar>
          </w:tcPr>
          <w:p>
            <w:r>
              <w:rPr>
                <w:rFonts w:ascii="Calibri" w:cs="Calibri" w:eastAsia="Calibri" w:hAnsi="Calibri"/>
                <w:color w:val="222222"/>
                <w:sz w:val="18"/>
                <w:szCs w:val="18"/>
              </w:rPr>
              <w:t xml:space="preserve">Kural olarak tüzel kişi verisi</w:t>
            </w:r>
          </w:p>
        </w:tc>
        <w:tc>
          <w:tcPr>
            <w:tcW w:type="dxa" w:w="3200"/>
            <w:shd w:fill="FFFFFF" w:val="clear"/>
            <w:tcMar>
              <w:top w:type="dxa" w:w="55"/>
              <w:left w:type="dxa" w:w="90"/>
              <w:bottom w:type="dxa" w:w="55"/>
              <w:right w:type="dxa" w:w="90"/>
            </w:tcMar>
          </w:tcPr>
          <w:p>
            <w:r>
              <w:rPr>
                <w:rFonts w:ascii="Calibri" w:cs="Calibri" w:eastAsia="Calibri" w:hAnsi="Calibri"/>
                <w:color w:val="222222"/>
                <w:sz w:val="18"/>
                <w:szCs w:val="18"/>
              </w:rPr>
              <w:t xml:space="preserve">Doğrulama sonrası asgari ifşa</w:t>
            </w:r>
          </w:p>
        </w:tc>
      </w:tr>
    </w:tbl>
    <w:p>
      <w:pPr>
        <w:spacing w:after="130" w:line="276"/>
        <w:jc w:val="both"/>
      </w:pPr>
      <w:r>
        <w:rPr>
          <w:rFonts w:ascii="Calibri" w:cs="Calibri" w:eastAsia="Calibri" w:hAnsi="Calibri"/>
          <w:b/>
          <w:bCs/>
          <w:color w:val="222222"/>
          <w:sz w:val="21"/>
          <w:szCs w:val="21"/>
        </w:rPr>
        <w:t xml:space="preserve">Tam PAN, CVV/CVC, PIN ve manyetik şerit/çip verisi </w:t>
      </w:r>
      <w:r>
        <w:rPr>
          <w:rFonts w:ascii="Calibri" w:cs="Calibri" w:eastAsia="Calibri" w:hAnsi="Calibri"/>
          <w:color w:val="222222"/>
          <w:sz w:val="21"/>
          <w:szCs w:val="21"/>
        </w:rPr>
        <w:t xml:space="preserve">hiçbir katmanda toplanmaz, saklanmaz veya işlenmez. PCI DSS gereği hassas kimlik doğrulama verisi yetkilendirme sonrası saklanamaz; tam PAN ise yalnızca okunamaz/maskeli biçimde bulunabilir.</w:t>
      </w:r>
    </w:p>
    <w:p>
      <w:r>
        <w:br w:type="page"/>
      </w:r>
    </w:p>
    <w:p>
      <w:pPr>
        <w:pStyle w:val="Heading1"/>
        <w:spacing w:after="140" w:before="320"/>
      </w:pPr>
      <w:r>
        <w:rPr>
          <w:rFonts w:ascii="Calibri" w:cs="Calibri" w:eastAsia="Calibri" w:hAnsi="Calibri"/>
          <w:b/>
          <w:bCs/>
          <w:color w:val="0E1A2B"/>
          <w:sz w:val="30"/>
          <w:szCs w:val="30"/>
        </w:rPr>
        <w:t xml:space="preserve">6. Hukuki ve Regülatif Uyum Çerçevesi</w:t>
      </w:r>
    </w:p>
    <w:p>
      <w:pPr>
        <w:pStyle w:val="Heading2"/>
        <w:spacing w:after="100" w:before="220"/>
      </w:pPr>
      <w:r>
        <w:rPr>
          <w:rFonts w:ascii="Calibri" w:cs="Calibri" w:eastAsia="Calibri" w:hAnsi="Calibri"/>
          <w:b/>
          <w:bCs/>
          <w:color w:val="0C8C7E"/>
          <w:sz w:val="25"/>
          <w:szCs w:val="25"/>
        </w:rPr>
        <w:t xml:space="preserve">6.1. Regülatör: TCMB</w:t>
      </w:r>
    </w:p>
    <w:p>
      <w:pPr>
        <w:spacing w:after="130" w:line="276"/>
        <w:jc w:val="both"/>
      </w:pPr>
      <w:r>
        <w:rPr>
          <w:rFonts w:ascii="Calibri" w:cs="Calibri" w:eastAsia="Calibri" w:hAnsi="Calibri"/>
          <w:color w:val="222222"/>
          <w:sz w:val="21"/>
          <w:szCs w:val="21"/>
        </w:rPr>
        <w:t xml:space="preserve">Moka United bir ödeme kuruluşudur ve 6493 sayılı Ödeme ve Menkul Kıymet Mutabakat Sistemleri, Ödeme Hizmetleri ve Elektronik Para Kuruluşları Hakkında Kanun uyarınca Türkiye Cumhuriyet Merkez Bankası'ndan (TCMB) faaliyet izni almak zorundadır. Ödeme ve elektronik para kuruluşları TCMB ve MASAK'ın denetim ve gözetimine tabidir. Bu nedenle sistemin teknik güvenlik çerçevesi BDDK banka mevzuatına değil, TCMB'nin ödeme kuruluşları için çıkardığı ikincil düzenlemelere dayanır. Bu ayrımın raporda ve sunumlarda doğru kurulması önemlidir.</w:t>
      </w:r>
    </w:p>
    <w:p>
      <w:pPr>
        <w:pStyle w:val="Heading2"/>
        <w:spacing w:after="100" w:before="220"/>
      </w:pPr>
      <w:r>
        <w:rPr>
          <w:rFonts w:ascii="Calibri" w:cs="Calibri" w:eastAsia="Calibri" w:hAnsi="Calibri"/>
          <w:b/>
          <w:bCs/>
          <w:color w:val="0C8C7E"/>
          <w:sz w:val="25"/>
          <w:szCs w:val="25"/>
        </w:rPr>
        <w:t xml:space="preserve">6.2. KVKK (6698 Sayılı Kanun)</w:t>
      </w:r>
    </w:p>
    <w:p>
      <w:pPr>
        <w:spacing w:after="130" w:line="276"/>
        <w:jc w:val="both"/>
      </w:pPr>
      <w:r>
        <w:rPr>
          <w:rFonts w:ascii="Calibri" w:cs="Calibri" w:eastAsia="Calibri" w:hAnsi="Calibri"/>
          <w:color w:val="222222"/>
          <w:sz w:val="21"/>
          <w:szCs w:val="21"/>
        </w:rPr>
        <w:t xml:space="preserve">6698 sayılı Kanun, 7499 sayılı Kanun ile değiştirilmiş olup (Resmî Gazete 12.03.2024, No. 32487) başlıca değişiklikler 1 Haziran 2024 tarihinde yürürlüğe girmiştir. Sistemin uyması gereken temel hükümler:</w:t>
      </w:r>
    </w:p>
    <w:p>
      <w:pPr>
        <w:pStyle w:val="ListParagraph"/>
        <w:numPr>
          <w:ilvl w:val="0"/>
          <w:numId w:val="2"/>
        </w:numPr>
        <w:spacing w:after="90" w:line="272"/>
        <w:jc w:val="both"/>
      </w:pPr>
      <w:r>
        <w:rPr>
          <w:rFonts w:ascii="Calibri" w:cs="Calibri" w:eastAsia="Calibri" w:hAnsi="Calibri"/>
          <w:b/>
          <w:bCs/>
          <w:color w:val="222222"/>
          <w:sz w:val="21"/>
          <w:szCs w:val="21"/>
        </w:rPr>
        <w:t xml:space="preserve">Genel ilkeler (m.4): </w:t>
      </w:r>
      <w:r>
        <w:rPr>
          <w:rFonts w:ascii="Calibri" w:cs="Calibri" w:eastAsia="Calibri" w:hAnsi="Calibri"/>
          <w:color w:val="222222"/>
          <w:sz w:val="21"/>
          <w:szCs w:val="21"/>
        </w:rPr>
        <w:t xml:space="preserve">hukuka ve dürüstlük kurallarına uygunluk; doğru ve güncel olma; belirli, açık ve meşru amaçlar için işleme; amaçla bağlantılı, sınırlı ve ölçülü olma; gerekli süreyle sınırlı saklama. Asgari ifşa tasarımı doğrudan ölçülülük ilkesine dayanır.</w:t>
      </w:r>
    </w:p>
    <w:p>
      <w:pPr>
        <w:pStyle w:val="ListParagraph"/>
        <w:numPr>
          <w:ilvl w:val="0"/>
          <w:numId w:val="2"/>
        </w:numPr>
        <w:spacing w:after="90" w:line="272"/>
        <w:jc w:val="both"/>
      </w:pPr>
      <w:r>
        <w:rPr>
          <w:rFonts w:ascii="Calibri" w:cs="Calibri" w:eastAsia="Calibri" w:hAnsi="Calibri"/>
          <w:b/>
          <w:bCs/>
          <w:color w:val="222222"/>
          <w:sz w:val="21"/>
          <w:szCs w:val="21"/>
        </w:rPr>
        <w:t xml:space="preserve">İşleme şartları (m.5): </w:t>
      </w:r>
      <w:r>
        <w:rPr>
          <w:rFonts w:ascii="Calibri" w:cs="Calibri" w:eastAsia="Calibri" w:hAnsi="Calibri"/>
          <w:color w:val="222222"/>
          <w:sz w:val="21"/>
          <w:szCs w:val="21"/>
        </w:rPr>
        <w:t xml:space="preserve">kural açık rızadır; ancak sözleşmenin ifasıyla doğrudan ilgili olma (m.5/2-c), bir hakkın tesisi/kullanılması/korunması için zorunluluk (m.5/2-e) ve meşru menfaat (m.5/2-f) istisnaları bu sistem için daha uygun bir zemin sunar. Kurul, başka işleme şartı varken gereksiz açık rıza alınmasını hukuka aykırı bulmaktadır.</w:t>
      </w:r>
    </w:p>
    <w:p>
      <w:pPr>
        <w:pStyle w:val="ListParagraph"/>
        <w:numPr>
          <w:ilvl w:val="0"/>
          <w:numId w:val="2"/>
        </w:numPr>
        <w:spacing w:after="90" w:line="272"/>
        <w:jc w:val="both"/>
      </w:pPr>
      <w:r>
        <w:rPr>
          <w:rFonts w:ascii="Calibri" w:cs="Calibri" w:eastAsia="Calibri" w:hAnsi="Calibri"/>
          <w:b/>
          <w:bCs/>
          <w:color w:val="222222"/>
          <w:sz w:val="21"/>
          <w:szCs w:val="21"/>
        </w:rPr>
        <w:t xml:space="preserve">Aydınlatma (m.10): </w:t>
      </w:r>
      <w:r>
        <w:rPr>
          <w:rFonts w:ascii="Calibri" w:cs="Calibri" w:eastAsia="Calibri" w:hAnsi="Calibri"/>
          <w:color w:val="222222"/>
          <w:sz w:val="21"/>
          <w:szCs w:val="21"/>
        </w:rPr>
        <w:t xml:space="preserve">işlemenin amacı, hukuki sebebi ve kapsamı açık biçimde bildirilir. Sektör rehberi, ilgili kişiyle iletişime geçilen ilk anda aydınlatma yapılmasını öngörür.</w:t>
      </w:r>
    </w:p>
    <w:p>
      <w:pPr>
        <w:pStyle w:val="ListParagraph"/>
        <w:numPr>
          <w:ilvl w:val="0"/>
          <w:numId w:val="2"/>
        </w:numPr>
        <w:spacing w:after="90" w:line="272"/>
        <w:jc w:val="both"/>
      </w:pPr>
      <w:r>
        <w:rPr>
          <w:rFonts w:ascii="Calibri" w:cs="Calibri" w:eastAsia="Calibri" w:hAnsi="Calibri"/>
          <w:b/>
          <w:bCs/>
          <w:color w:val="222222"/>
          <w:sz w:val="21"/>
          <w:szCs w:val="21"/>
        </w:rPr>
        <w:t xml:space="preserve">Veri güvenliği (m.12): </w:t>
      </w:r>
      <w:r>
        <w:rPr>
          <w:rFonts w:ascii="Calibri" w:cs="Calibri" w:eastAsia="Calibri" w:hAnsi="Calibri"/>
          <w:color w:val="222222"/>
          <w:sz w:val="21"/>
          <w:szCs w:val="21"/>
        </w:rPr>
        <w:t xml:space="preserve">veri sorumlusu, verilerin hukuka aykırı işlenmesini ve verilere hukuka aykırı erişimi önlemeye yönelik teknik ve idari tedbirleri almakla yükümlüdür.</w:t>
      </w:r>
    </w:p>
    <w:p>
      <w:pPr>
        <w:pStyle w:val="Heading2"/>
        <w:spacing w:after="100" w:before="220"/>
      </w:pPr>
      <w:r>
        <w:rPr>
          <w:rFonts w:ascii="Calibri" w:cs="Calibri" w:eastAsia="Calibri" w:hAnsi="Calibri"/>
          <w:b/>
          <w:bCs/>
          <w:color w:val="0C8C7E"/>
          <w:sz w:val="25"/>
          <w:szCs w:val="25"/>
        </w:rPr>
        <w:t xml:space="preserve">6.3. Belirleyici Kurul Kararları</w:t>
      </w:r>
    </w:p>
    <w:p>
      <w:pPr>
        <w:pStyle w:val="ListParagraph"/>
        <w:numPr>
          <w:ilvl w:val="0"/>
          <w:numId w:val="2"/>
        </w:numPr>
        <w:spacing w:after="90" w:line="272"/>
        <w:jc w:val="both"/>
      </w:pPr>
      <w:r>
        <w:rPr>
          <w:rFonts w:ascii="Calibri" w:cs="Calibri" w:eastAsia="Calibri" w:hAnsi="Calibri"/>
          <w:b/>
          <w:bCs/>
          <w:color w:val="222222"/>
          <w:sz w:val="21"/>
          <w:szCs w:val="21"/>
        </w:rPr>
        <w:t xml:space="preserve">2022/653 (07.07.2022): </w:t>
      </w:r>
      <w:r>
        <w:rPr>
          <w:rFonts w:ascii="Calibri" w:cs="Calibri" w:eastAsia="Calibri" w:hAnsi="Calibri"/>
          <w:color w:val="222222"/>
          <w:sz w:val="21"/>
          <w:szCs w:val="21"/>
        </w:rPr>
        <w:t xml:space="preserve">Veri sorumlusunun üçüncü kişinin kişisel verisine ilişkin ilgili kişiye bilgi verme yükümlülüğü yoktur; talep konusu işlem, ilgili kişinin kendi hesabından yapılmış olsa dahi başka biri tarafından gerçekleştirildiği tespit edilirse paylaşımdan kaçınılır. Kart numarasına uluslararası güvenlik standartları gereği yalnızca maskeli erişilir. Sistemin doğrulama zorunluluğu doğrudan bu karara dayanır.</w:t>
      </w:r>
    </w:p>
    <w:p>
      <w:pPr>
        <w:pStyle w:val="ListParagraph"/>
        <w:numPr>
          <w:ilvl w:val="0"/>
          <w:numId w:val="2"/>
        </w:numPr>
        <w:spacing w:after="90" w:line="272"/>
        <w:jc w:val="both"/>
      </w:pPr>
      <w:r>
        <w:rPr>
          <w:rFonts w:ascii="Calibri" w:cs="Calibri" w:eastAsia="Calibri" w:hAnsi="Calibri"/>
          <w:b/>
          <w:bCs/>
          <w:color w:val="222222"/>
          <w:sz w:val="21"/>
          <w:szCs w:val="21"/>
        </w:rPr>
        <w:t xml:space="preserve">2025/1072 (10.06.2025): </w:t>
      </w:r>
      <w:r>
        <w:rPr>
          <w:rFonts w:ascii="Calibri" w:cs="Calibri" w:eastAsia="Calibri" w:hAnsi="Calibri"/>
          <w:color w:val="222222"/>
          <w:sz w:val="21"/>
          <w:szCs w:val="21"/>
        </w:rPr>
        <w:t xml:space="preserve">Ürün/hizmet sunumunda gönderilen doğrulama kodu (OTP) SMS'lerinde, öncesinde/içinde amaç aydınlatması yapılmalı ve tek bir SMS ile farklı işleme faaliyetleri (ör. ticari elektronik ileti onayı) birlikte alınmamalıdır. OTP katmanı bu karara uyumlu tasarlanır.</w:t>
      </w:r>
    </w:p>
    <w:p>
      <w:pPr>
        <w:pStyle w:val="ListParagraph"/>
        <w:numPr>
          <w:ilvl w:val="0"/>
          <w:numId w:val="2"/>
        </w:numPr>
        <w:spacing w:after="90" w:line="272"/>
        <w:jc w:val="both"/>
      </w:pPr>
      <w:r>
        <w:rPr>
          <w:rFonts w:ascii="Calibri" w:cs="Calibri" w:eastAsia="Calibri" w:hAnsi="Calibri"/>
          <w:b/>
          <w:bCs/>
          <w:color w:val="222222"/>
          <w:sz w:val="21"/>
          <w:szCs w:val="21"/>
        </w:rPr>
        <w:t xml:space="preserve">2026/347 (18.02.2026): </w:t>
      </w:r>
      <w:r>
        <w:rPr>
          <w:rFonts w:ascii="Calibri" w:cs="Calibri" w:eastAsia="Calibri" w:hAnsi="Calibri"/>
          <w:color w:val="222222"/>
          <w:sz w:val="21"/>
          <w:szCs w:val="21"/>
        </w:rPr>
        <w:t xml:space="preserve">Aydınlatma metni ile açık rıza metni ayrı ayrı düzenlenmelidir.</w:t>
      </w:r>
    </w:p>
    <w:p>
      <w:pPr>
        <w:pStyle w:val="Heading2"/>
        <w:spacing w:after="100" w:before="220"/>
      </w:pPr>
      <w:r>
        <w:rPr>
          <w:rFonts w:ascii="Calibri" w:cs="Calibri" w:eastAsia="Calibri" w:hAnsi="Calibri"/>
          <w:b/>
          <w:bCs/>
          <w:color w:val="0C8C7E"/>
          <w:sz w:val="25"/>
          <w:szCs w:val="25"/>
        </w:rPr>
        <w:t xml:space="preserve">6.4. TCMB Bilgi Sistemleri Düzenlemeleri</w:t>
      </w:r>
    </w:p>
    <w:p>
      <w:pPr>
        <w:spacing w:after="130" w:line="276"/>
        <w:jc w:val="both"/>
      </w:pPr>
      <w:r>
        <w:rPr>
          <w:rFonts w:ascii="Calibri" w:cs="Calibri" w:eastAsia="Calibri" w:hAnsi="Calibri"/>
          <w:color w:val="222222"/>
          <w:sz w:val="21"/>
          <w:szCs w:val="21"/>
        </w:rPr>
        <w:t xml:space="preserve">TCMB'nin ilgili Yönetmelik (Resmî Gazete 01.12.2021, No. 31676) ve Tebliğ'i (Resmî Gazete 01.12.2021) kapsamında sistemin karşılaması gereken başlıca gerekler:</w:t>
      </w:r>
    </w:p>
    <w:p>
      <w:pPr>
        <w:pStyle w:val="ListParagraph"/>
        <w:numPr>
          <w:ilvl w:val="0"/>
          <w:numId w:val="2"/>
        </w:numPr>
        <w:spacing w:after="90" w:line="272"/>
        <w:jc w:val="both"/>
      </w:pPr>
      <w:r>
        <w:rPr>
          <w:rFonts w:ascii="Calibri" w:cs="Calibri" w:eastAsia="Calibri" w:hAnsi="Calibri"/>
          <w:color w:val="222222"/>
          <w:sz w:val="21"/>
          <w:szCs w:val="21"/>
        </w:rPr>
        <w:t xml:space="preserve">Kuruluş, verilerin gizliliğini, bütünlüğünü ve kullanılabilirliğini sağlayan bir bilgi güvenliği yönetim çerçevesi ve sistemi kurar ve düzenli olarak gözden geçirir.</w:t>
      </w:r>
    </w:p>
    <w:p>
      <w:pPr>
        <w:pStyle w:val="ListParagraph"/>
        <w:numPr>
          <w:ilvl w:val="0"/>
          <w:numId w:val="2"/>
        </w:numPr>
        <w:spacing w:after="90" w:line="272"/>
        <w:jc w:val="both"/>
      </w:pPr>
      <w:r>
        <w:rPr>
          <w:rFonts w:ascii="Calibri" w:cs="Calibri" w:eastAsia="Calibri" w:hAnsi="Calibri"/>
          <w:color w:val="222222"/>
          <w:sz w:val="21"/>
          <w:szCs w:val="21"/>
        </w:rPr>
        <w:t xml:space="preserve">Gerçekleştirilen her işlem, güvenliği ve bütünlüğü korunarak denetim izi (audit trail) kayıt sistemine kaydedilir.</w:t>
      </w:r>
    </w:p>
    <w:p>
      <w:pPr>
        <w:pStyle w:val="ListParagraph"/>
        <w:numPr>
          <w:ilvl w:val="0"/>
          <w:numId w:val="2"/>
        </w:numPr>
        <w:spacing w:after="90" w:line="272"/>
        <w:jc w:val="both"/>
      </w:pPr>
      <w:r>
        <w:rPr>
          <w:rFonts w:ascii="Calibri" w:cs="Calibri" w:eastAsia="Calibri" w:hAnsi="Calibri"/>
          <w:color w:val="222222"/>
          <w:sz w:val="21"/>
          <w:szCs w:val="21"/>
        </w:rPr>
        <w:t xml:space="preserve">Hassas müşteri verilerinin veya kişisel verilerin sızmasına yol açan bir siber olay halinde müşteriler ve Kişisel Verileri Koruma Kurulu mümkün olan en kısa sürede bilgilendirilir.</w:t>
      </w:r>
    </w:p>
    <w:p>
      <w:pPr>
        <w:pStyle w:val="ListParagraph"/>
        <w:numPr>
          <w:ilvl w:val="0"/>
          <w:numId w:val="2"/>
        </w:numPr>
        <w:spacing w:after="90" w:line="272"/>
        <w:jc w:val="both"/>
      </w:pPr>
      <w:r>
        <w:rPr>
          <w:rFonts w:ascii="Calibri" w:cs="Calibri" w:eastAsia="Calibri" w:hAnsi="Calibri"/>
          <w:color w:val="222222"/>
          <w:sz w:val="21"/>
          <w:szCs w:val="21"/>
        </w:rPr>
        <w:t xml:space="preserve">Güçlü kimlik doğrulama, kullanıcının bildiği, sahip olduğu veya biyometrik bir özelliğinden en az iki bağımsız bileşene dayanır. Sistemin OTP + bilgi tabanlı doğrulama tasarımı bu ilkeyle uyumludur.</w:t>
      </w:r>
    </w:p>
    <w:p>
      <w:pPr>
        <w:pStyle w:val="Heading2"/>
        <w:spacing w:after="100" w:before="220"/>
      </w:pPr>
      <w:r>
        <w:rPr>
          <w:rFonts w:ascii="Calibri" w:cs="Calibri" w:eastAsia="Calibri" w:hAnsi="Calibri"/>
          <w:b/>
          <w:bCs/>
          <w:color w:val="0C8C7E"/>
          <w:sz w:val="25"/>
          <w:szCs w:val="25"/>
        </w:rPr>
        <w:t xml:space="preserve">6.5. PCI DSS v4.0.1</w:t>
      </w:r>
    </w:p>
    <w:p>
      <w:pPr>
        <w:spacing w:after="130" w:line="276"/>
        <w:jc w:val="both"/>
      </w:pPr>
      <w:r>
        <w:rPr>
          <w:rFonts w:ascii="Calibri" w:cs="Calibri" w:eastAsia="Calibri" w:hAnsi="Calibri"/>
          <w:color w:val="222222"/>
          <w:sz w:val="21"/>
          <w:szCs w:val="21"/>
        </w:rPr>
        <w:t xml:space="preserve">2026 itibarıyla yürürlükteki sürüm PCI DSS v4.0.1'dir; v4.0'ın ileri tarihli tüm gereksinimleri 31 Mart 2025'ten bu yana zorunludur. Sistemin uyduğu başlıca gerekler:</w:t>
      </w:r>
    </w:p>
    <w:p>
      <w:pPr>
        <w:pStyle w:val="ListParagraph"/>
        <w:numPr>
          <w:ilvl w:val="0"/>
          <w:numId w:val="2"/>
        </w:numPr>
        <w:spacing w:after="90" w:line="272"/>
        <w:jc w:val="both"/>
      </w:pPr>
      <w:r>
        <w:rPr>
          <w:rFonts w:ascii="Calibri" w:cs="Calibri" w:eastAsia="Calibri" w:hAnsi="Calibri"/>
          <w:color w:val="222222"/>
          <w:sz w:val="21"/>
          <w:szCs w:val="21"/>
        </w:rPr>
        <w:t xml:space="preserve">Saklanan kart numarası okunamaz kılınmalıdır; ekranda azami ilk altı ve son dört hane gösterilebilir (Gereksinim 3).</w:t>
      </w:r>
    </w:p>
    <w:p>
      <w:pPr>
        <w:pStyle w:val="ListParagraph"/>
        <w:numPr>
          <w:ilvl w:val="0"/>
          <w:numId w:val="2"/>
        </w:numPr>
        <w:spacing w:after="90" w:line="272"/>
        <w:jc w:val="both"/>
      </w:pPr>
      <w:r>
        <w:rPr>
          <w:rFonts w:ascii="Calibri" w:cs="Calibri" w:eastAsia="Calibri" w:hAnsi="Calibri"/>
          <w:color w:val="222222"/>
          <w:sz w:val="21"/>
          <w:szCs w:val="21"/>
        </w:rPr>
        <w:t xml:space="preserve">Truncation ile yalnızca BIN (ilk 6-8 hane) ve son dört hane saklanabilir; PAN'ı okunamaz kılmanın kabul edilen yöntemleri anahtarlı tek yönlü özet (keyed hash), truncation, tokenizasyon ve güçlü kriptografidir.</w:t>
      </w:r>
    </w:p>
    <w:p>
      <w:pPr>
        <w:pStyle w:val="ListParagraph"/>
        <w:numPr>
          <w:ilvl w:val="0"/>
          <w:numId w:val="2"/>
        </w:numPr>
        <w:spacing w:after="90" w:line="272"/>
        <w:jc w:val="both"/>
      </w:pPr>
      <w:r>
        <w:rPr>
          <w:rFonts w:ascii="Calibri" w:cs="Calibri" w:eastAsia="Calibri" w:hAnsi="Calibri"/>
          <w:color w:val="222222"/>
          <w:sz w:val="21"/>
          <w:szCs w:val="21"/>
        </w:rPr>
        <w:t xml:space="preserve">Hassas kimlik doğrulama verisi (CVV/CVC, PIN, tam manyetik şerit/çip verisi) yetkilendirme sonrasında saklanamaz.</w:t>
      </w:r>
    </w:p>
    <w:p>
      <w:pPr>
        <w:pStyle w:val="ListParagraph"/>
        <w:numPr>
          <w:ilvl w:val="0"/>
          <w:numId w:val="2"/>
        </w:numPr>
        <w:spacing w:after="90" w:line="272"/>
        <w:jc w:val="both"/>
      </w:pPr>
      <w:r>
        <w:rPr>
          <w:rFonts w:ascii="Calibri" w:cs="Calibri" w:eastAsia="Calibri" w:hAnsi="Calibri"/>
          <w:color w:val="222222"/>
          <w:sz w:val="21"/>
          <w:szCs w:val="21"/>
        </w:rPr>
        <w:t xml:space="preserve">Aynı ortamda hem özetlenmiş hem kırpılmış PAN'ın birlikte tutulması korelasyon riski taşıdığından ek kontrol gerektirir; bu sistem tam PAN türevi tutmadığından risk zaten dışlanmıştır.</w:t>
      </w:r>
    </w:p>
    <w:p>
      <w:pPr>
        <w:pStyle w:val="Heading2"/>
        <w:spacing w:after="100" w:before="220"/>
      </w:pPr>
      <w:r>
        <w:rPr>
          <w:rFonts w:ascii="Calibri" w:cs="Calibri" w:eastAsia="Calibri" w:hAnsi="Calibri"/>
          <w:b/>
          <w:bCs/>
          <w:color w:val="0C8C7E"/>
          <w:sz w:val="25"/>
          <w:szCs w:val="25"/>
        </w:rPr>
        <w:t xml:space="preserve">6.6. Diğer İlgili Mevzuat ve Standartlar</w:t>
      </w:r>
    </w:p>
    <w:p>
      <w:pPr>
        <w:pStyle w:val="ListParagraph"/>
        <w:numPr>
          <w:ilvl w:val="0"/>
          <w:numId w:val="2"/>
        </w:numPr>
        <w:spacing w:after="90" w:line="272"/>
        <w:jc w:val="both"/>
      </w:pPr>
      <w:r>
        <w:rPr>
          <w:rFonts w:ascii="Calibri" w:cs="Calibri" w:eastAsia="Calibri" w:hAnsi="Calibri"/>
          <w:color w:val="222222"/>
          <w:sz w:val="21"/>
          <w:szCs w:val="21"/>
        </w:rPr>
        <w:t xml:space="preserve">5549 sayılı Suç Gelirlerinin Aklanmasının Önlenmesi Hakkında Kanun (MASAK): kayıt ve belgelerin saklanmasına ilişkin süreler (sekiz yıl) saklama politikasını etkiler.</w:t>
      </w:r>
    </w:p>
    <w:p>
      <w:pPr>
        <w:pStyle w:val="ListParagraph"/>
        <w:numPr>
          <w:ilvl w:val="0"/>
          <w:numId w:val="2"/>
        </w:numPr>
        <w:spacing w:after="90" w:line="272"/>
        <w:jc w:val="both"/>
      </w:pPr>
      <w:r>
        <w:rPr>
          <w:rFonts w:ascii="Calibri" w:cs="Calibri" w:eastAsia="Calibri" w:hAnsi="Calibri"/>
          <w:color w:val="222222"/>
          <w:sz w:val="21"/>
          <w:szCs w:val="21"/>
        </w:rPr>
        <w:t xml:space="preserve">5464 sayılı Banka Kartları ve Kredi Kartları Kanunu: kartlı sistem kuruluşları ve kart işlemlerine ilişkin çerçeve.</w:t>
      </w:r>
    </w:p>
    <w:p>
      <w:pPr>
        <w:pStyle w:val="ListParagraph"/>
        <w:numPr>
          <w:ilvl w:val="0"/>
          <w:numId w:val="2"/>
        </w:numPr>
        <w:spacing w:after="90" w:line="272"/>
        <w:jc w:val="both"/>
      </w:pPr>
      <w:r>
        <w:rPr>
          <w:rFonts w:ascii="Calibri" w:cs="Calibri" w:eastAsia="Calibri" w:hAnsi="Calibri"/>
          <w:color w:val="222222"/>
          <w:sz w:val="21"/>
          <w:szCs w:val="21"/>
        </w:rPr>
        <w:t xml:space="preserve">ISO 8583: kart işlem mesajlaşma standardı; işlem verisinin acquirer üzerinden aktığı alanların (kart numarası, tutar, işyeri/terminal kimliği, MCC vb.) kaynağıdır.</w:t>
      </w:r>
    </w:p>
    <w:p>
      <w:pPr>
        <w:pStyle w:val="ListParagraph"/>
        <w:numPr>
          <w:ilvl w:val="0"/>
          <w:numId w:val="2"/>
        </w:numPr>
        <w:spacing w:after="90" w:line="272"/>
        <w:jc w:val="both"/>
      </w:pPr>
      <w:r>
        <w:rPr>
          <w:rFonts w:ascii="Calibri" w:cs="Calibri" w:eastAsia="Calibri" w:hAnsi="Calibri"/>
          <w:color w:val="222222"/>
          <w:sz w:val="21"/>
          <w:szCs w:val="21"/>
        </w:rPr>
        <w:t xml:space="preserve">ISO/IEC 27001 ve ISO/IEC 27701: bilgi güvenliği ve kişisel veri yönetim sistemi sertifikasyonları; TCMB düzenlemelerinde referans alınan iyi uygulama çerçeveleridir.</w:t>
      </w:r>
    </w:p>
    <w:p>
      <w:r>
        <w:br w:type="page"/>
      </w:r>
    </w:p>
    <w:p>
      <w:pPr>
        <w:pStyle w:val="Heading1"/>
        <w:spacing w:after="140" w:before="320"/>
      </w:pPr>
      <w:r>
        <w:rPr>
          <w:rFonts w:ascii="Calibri" w:cs="Calibri" w:eastAsia="Calibri" w:hAnsi="Calibri"/>
          <w:b/>
          <w:bCs/>
          <w:color w:val="0E1A2B"/>
          <w:sz w:val="30"/>
          <w:szCs w:val="30"/>
        </w:rPr>
        <w:t xml:space="preserve">7. Risk Analizi ve Karşı Önlemler</w:t>
      </w:r>
    </w:p>
    <w:tbl>
      <w:tblPr>
        <w:tblW w:type="dxa" w:w="9000"/>
        <w:tblBorders>
          <w:top w:val="single" w:color="D5DBE2" w:sz="4"/>
          <w:left w:val="single" w:color="D5DBE2" w:sz="4"/>
          <w:bottom w:val="single" w:color="D5DBE2" w:sz="4"/>
          <w:right w:val="single" w:color="D5DBE2" w:sz="4"/>
          <w:insideH w:val="single" w:color="D5DBE2" w:sz="4"/>
          <w:insideV w:val="single" w:color="D5DBE2" w:sz="4"/>
        </w:tblBorders>
      </w:tblPr>
      <w:tblGrid>
        <w:gridCol w:w="3600"/>
        <w:gridCol w:w="5400"/>
      </w:tblGrid>
      <w:tr>
        <w:trPr>
          <w:tblHeader/>
        </w:trPr>
        <w:tc>
          <w:tcPr>
            <w:tcW w:type="dxa" w:w="3600"/>
            <w:shd w:fill="0E1A2B" w:val="clear"/>
            <w:tcMar>
              <w:top w:type="dxa" w:w="60"/>
              <w:left w:type="dxa" w:w="90"/>
              <w:bottom w:type="dxa" w:w="60"/>
              <w:right w:type="dxa" w:w="90"/>
            </w:tcMar>
          </w:tcPr>
          <w:p>
            <w:r>
              <w:rPr>
                <w:rFonts w:ascii="Calibri" w:cs="Calibri" w:eastAsia="Calibri" w:hAnsi="Calibri"/>
                <w:b/>
                <w:bCs/>
                <w:color w:val="FFFFFF"/>
                <w:sz w:val="19"/>
                <w:szCs w:val="19"/>
              </w:rPr>
              <w:t xml:space="preserve">Risk</w:t>
            </w:r>
          </w:p>
        </w:tc>
        <w:tc>
          <w:tcPr>
            <w:tcW w:type="dxa" w:w="5400"/>
            <w:shd w:fill="0E1A2B" w:val="clear"/>
            <w:tcMar>
              <w:top w:type="dxa" w:w="60"/>
              <w:left w:type="dxa" w:w="90"/>
              <w:bottom w:type="dxa" w:w="60"/>
              <w:right w:type="dxa" w:w="90"/>
            </w:tcMar>
          </w:tcPr>
          <w:p>
            <w:r>
              <w:rPr>
                <w:rFonts w:ascii="Calibri" w:cs="Calibri" w:eastAsia="Calibri" w:hAnsi="Calibri"/>
                <w:b/>
                <w:bCs/>
                <w:color w:val="FFFFFF"/>
                <w:sz w:val="19"/>
                <w:szCs w:val="19"/>
              </w:rPr>
              <w:t xml:space="preserve">Karşı Önlem</w:t>
            </w:r>
          </w:p>
        </w:tc>
      </w:tr>
      <w:tr>
        <w:tc>
          <w:tcPr>
            <w:tcW w:type="dxa" w:w="3600"/>
            <w:shd w:fill="FFFFFF" w:val="clear"/>
            <w:tcMar>
              <w:top w:type="dxa" w:w="55"/>
              <w:left w:type="dxa" w:w="90"/>
              <w:bottom w:type="dxa" w:w="55"/>
              <w:right w:type="dxa" w:w="90"/>
            </w:tcMar>
          </w:tcPr>
          <w:p>
            <w:r>
              <w:rPr>
                <w:rFonts w:ascii="Calibri" w:cs="Calibri" w:eastAsia="Calibri" w:hAnsi="Calibri"/>
                <w:color w:val="222222"/>
                <w:sz w:val="18"/>
                <w:szCs w:val="18"/>
              </w:rPr>
              <w:t xml:space="preserve">Numaralandırma (enumeration) — tutar/tarih denenerek veri madenciliği</w:t>
            </w:r>
          </w:p>
        </w:tc>
        <w:tc>
          <w:tcPr>
            <w:tcW w:type="dxa" w:w="5400"/>
            <w:shd w:fill="FFFFFF" w:val="clear"/>
            <w:tcMar>
              <w:top w:type="dxa" w:w="55"/>
              <w:left w:type="dxa" w:w="90"/>
              <w:bottom w:type="dxa" w:w="55"/>
              <w:right w:type="dxa" w:w="90"/>
            </w:tcMar>
          </w:tcPr>
          <w:p>
            <w:r>
              <w:rPr>
                <w:rFonts w:ascii="Calibri" w:cs="Calibri" w:eastAsia="Calibri" w:hAnsi="Calibri"/>
                <w:color w:val="222222"/>
                <w:sz w:val="18"/>
                <w:szCs w:val="18"/>
              </w:rPr>
              <w:t xml:space="preserve">Tam kesişim eşleşmesi; ipuçsuz 'bulunamadı'; IP/kart bazlı hız sınırı ve kilit; CAPTCHA; denetim izi</w:t>
            </w:r>
          </w:p>
        </w:tc>
      </w:tr>
      <w:tr>
        <w:tc>
          <w:tcPr>
            <w:tcW w:type="dxa" w:w="3600"/>
            <w:shd w:fill="F3F6F8" w:val="clear"/>
            <w:tcMar>
              <w:top w:type="dxa" w:w="55"/>
              <w:left w:type="dxa" w:w="90"/>
              <w:bottom w:type="dxa" w:w="55"/>
              <w:right w:type="dxa" w:w="90"/>
            </w:tcMar>
          </w:tcPr>
          <w:p>
            <w:r>
              <w:rPr>
                <w:rFonts w:ascii="Calibri" w:cs="Calibri" w:eastAsia="Calibri" w:hAnsi="Calibri"/>
                <w:color w:val="222222"/>
                <w:sz w:val="18"/>
                <w:szCs w:val="18"/>
              </w:rPr>
              <w:t xml:space="preserve">Üçüncü kişiye ifşa — ekstreyi ele geçirenin sorgu yapması</w:t>
            </w:r>
          </w:p>
        </w:tc>
        <w:tc>
          <w:tcPr>
            <w:tcW w:type="dxa" w:w="5400"/>
            <w:shd w:fill="F3F6F8" w:val="clear"/>
            <w:tcMar>
              <w:top w:type="dxa" w:w="55"/>
              <w:left w:type="dxa" w:w="90"/>
              <w:bottom w:type="dxa" w:w="55"/>
              <w:right w:type="dxa" w:w="90"/>
            </w:tcMar>
          </w:tcPr>
          <w:p>
            <w:r>
              <w:rPr>
                <w:rFonts w:ascii="Calibri" w:cs="Calibri" w:eastAsia="Calibri" w:hAnsi="Calibri"/>
                <w:color w:val="222222"/>
                <w:sz w:val="18"/>
                <w:szCs w:val="18"/>
              </w:rPr>
              <w:t xml:space="preserve">Zorunlu Katman 2 doğrulama (challenge/OTP); asgari ifşa; ekstrede olmayan bilgiye dayalı doğrulama</w:t>
            </w:r>
          </w:p>
        </w:tc>
      </w:tr>
      <w:tr>
        <w:tc>
          <w:tcPr>
            <w:tcW w:type="dxa" w:w="3600"/>
            <w:shd w:fill="FFFFFF" w:val="clear"/>
            <w:tcMar>
              <w:top w:type="dxa" w:w="55"/>
              <w:left w:type="dxa" w:w="90"/>
              <w:bottom w:type="dxa" w:w="55"/>
              <w:right w:type="dxa" w:w="90"/>
            </w:tcMar>
          </w:tcPr>
          <w:p>
            <w:r>
              <w:rPr>
                <w:rFonts w:ascii="Calibri" w:cs="Calibri" w:eastAsia="Calibri" w:hAnsi="Calibri"/>
                <w:color w:val="222222"/>
                <w:sz w:val="18"/>
                <w:szCs w:val="18"/>
              </w:rPr>
              <w:t xml:space="preserve">Çoklu eşleşme (aynı kart/tutar/gün)</w:t>
            </w:r>
          </w:p>
        </w:tc>
        <w:tc>
          <w:tcPr>
            <w:tcW w:type="dxa" w:w="5400"/>
            <w:shd w:fill="FFFFFF" w:val="clear"/>
            <w:tcMar>
              <w:top w:type="dxa" w:w="55"/>
              <w:left w:type="dxa" w:w="90"/>
              <w:bottom w:type="dxa" w:w="55"/>
              <w:right w:type="dxa" w:w="90"/>
            </w:tcMar>
          </w:tcPr>
          <w:p>
            <w:r>
              <w:rPr>
                <w:rFonts w:ascii="Calibri" w:cs="Calibri" w:eastAsia="Calibri" w:hAnsi="Calibri"/>
                <w:color w:val="222222"/>
                <w:sz w:val="18"/>
                <w:szCs w:val="18"/>
              </w:rPr>
              <w:t xml:space="preserve">Fail-closed veya doğrulama sorusuyla tekilleştirme; asla çoklu sonucu listeleme</w:t>
            </w:r>
          </w:p>
        </w:tc>
      </w:tr>
      <w:tr>
        <w:tc>
          <w:tcPr>
            <w:tcW w:type="dxa" w:w="3600"/>
            <w:shd w:fill="F3F6F8" w:val="clear"/>
            <w:tcMar>
              <w:top w:type="dxa" w:w="55"/>
              <w:left w:type="dxa" w:w="90"/>
              <w:bottom w:type="dxa" w:w="55"/>
              <w:right w:type="dxa" w:w="90"/>
            </w:tcMar>
          </w:tcPr>
          <w:p>
            <w:r>
              <w:rPr>
                <w:rFonts w:ascii="Calibri" w:cs="Calibri" w:eastAsia="Calibri" w:hAnsi="Calibri"/>
                <w:color w:val="222222"/>
                <w:sz w:val="18"/>
                <w:szCs w:val="18"/>
              </w:rPr>
              <w:t xml:space="preserve">Aşırı ifşa — amaç dışı veri gösterimi</w:t>
            </w:r>
          </w:p>
        </w:tc>
        <w:tc>
          <w:tcPr>
            <w:tcW w:type="dxa" w:w="5400"/>
            <w:shd w:fill="F3F6F8" w:val="clear"/>
            <w:tcMar>
              <w:top w:type="dxa" w:w="55"/>
              <w:left w:type="dxa" w:w="90"/>
              <w:bottom w:type="dxa" w:w="55"/>
              <w:right w:type="dxa" w:w="90"/>
            </w:tcMar>
          </w:tcPr>
          <w:p>
            <w:r>
              <w:rPr>
                <w:rFonts w:ascii="Calibri" w:cs="Calibri" w:eastAsia="Calibri" w:hAnsi="Calibri"/>
                <w:color w:val="222222"/>
                <w:sz w:val="18"/>
                <w:szCs w:val="18"/>
              </w:rPr>
              <w:t xml:space="preserve">Yalnızca işyeri adı/şehir/MCC/logo; adres, diğer işlemler ve tam PAN gösterilmez (ölçülülük)</w:t>
            </w:r>
          </w:p>
        </w:tc>
      </w:tr>
      <w:tr>
        <w:tc>
          <w:tcPr>
            <w:tcW w:type="dxa" w:w="3600"/>
            <w:shd w:fill="FFFFFF" w:val="clear"/>
            <w:tcMar>
              <w:top w:type="dxa" w:w="55"/>
              <w:left w:type="dxa" w:w="90"/>
              <w:bottom w:type="dxa" w:w="55"/>
              <w:right w:type="dxa" w:w="90"/>
            </w:tcMar>
          </w:tcPr>
          <w:p>
            <w:r>
              <w:rPr>
                <w:rFonts w:ascii="Calibri" w:cs="Calibri" w:eastAsia="Calibri" w:hAnsi="Calibri"/>
                <w:color w:val="222222"/>
                <w:sz w:val="18"/>
                <w:szCs w:val="18"/>
              </w:rPr>
              <w:t xml:space="preserve">Kart verisi güvenliği</w:t>
            </w:r>
          </w:p>
        </w:tc>
        <w:tc>
          <w:tcPr>
            <w:tcW w:type="dxa" w:w="5400"/>
            <w:shd w:fill="FFFFFF" w:val="clear"/>
            <w:tcMar>
              <w:top w:type="dxa" w:w="55"/>
              <w:left w:type="dxa" w:w="90"/>
              <w:bottom w:type="dxa" w:w="55"/>
              <w:right w:type="dxa" w:w="90"/>
            </w:tcMar>
          </w:tcPr>
          <w:p>
            <w:r>
              <w:rPr>
                <w:rFonts w:ascii="Calibri" w:cs="Calibri" w:eastAsia="Calibri" w:hAnsi="Calibri"/>
                <w:color w:val="222222"/>
                <w:sz w:val="18"/>
                <w:szCs w:val="18"/>
              </w:rPr>
              <w:t xml:space="preserve">Tam PAN/CVV/PIN hiç işlenmez; yalnızca maskeli veriyle çalışılır (PCI DSS)</w:t>
            </w:r>
          </w:p>
        </w:tc>
      </w:tr>
      <w:tr>
        <w:tc>
          <w:tcPr>
            <w:tcW w:type="dxa" w:w="3600"/>
            <w:shd w:fill="F3F6F8" w:val="clear"/>
            <w:tcMar>
              <w:top w:type="dxa" w:w="55"/>
              <w:left w:type="dxa" w:w="90"/>
              <w:bottom w:type="dxa" w:w="55"/>
              <w:right w:type="dxa" w:w="90"/>
            </w:tcMar>
          </w:tcPr>
          <w:p>
            <w:r>
              <w:rPr>
                <w:rFonts w:ascii="Calibri" w:cs="Calibri" w:eastAsia="Calibri" w:hAnsi="Calibri"/>
                <w:color w:val="222222"/>
                <w:sz w:val="18"/>
                <w:szCs w:val="18"/>
              </w:rPr>
              <w:t xml:space="preserve">Veri sızıntısı / siber olay</w:t>
            </w:r>
          </w:p>
        </w:tc>
        <w:tc>
          <w:tcPr>
            <w:tcW w:type="dxa" w:w="5400"/>
            <w:shd w:fill="F3F6F8" w:val="clear"/>
            <w:tcMar>
              <w:top w:type="dxa" w:w="55"/>
              <w:left w:type="dxa" w:w="90"/>
              <w:bottom w:type="dxa" w:w="55"/>
              <w:right w:type="dxa" w:w="90"/>
            </w:tcMar>
          </w:tcPr>
          <w:p>
            <w:r>
              <w:rPr>
                <w:rFonts w:ascii="Calibri" w:cs="Calibri" w:eastAsia="Calibri" w:hAnsi="Calibri"/>
                <w:color w:val="222222"/>
                <w:sz w:val="18"/>
                <w:szCs w:val="18"/>
              </w:rPr>
              <w:t xml:space="preserve">Şifreleme, ayrık sorgulama indeksi, denetim izi ve TCMB/KVKK bildirim akışı</w:t>
            </w:r>
          </w:p>
        </w:tc>
      </w:tr>
    </w:tbl>
    <w:p>
      <w:pPr>
        <w:pStyle w:val="Heading1"/>
        <w:spacing w:after="140" w:before="320"/>
      </w:pPr>
      <w:r>
        <w:rPr>
          <w:rFonts w:ascii="Calibri" w:cs="Calibri" w:eastAsia="Calibri" w:hAnsi="Calibri"/>
          <w:b/>
          <w:bCs/>
          <w:color w:val="0E1A2B"/>
          <w:sz w:val="30"/>
          <w:szCs w:val="30"/>
        </w:rPr>
        <w:t xml:space="preserve">8. Sonuç</w:t>
      </w:r>
    </w:p>
    <w:p>
      <w:pPr>
        <w:spacing w:after="130" w:line="276"/>
        <w:jc w:val="both"/>
      </w:pPr>
      <w:r>
        <w:rPr>
          <w:rFonts w:ascii="Calibri" w:cs="Calibri" w:eastAsia="Calibri" w:hAnsi="Calibri"/>
          <w:color w:val="222222"/>
          <w:sz w:val="21"/>
          <w:szCs w:val="21"/>
        </w:rPr>
        <w:t xml:space="preserve">Tanımlanan sistem, sektörde kanıtlanmış bir birinci taraf fraud önleme modelini, Moka United'ın ödeme kuruluşu konumuna ve eldeki veriye uyarlar. Sistemin veri temeli mevcut, kart maskeleme yaklaşımı PCI DSS ile uyumlu ve tek gerçek risk olan 'yetersiz doğrulamayla üçüncü kişiye ifşa' üç katmanlı doğrulama ve asgari ifşa tasarımıyla karşılanmıştır. Eşleştirme deterministik bir veritabanı sorgusudur; bu bileşende yapay zekâ/model kullanımı bilinçli olarak dışlanmıştır.</w:t>
      </w:r>
    </w:p>
    <w:p>
      <w:pPr>
        <w:spacing w:after="130" w:line="276"/>
        <w:jc w:val="both"/>
      </w:pPr>
      <w:r>
        <w:rPr>
          <w:rFonts w:ascii="Calibri" w:cs="Calibri" w:eastAsia="Calibri" w:hAnsi="Calibri"/>
          <w:b/>
          <w:bCs/>
          <w:color w:val="0E1A2B"/>
          <w:sz w:val="21"/>
          <w:szCs w:val="21"/>
        </w:rPr>
        <w:t xml:space="preserve">Hukuki uyarı: </w:t>
      </w:r>
      <w:r>
        <w:rPr>
          <w:rFonts w:ascii="Calibri" w:cs="Calibri" w:eastAsia="Calibri" w:hAnsi="Calibri"/>
          <w:color w:val="5A6B7B"/>
          <w:sz w:val="21"/>
          <w:szCs w:val="21"/>
        </w:rPr>
        <w:t xml:space="preserve">Bu rapor teknik ve düzenleyici bir değerlendirme sunar; hukuki mütalaa niteliği taşımaz. Hukuki sebep seçimi (meşru menfaat, sözleşmenin ifası veya açık rıza), aydınlatma ve rıza metinlerinin nihai içeriği ile veri saklama sürelerinin belirlenmesi, uygulamaya geçmeden önce veri koruma hukuku ve ödeme mevzuatı uzmanlarınca teyit edilmelidir.</w:t>
      </w:r>
    </w:p>
    <w:p>
      <w:r>
        <w:br w:type="page"/>
      </w:r>
    </w:p>
    <w:p>
      <w:pPr>
        <w:pStyle w:val="Heading1"/>
        <w:spacing w:after="140" w:before="320"/>
      </w:pPr>
      <w:r>
        <w:rPr>
          <w:rFonts w:ascii="Calibri" w:cs="Calibri" w:eastAsia="Calibri" w:hAnsi="Calibri"/>
          <w:b/>
          <w:bCs/>
          <w:color w:val="0E1A2B"/>
          <w:sz w:val="30"/>
          <w:szCs w:val="30"/>
        </w:rPr>
        <w:t xml:space="preserve">Kaynakça (Resmî Kaynaklar)</w:t>
      </w:r>
    </w:p>
    <w:p>
      <w:pPr>
        <w:spacing w:after="90" w:line="264"/>
      </w:pPr>
      <w:r>
        <w:rPr>
          <w:rFonts w:ascii="Calibri" w:cs="Calibri" w:eastAsia="Calibri" w:hAnsi="Calibri"/>
          <w:b/>
          <w:bCs/>
          <w:color w:val="0E1A2B"/>
          <w:sz w:val="19"/>
          <w:szCs w:val="19"/>
        </w:rPr>
        <w:t xml:space="preserve">[1] </w:t>
      </w:r>
      <w:r>
        <w:rPr>
          <w:rFonts w:ascii="Calibri" w:cs="Calibri" w:eastAsia="Calibri" w:hAnsi="Calibri"/>
          <w:color w:val="333333"/>
          <w:sz w:val="19"/>
          <w:szCs w:val="19"/>
        </w:rPr>
        <w:t xml:space="preserve">6698 sayılı Kişisel Verilerin Korunması Kanunu (RG 07.04.2016/29677); 7499 sayılı Kanun ile değişik (RG 12.03.2024/32487). mevzuat.gov.tr — kvkk.gov.tr</w:t>
      </w:r>
    </w:p>
    <w:p>
      <w:pPr>
        <w:spacing w:after="90" w:line="264"/>
      </w:pPr>
      <w:r>
        <w:rPr>
          <w:rFonts w:ascii="Calibri" w:cs="Calibri" w:eastAsia="Calibri" w:hAnsi="Calibri"/>
          <w:b/>
          <w:bCs/>
          <w:color w:val="0E1A2B"/>
          <w:sz w:val="19"/>
          <w:szCs w:val="19"/>
        </w:rPr>
        <w:t xml:space="preserve">[2] </w:t>
      </w:r>
      <w:r>
        <w:rPr>
          <w:rFonts w:ascii="Calibri" w:cs="Calibri" w:eastAsia="Calibri" w:hAnsi="Calibri"/>
          <w:color w:val="333333"/>
          <w:sz w:val="19"/>
          <w:szCs w:val="19"/>
        </w:rPr>
        <w:t xml:space="preserve">Kişisel Verileri Koruma Kurulu Kararı 2022/653 (07.07.2022). kvkk.gov.tr/Icerik/7568/2022-653</w:t>
      </w:r>
    </w:p>
    <w:p>
      <w:pPr>
        <w:spacing w:after="90" w:line="264"/>
      </w:pPr>
      <w:r>
        <w:rPr>
          <w:rFonts w:ascii="Calibri" w:cs="Calibri" w:eastAsia="Calibri" w:hAnsi="Calibri"/>
          <w:b/>
          <w:bCs/>
          <w:color w:val="0E1A2B"/>
          <w:sz w:val="19"/>
          <w:szCs w:val="19"/>
        </w:rPr>
        <w:t xml:space="preserve">[3] </w:t>
      </w:r>
      <w:r>
        <w:rPr>
          <w:rFonts w:ascii="Calibri" w:cs="Calibri" w:eastAsia="Calibri" w:hAnsi="Calibri"/>
          <w:color w:val="333333"/>
          <w:sz w:val="19"/>
          <w:szCs w:val="19"/>
        </w:rPr>
        <w:t xml:space="preserve">Kişisel Verileri Koruma Kurulu İlke Kararı 2025/1072 (10.06.2025). kvkk.gov.tr/Icerik/8338/2025-1072</w:t>
      </w:r>
    </w:p>
    <w:p>
      <w:pPr>
        <w:spacing w:after="90" w:line="264"/>
      </w:pPr>
      <w:r>
        <w:rPr>
          <w:rFonts w:ascii="Calibri" w:cs="Calibri" w:eastAsia="Calibri" w:hAnsi="Calibri"/>
          <w:b/>
          <w:bCs/>
          <w:color w:val="0E1A2B"/>
          <w:sz w:val="19"/>
          <w:szCs w:val="19"/>
        </w:rPr>
        <w:t xml:space="preserve">[4] </w:t>
      </w:r>
      <w:r>
        <w:rPr>
          <w:rFonts w:ascii="Calibri" w:cs="Calibri" w:eastAsia="Calibri" w:hAnsi="Calibri"/>
          <w:color w:val="333333"/>
          <w:sz w:val="19"/>
          <w:szCs w:val="19"/>
        </w:rPr>
        <w:t xml:space="preserve">Kişisel Verileri Koruma Kurulu İlke Kararı 2026/347 (18.02.2026). kvkk.gov.tr/Icerik/7201/ilke-kararlari</w:t>
      </w:r>
    </w:p>
    <w:p>
      <w:pPr>
        <w:spacing w:after="90" w:line="264"/>
      </w:pPr>
      <w:r>
        <w:rPr>
          <w:rFonts w:ascii="Calibri" w:cs="Calibri" w:eastAsia="Calibri" w:hAnsi="Calibri"/>
          <w:b/>
          <w:bCs/>
          <w:color w:val="0E1A2B"/>
          <w:sz w:val="19"/>
          <w:szCs w:val="19"/>
        </w:rPr>
        <w:t xml:space="preserve">[5] </w:t>
      </w:r>
      <w:r>
        <w:rPr>
          <w:rFonts w:ascii="Calibri" w:cs="Calibri" w:eastAsia="Calibri" w:hAnsi="Calibri"/>
          <w:color w:val="333333"/>
          <w:sz w:val="19"/>
          <w:szCs w:val="19"/>
        </w:rPr>
        <w:t xml:space="preserve">KVKK, Ödeme ve Elektronik Para Sektöründe Kişisel Verilerin Korunmasına İlişkin İyi Uygulamalar Rehberi (11.04.2025). kvkk.gov.tr</w:t>
      </w:r>
    </w:p>
    <w:p>
      <w:pPr>
        <w:spacing w:after="90" w:line="264"/>
      </w:pPr>
      <w:r>
        <w:rPr>
          <w:rFonts w:ascii="Calibri" w:cs="Calibri" w:eastAsia="Calibri" w:hAnsi="Calibri"/>
          <w:b/>
          <w:bCs/>
          <w:color w:val="0E1A2B"/>
          <w:sz w:val="19"/>
          <w:szCs w:val="19"/>
        </w:rPr>
        <w:t xml:space="preserve">[6] </w:t>
      </w:r>
      <w:r>
        <w:rPr>
          <w:rFonts w:ascii="Calibri" w:cs="Calibri" w:eastAsia="Calibri" w:hAnsi="Calibri"/>
          <w:color w:val="333333"/>
          <w:sz w:val="19"/>
          <w:szCs w:val="19"/>
        </w:rPr>
        <w:t xml:space="preserve">KVKK, Açık Rıza ve Aydınlatma Rehberleri. kvkk.gov.tr</w:t>
      </w:r>
    </w:p>
    <w:p>
      <w:pPr>
        <w:spacing w:after="90" w:line="264"/>
      </w:pPr>
      <w:r>
        <w:rPr>
          <w:rFonts w:ascii="Calibri" w:cs="Calibri" w:eastAsia="Calibri" w:hAnsi="Calibri"/>
          <w:b/>
          <w:bCs/>
          <w:color w:val="0E1A2B"/>
          <w:sz w:val="19"/>
          <w:szCs w:val="19"/>
        </w:rPr>
        <w:t xml:space="preserve">[7] </w:t>
      </w:r>
      <w:r>
        <w:rPr>
          <w:rFonts w:ascii="Calibri" w:cs="Calibri" w:eastAsia="Calibri" w:hAnsi="Calibri"/>
          <w:color w:val="333333"/>
          <w:sz w:val="19"/>
          <w:szCs w:val="19"/>
        </w:rPr>
        <w:t xml:space="preserve">6493 sayılı Ödeme ve Menkul Kıymet Mutabakat Sistemleri, Ödeme Hizmetleri ve Elektronik Para Kuruluşları Hakkında Kanun. mevzuat.gov.tr</w:t>
      </w:r>
    </w:p>
    <w:p>
      <w:pPr>
        <w:spacing w:after="90" w:line="264"/>
      </w:pPr>
      <w:r>
        <w:rPr>
          <w:rFonts w:ascii="Calibri" w:cs="Calibri" w:eastAsia="Calibri" w:hAnsi="Calibri"/>
          <w:b/>
          <w:bCs/>
          <w:color w:val="0E1A2B"/>
          <w:sz w:val="19"/>
          <w:szCs w:val="19"/>
        </w:rPr>
        <w:t xml:space="preserve">[8] </w:t>
      </w:r>
      <w:r>
        <w:rPr>
          <w:rFonts w:ascii="Calibri" w:cs="Calibri" w:eastAsia="Calibri" w:hAnsi="Calibri"/>
          <w:color w:val="333333"/>
          <w:sz w:val="19"/>
          <w:szCs w:val="19"/>
        </w:rPr>
        <w:t xml:space="preserve">TCMB, Ödeme Hizmetleri ve Elektronik Para İhracı ile Ödeme Hizmeti Sağlayıcıları Hakkında Yönetmelik (RG 01.12.2021/31676). tcmb.gov.tr</w:t>
      </w:r>
    </w:p>
    <w:p>
      <w:pPr>
        <w:spacing w:after="90" w:line="264"/>
      </w:pPr>
      <w:r>
        <w:rPr>
          <w:rFonts w:ascii="Calibri" w:cs="Calibri" w:eastAsia="Calibri" w:hAnsi="Calibri"/>
          <w:b/>
          <w:bCs/>
          <w:color w:val="0E1A2B"/>
          <w:sz w:val="19"/>
          <w:szCs w:val="19"/>
        </w:rPr>
        <w:t xml:space="preserve">[9] </w:t>
      </w:r>
      <w:r>
        <w:rPr>
          <w:rFonts w:ascii="Calibri" w:cs="Calibri" w:eastAsia="Calibri" w:hAnsi="Calibri"/>
          <w:color w:val="333333"/>
          <w:sz w:val="19"/>
          <w:szCs w:val="19"/>
        </w:rPr>
        <w:t xml:space="preserve">TCMB, Ödeme ve Elektronik Para Kuruluşlarının Bilgi Sistemleri ile Ödeme Hizmeti Sağlayıcılarının Veri Paylaşım Servislerine İlişkin Tebliğ (RG 01.12.2021). tcmb.gov.tr</w:t>
      </w:r>
    </w:p>
    <w:p>
      <w:pPr>
        <w:spacing w:after="90" w:line="264"/>
      </w:pPr>
      <w:r>
        <w:rPr>
          <w:rFonts w:ascii="Calibri" w:cs="Calibri" w:eastAsia="Calibri" w:hAnsi="Calibri"/>
          <w:b/>
          <w:bCs/>
          <w:color w:val="0E1A2B"/>
          <w:sz w:val="19"/>
          <w:szCs w:val="19"/>
        </w:rPr>
        <w:t xml:space="preserve">[10] </w:t>
      </w:r>
      <w:r>
        <w:rPr>
          <w:rFonts w:ascii="Calibri" w:cs="Calibri" w:eastAsia="Calibri" w:hAnsi="Calibri"/>
          <w:color w:val="333333"/>
          <w:sz w:val="19"/>
          <w:szCs w:val="19"/>
        </w:rPr>
        <w:t xml:space="preserve">PCI Security Standards Council, PCI DSS v4.0.1 (2024; ileri tarihli gereksinimler 31.03.2025 itibarıyla zorunlu). pcisecuritystandards.org</w:t>
      </w:r>
    </w:p>
    <w:p>
      <w:pPr>
        <w:spacing w:after="90" w:line="264"/>
      </w:pPr>
      <w:r>
        <w:rPr>
          <w:rFonts w:ascii="Calibri" w:cs="Calibri" w:eastAsia="Calibri" w:hAnsi="Calibri"/>
          <w:b/>
          <w:bCs/>
          <w:color w:val="0E1A2B"/>
          <w:sz w:val="19"/>
          <w:szCs w:val="19"/>
        </w:rPr>
        <w:t xml:space="preserve">[11] </w:t>
      </w:r>
      <w:r>
        <w:rPr>
          <w:rFonts w:ascii="Calibri" w:cs="Calibri" w:eastAsia="Calibri" w:hAnsi="Calibri"/>
          <w:color w:val="333333"/>
          <w:sz w:val="19"/>
          <w:szCs w:val="19"/>
        </w:rPr>
        <w:t xml:space="preserve">5549 sayılı Suç Gelirlerinin Aklanmasının Önlenmesi Hakkında Kanun. mevzuat.gov.tr</w:t>
      </w:r>
    </w:p>
    <w:p>
      <w:pPr>
        <w:spacing w:after="90" w:line="264"/>
      </w:pPr>
      <w:r>
        <w:rPr>
          <w:rFonts w:ascii="Calibri" w:cs="Calibri" w:eastAsia="Calibri" w:hAnsi="Calibri"/>
          <w:b/>
          <w:bCs/>
          <w:color w:val="0E1A2B"/>
          <w:sz w:val="19"/>
          <w:szCs w:val="19"/>
        </w:rPr>
        <w:t xml:space="preserve">[12] </w:t>
      </w:r>
      <w:r>
        <w:rPr>
          <w:rFonts w:ascii="Calibri" w:cs="Calibri" w:eastAsia="Calibri" w:hAnsi="Calibri"/>
          <w:color w:val="333333"/>
          <w:sz w:val="19"/>
          <w:szCs w:val="19"/>
        </w:rPr>
        <w:t xml:space="preserve">5464 sayılı Banka Kartları ve Kredi Kartları Kanunu. mevzuat.gov.tr</w:t>
      </w:r>
    </w:p>
    <w:p>
      <w:pPr>
        <w:spacing w:after="90" w:line="264"/>
      </w:pPr>
      <w:r>
        <w:rPr>
          <w:rFonts w:ascii="Calibri" w:cs="Calibri" w:eastAsia="Calibri" w:hAnsi="Calibri"/>
          <w:b/>
          <w:bCs/>
          <w:color w:val="0E1A2B"/>
          <w:sz w:val="19"/>
          <w:szCs w:val="19"/>
        </w:rPr>
        <w:t xml:space="preserve">[13] </w:t>
      </w:r>
      <w:r>
        <w:rPr>
          <w:rFonts w:ascii="Calibri" w:cs="Calibri" w:eastAsia="Calibri" w:hAnsi="Calibri"/>
          <w:color w:val="333333"/>
          <w:sz w:val="19"/>
          <w:szCs w:val="19"/>
        </w:rPr>
        <w:t xml:space="preserve">ISO 8583 — Financial transaction card originated messages. International Organization for Standardization.</w:t>
      </w:r>
    </w:p>
    <w:p>
      <w:pPr>
        <w:spacing w:after="90" w:line="264"/>
      </w:pPr>
      <w:r>
        <w:rPr>
          <w:rFonts w:ascii="Calibri" w:cs="Calibri" w:eastAsia="Calibri" w:hAnsi="Calibri"/>
          <w:b/>
          <w:bCs/>
          <w:color w:val="0E1A2B"/>
          <w:sz w:val="19"/>
          <w:szCs w:val="19"/>
        </w:rPr>
        <w:t xml:space="preserve">[14] </w:t>
      </w:r>
      <w:r>
        <w:rPr>
          <w:rFonts w:ascii="Calibri" w:cs="Calibri" w:eastAsia="Calibri" w:hAnsi="Calibri"/>
          <w:color w:val="333333"/>
          <w:sz w:val="19"/>
          <w:szCs w:val="19"/>
        </w:rPr>
        <w:t xml:space="preserve">TÖDEB — Türkiye Ödeme ve Elektronik Para Kuruluşları Birliği, kamuoyu bilgilendirmeleri. todeb.org.tr</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6B2"/>
        <w:sz w:val="15"/>
        <w:szCs w:val="15"/>
      </w:rPr>
      <w:t xml:space="preserve">Sayfa </w:t>
    </w:r>
    <w:r>
      <w:rPr>
        <w:rFonts w:ascii="Calibri" w:cs="Calibri" w:eastAsia="Calibri" w:hAnsi="Calibri"/>
        <w:color w:val="9AA6B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AA6B2"/>
        <w:sz w:val="15"/>
        <w:szCs w:val="15"/>
      </w:rPr>
      <w:t xml:space="preserve">Moka United — İşlem Sorgulama Sistemi | Uyum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2026-07-10T21:20:42.854Z</dcterms:created>
  <dcterms:modified xsi:type="dcterms:W3CDTF">2026-07-10T21:20:42.867Z</dcterms:modified>
</cp:coreProperties>
</file>

<file path=docProps/custom.xml><?xml version="1.0" encoding="utf-8"?>
<Properties xmlns="http://schemas.openxmlformats.org/officeDocument/2006/custom-properties" xmlns:vt="http://schemas.openxmlformats.org/officeDocument/2006/docPropsVTypes"/>
</file>