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left"/>
      </w:pPr>
      <w:r>
        <w:rPr>
          <w:b/>
          <w:bCs/>
          <w:color w:val="2E75B6"/>
          <w:sz w:val="22"/>
          <w:szCs w:val="22"/>
        </w:rPr>
        <w:t xml:space="preserve">DOCUMENTO DE REGRAS DE NEGÓCIO</w:t>
      </w:r>
    </w:p>
    <w:p>
      <w:pPr>
        <w:spacing w:after="80" w:before="120"/>
      </w:pPr>
      <w:r>
        <w:rPr>
          <w:b/>
          <w:bCs/>
          <w:color w:val="1F3864"/>
          <w:sz w:val="56"/>
          <w:szCs w:val="56"/>
        </w:rPr>
        <w:t xml:space="preserve">Driver App</w:t>
      </w:r>
    </w:p>
    <w:p>
      <w:pPr>
        <w:spacing w:after="600"/>
      </w:pPr>
      <w:r>
        <w:rPr>
          <w:color w:val="444444"/>
          <w:sz w:val="30"/>
          <w:szCs w:val="30"/>
        </w:rPr>
        <w:t xml:space="preserve">Escopo do Projeto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Levantado a partir de entrevista com o cliente, do Documento Descritivo do Projeto, da Proposta de Produto e do diagrama de classes atual do backend.</w:t>
      </w:r>
    </w:p>
    <w:p>
      <w:pPr>
        <w:spacing w:before="800"/>
      </w:pPr>
      <w:r>
        <w:rPr>
          <w:color w:val="666666"/>
          <w:sz w:val="20"/>
          <w:szCs w:val="20"/>
        </w:rPr>
        <w:t xml:space="preserve">Agosto de 2026</w:t>
      </w:r>
    </w:p>
    <w:p>
      <w:r>
        <w:rPr>
          <w:color w:val="666666"/>
          <w:sz w:val="20"/>
          <w:szCs w:val="20"/>
        </w:rPr>
        <w:t xml:space="preserve">heitorbolisw4@gmail.com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Introdução e Objetivo</w:t>
      </w:r>
    </w:p>
    <w:p>
      <w:pPr>
        <w:spacing w:after="140" w:line="300"/>
      </w:pPr>
      <w:r>
        <w:rPr>
          <w:sz w:val="21"/>
          <w:szCs w:val="21"/>
        </w:rPr>
        <w:t xml:space="preserve">O Driver App é um sistema voltado a motoristas autônomos que fecham fretes com empresas contratantes com base em quilometragem prevista. Na prática, a quilometragem rodada dentro das cidades (coleta, entrega, deslocamentos) frequentemente ultrapassa a margem combinada no acordo, e esse excedente não é coberto pela contratante — o motorista arca com a diferença sem ter hoje uma forma objetiva de medir esse impacto.</w:t>
      </w:r>
    </w:p>
    <w:p>
      <w:pPr>
        <w:spacing w:after="140" w:line="300"/>
      </w:pPr>
      <w:r>
        <w:rPr>
          <w:sz w:val="21"/>
          <w:szCs w:val="21"/>
        </w:rPr>
        <w:t xml:space="preserve">Objetivo do projeto: oferecer ao motorista maior controle sobre os gastos de cada rota e um indicador objetivo — o percentual de aproveitamento — que mostra se o acordo fechado com a contratante foi realmente vantajoso.</w:t>
      </w:r>
    </w:p>
    <w:p>
      <w:pPr>
        <w:spacing w:after="140" w:line="300"/>
      </w:pPr>
      <w:r>
        <w:rPr>
          <w:sz w:val="21"/>
          <w:szCs w:val="21"/>
        </w:rPr>
        <w:t xml:space="preserve">Este documento formaliza as regras de negócio que sustentam esse objetivo, delimitando o escopo desta fase do projeto e servindo de referência única entre produto e desenvolvimento. As decisões aqui registradas vêm de entrevista direta com o cliente; pontos ainda sem definição estão sinalizados na Seção 8.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Escopo do Projeto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2.1 Dentro do escopo (MVP)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Cadastro de Caminhão (Truck)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Registro de Rota (Route), com abertura e encerramento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Registro de Carga (TruckLoad), múltiplas cargas por rota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Registro de Gastos por rota, com categorias customizáveis pelo motorista (Expense / ExpenseCategory — entidade nova, ver Seção 4.5)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Cálculo automático do percentual de aproveitamento da rota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Histórico de leitura de hodômetro (OdometerReading), gerado no encerramento de cada rota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Edição e exclusão de registros já cadastrados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Regra de alerta quando o aproveitamento cai abaixo de um limite definido pelo motorista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2.2 Fora do escopo nesta fase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Gestão de frota por transportadora — não há papel de gestor/admin nem hierarquia de motoristas; cada conta é individual e isolada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Checklist formal de "Conferência do Estado do Caminhão" — funcionalidade citada no material de produto, mas sem regras de negócio definidas nesta versão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Leituras intermediárias de hodômetro durante o trajeto — só há leitura no encerramento da rota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 de cancelamento de rota — o modelo mantém apenas Em andamento / Concluída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Canal de entrega do alerta (push, e-mail, banner) — definida apenas a condição de disparo, não o meio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Autenticação avançada (recuperação de senha, múltiplos perfis de permissão) — o campo Password existe na entidade Driver, mas regras detalhadas de autenticação não fazem parte deste documento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Atores</w:t>
      </w:r>
    </w:p>
    <w:p>
      <w:pPr>
        <w:spacing w:after="140" w:line="300"/>
      </w:pPr>
      <w:r>
        <w:rPr>
          <w:sz w:val="21"/>
          <w:szCs w:val="21"/>
        </w:rPr>
        <w:t xml:space="preserve">Motorista Autônomo (Driver) é o único ator do sistema nesta versão. Cada conta é individual e isolada: um motorista não visualiza nem edita dados cadastrados por outro motorista. Não existe papel de administrador, gestor de frota ou transportadora nesta fase.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Entidades e Regras de Negócio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4.1 Driver (Motorista)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/ Email / Password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cadastro e login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 se a conta está ativa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AlertThreshold (novo)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Percentual mínimo de aproveitamento aceitável, definido pelo próprio motorista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RN-01 — </w:t>
      </w:r>
      <w:r>
        <w:rPr>
          <w:sz w:val="21"/>
          <w:szCs w:val="21"/>
        </w:rPr>
        <w:t xml:space="preserve">O e-mail deve ser único no sistema e funciona como identificador de login.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RN-02 — </w:t>
      </w:r>
      <w:r>
        <w:rPr>
          <w:sz w:val="21"/>
          <w:szCs w:val="21"/>
        </w:rPr>
        <w:t xml:space="preserve">Um motorista só acessa e edita os recursos (Truck, Route, TruckLoad, Expense, OdometerReading) que ele mesmo cadastrou.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RN-03 — </w:t>
      </w:r>
      <w:r>
        <w:rPr>
          <w:sz w:val="21"/>
          <w:szCs w:val="21"/>
        </w:rPr>
        <w:t xml:space="preserve">AlertThreshold é definido pelo próprio motorista e usado para disparar o alerta de aproveitamento (ver RN-24). Valor padrão sugerido: 100%.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RN-04 — </w:t>
      </w:r>
      <w:r>
        <w:rPr>
          <w:sz w:val="21"/>
          <w:szCs w:val="21"/>
        </w:rPr>
        <w:t xml:space="preserve">Um motorista com IsActive = false não consegue autenticar nem operar no sistema.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4.2 Truck (Caminhão)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DriverId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e vínculo com o motorista dono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Placa do veículo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Hodometer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Quilometragem atual do caminhão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RN-05 — </w:t>
      </w:r>
      <w:r>
        <w:rPr>
          <w:sz w:val="21"/>
          <w:szCs w:val="21"/>
        </w:rPr>
        <w:t xml:space="preserve">A placa deve ser única por motorista. Não há verificação entre contas diferentes nesta fase (ver Pontos em Aberto).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RN-06 — </w:t>
      </w:r>
      <w:r>
        <w:rPr>
          <w:sz w:val="21"/>
          <w:szCs w:val="21"/>
        </w:rPr>
        <w:t xml:space="preserve">O hodômetro inicial informado no cadastro deve ser maior ou igual a zero.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RN-07 — </w:t>
      </w:r>
      <w:r>
        <w:rPr>
          <w:sz w:val="21"/>
          <w:szCs w:val="21"/>
        </w:rPr>
        <w:t xml:space="preserve">O hodômetro do caminhão é atualizado automaticamente ao encerrar uma rota (RN-13); não é editável diretamente pelo motorista.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RN-08 — </w:t>
      </w:r>
      <w:r>
        <w:rPr>
          <w:sz w:val="21"/>
          <w:szCs w:val="21"/>
        </w:rPr>
        <w:t xml:space="preserve">Um caminhão só pode estar vinculado a uma rota em andamento por vez. Um motorista com mais de um caminhão pode, portanto, ter mais de uma rota em andamento simultaneamente — uma por veículo.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4.3 Route (Rota)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DriverId / TruckId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e vínculos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RouteName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Nome/identificação da rota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Kilometers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 acordado com a contratante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KilometersCovered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 rodado, calculado no encerramento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 de abertura e encerramento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InProcess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 se a rota está em andamento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RN-09 — </w:t>
      </w:r>
      <w:r>
        <w:rPr>
          <w:sz w:val="21"/>
          <w:szCs w:val="21"/>
        </w:rPr>
        <w:t xml:space="preserve">A abertura de uma rota exige um caminhão cadastrado e pertencente ao motorista, e Km Acordado maior que zero.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RN-10 — </w:t>
      </w:r>
      <w:r>
        <w:rPr>
          <w:sz w:val="21"/>
          <w:szCs w:val="21"/>
        </w:rPr>
        <w:t xml:space="preserve">Ao abrir a rota, o hodômetro de abertura é copiado automaticamente do valor atual de Truck.Hodometer — o motorista não digita esse valor novamente.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RN-11 — </w:t>
      </w:r>
      <w:r>
        <w:rPr>
          <w:sz w:val="21"/>
          <w:szCs w:val="21"/>
        </w:rPr>
        <w:t xml:space="preserve">Não é permitido abrir uma nova rota para um caminhão que já possua outra rota com InProcess = true (trava por caminhão, conforme RN-08).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RN-12 — </w:t>
      </w:r>
      <w:r>
        <w:rPr>
          <w:sz w:val="21"/>
          <w:szCs w:val="21"/>
        </w:rPr>
        <w:t xml:space="preserve">O encerramento da rota exige a leitura final do hodômetro e o total de gastos da rota.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RN-13 — </w:t>
      </w:r>
      <w:r>
        <w:rPr>
          <w:sz w:val="21"/>
          <w:szCs w:val="21"/>
        </w:rPr>
        <w:t xml:space="preserve">Km Rodado (KilometersCovered) = leitura final do hodômetro − hodômetro de abertura da rota. A rota não pode ser encerrada se o resultado for menor ou igual a zero.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RN-14 — </w:t>
      </w:r>
      <w:r>
        <w:rPr>
          <w:sz w:val="21"/>
          <w:szCs w:val="21"/>
        </w:rPr>
        <w:t xml:space="preserve">A rota permanece editável — inclusive dados, gastos e cargas — mesmo após concluída. Não há trava de imutabilidade nesta versão (decisão do cliente; ver ressalva na Seção 8).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RN-15 — </w:t>
      </w:r>
      <w:r>
        <w:rPr>
          <w:sz w:val="21"/>
          <w:szCs w:val="21"/>
        </w:rPr>
        <w:t xml:space="preserve">Não existe status de cancelamento nesta versão. O modelo mantém apenas os estados Em andamento e Concluída (ver Seção 7).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4.4 TruckLoad (Carga)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RouteId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e vínculo com a rota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da carga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Peso da carga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IsShipped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 se a carga foi entregue/enviada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RN-16 — </w:t>
      </w:r>
      <w:r>
        <w:rPr>
          <w:sz w:val="21"/>
          <w:szCs w:val="21"/>
        </w:rPr>
        <w:t xml:space="preserve">Uma rota pode ter zero ou mais cargas associadas (relação 0..* entre Route e TruckLoad).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RN-17 — </w:t>
      </w:r>
      <w:r>
        <w:rPr>
          <w:sz w:val="21"/>
          <w:szCs w:val="21"/>
        </w:rPr>
        <w:t xml:space="preserve">Quando informado, o peso (Weight) deve ser maior que zero.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4.5 Expense e ExpenseCategory (Gasto) — entidade proposta</w:t>
      </w:r>
    </w:p>
    <w:p>
      <w:pPr>
        <w:spacing w:after="140" w:line="300"/>
      </w:pPr>
      <w:r>
        <w:rPr>
          <w:sz w:val="21"/>
          <w:szCs w:val="21"/>
        </w:rPr>
        <w:t xml:space="preserve">Nem o Documento Descritivo nem o diagrama de classes atual modelam o gasto em valores monetários — Route não tem campo de valor. Como a proposta de produto e o cálculo de aproveitamento fazem referência a um "gasto final" e o cliente definiu que as categorias de gasto devem ser customizáveis pelo motorista, este documento propõe duas entidades novas: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ExpenseCategory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DriverId, Name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 de gasto criada pelo próprio motorista (sugestão de categorias iniciais pré-cadastradas: Combustível, Alimentação, Entrega/Pedágio)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RouteId, CategoryId, Value, Note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lançamento de gasto vinculado a uma rota e a uma categoria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RN-18 — </w:t>
      </w:r>
      <w:r>
        <w:rPr>
          <w:sz w:val="21"/>
          <w:szCs w:val="21"/>
        </w:rPr>
        <w:t xml:space="preserve">As categorias de gasto são específicas de cada motorista — não são compartilhadas entre contas diferentes.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RN-19 — </w:t>
      </w:r>
      <w:r>
        <w:rPr>
          <w:sz w:val="21"/>
          <w:szCs w:val="21"/>
        </w:rPr>
        <w:t xml:space="preserve">O Gasto Real de uma rota é a soma de todos os lançamentos de Expense vinculados a ela.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RN-20 — </w:t>
      </w:r>
      <w:r>
        <w:rPr>
          <w:sz w:val="21"/>
          <w:szCs w:val="21"/>
        </w:rPr>
        <w:t xml:space="preserve">O valor (Value) de cada lançamento de gasto deve ser maior ou igual a zero.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4.6 OdometerReading (Leitura do Hodômetro)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TruckId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e vínculo com o caminhão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da leitura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ReadingDate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da leitura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Observação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RN-21 — </w:t>
      </w:r>
      <w:r>
        <w:rPr>
          <w:sz w:val="21"/>
          <w:szCs w:val="21"/>
        </w:rPr>
        <w:t xml:space="preserve">Uma leitura é criada automaticamente ao encerrar cada rota, com o valor final informado pelo motorista, associada ao caminhão da rota.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RN-22 — </w:t>
      </w:r>
      <w:r>
        <w:rPr>
          <w:sz w:val="21"/>
          <w:szCs w:val="21"/>
        </w:rPr>
        <w:t xml:space="preserve">Não há leitura intermediária nesta versão — o histórico reflete apenas os encerramentos de rota (decisão do cliente).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RN-23 — </w:t>
      </w:r>
      <w:r>
        <w:rPr>
          <w:sz w:val="21"/>
          <w:szCs w:val="21"/>
        </w:rPr>
        <w:t xml:space="preserve">O valor de uma nova leitura deve ser maior ou igual à última leitura registrada para aquele caminhão, preservando a consistência cronológica do histórico.</w:t>
      </w:r>
    </w:p>
    <w:p>
      <w:pPr>
        <w:pBdr>
          <w:left w:val="single" w:color="C0504D" w:sz="12" w:space="8"/>
        </w:pBdr>
        <w:spacing w:after="160" w:before="60"/>
        <w:ind w:left="200"/>
      </w:pPr>
      <w:r>
        <w:rPr>
          <w:i/>
          <w:iCs/>
          <w:color w:val="7F1F1F"/>
          <w:sz w:val="20"/>
          <w:szCs w:val="20"/>
        </w:rPr>
        <w:t xml:space="preserve">RN-23 é uma regra proposta por boa prática de consistência de dados — não foi explicitamente confirmada na entrevista. Ver Seção 8.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Regra de Cálculo — Percentual de Aproveitamento da Rota</w:t>
      </w:r>
    </w:p>
    <w:p>
      <w:pPr>
        <w:shd w:fill="DCE6F1" w:val="clear"/>
        <w:spacing w:after="200" w:before="100"/>
        <w:jc w:val="center"/>
      </w:pPr>
      <w:r>
        <w:rPr>
          <w:b/>
          <w:bCs/>
          <w:color w:val="1F3864"/>
          <w:sz w:val="24"/>
          <w:szCs w:val="24"/>
        </w:rPr>
        <w:t xml:space="preserve">% Aproveitamento = (Km Acordado ÷ Km Rodado) × 100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Km Acordado = Route.Kilometers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Km Rodado = Route.KilometersCovered, calculado conforme RN-13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Resultado ≥ 100%: o motorista teve margem de sobra no acordo urbano combinado com a contratante.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Resultado &lt; 100%: o motorista excedeu a margem combinada — é o "dinheiro deixado na mesa" que motiva 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divisão por zero é impedida pela RN-13, que não permite encerrar uma rota com Km Rodado igual a zero ou negativo.</w:t>
      </w:r>
    </w:p>
    <w:p>
      <w:pPr>
        <w:pBdr>
          <w:left w:val="single" w:color="C0504D" w:sz="12" w:space="8"/>
        </w:pBdr>
        <w:spacing w:after="160" w:before="60"/>
        <w:ind w:left="200"/>
      </w:pPr>
      <w:r>
        <w:rPr>
          <w:i/>
          <w:iCs/>
          <w:color w:val="7F1F1F"/>
          <w:sz w:val="20"/>
          <w:szCs w:val="20"/>
        </w:rPr>
        <w:t xml:space="preserve">Inconsistência a resolver com o cliente: o Documento Descritivo afirma que o percentual é "comparado ao gasto final informado pelo motorista", mas a fórmula publicada usa exclusivamente quilometragem, sem nenhuma variável monetária. Até definição em contrário, este documento assume que o Gasto Real (Seção 4.5) é exibido junto ao percentual apenas como informação de apoio, e NÃO entra no cálculo do indicador. Se o cliente quiser um indicador financeiro combinado (ex.: Custo por Km, ou Aproveitamento Financeiro = Valor Acordado ÷ Gasto Real), é necessária uma segunda métrica — hoje fora de escopo.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Regra de Alerta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RN-24 — </w:t>
      </w:r>
      <w:r>
        <w:rPr>
          <w:sz w:val="21"/>
          <w:szCs w:val="21"/>
        </w:rPr>
        <w:t xml:space="preserve">Ao encerrar uma rota, se o percentual de aproveitamento for menor que Driver.AlertThreshold, o sistema sinaliza a rota como "abaixo do esperado".</w:t>
      </w:r>
    </w:p>
    <w:p>
      <w:pPr>
        <w:spacing w:after="100" w:line="300"/>
        <w:ind w:left="200"/>
      </w:pPr>
      <w:r>
        <w:rPr>
          <w:b/>
          <w:bCs/>
          <w:color w:val="1F3864"/>
          <w:sz w:val="21"/>
          <w:szCs w:val="21"/>
        </w:rPr>
        <w:t xml:space="preserve">RN-25 — </w:t>
      </w:r>
      <w:r>
        <w:rPr>
          <w:sz w:val="21"/>
          <w:szCs w:val="21"/>
        </w:rPr>
        <w:t xml:space="preserve">O canal de entrega do alerta (notificação push, e-mail, indicador visual na tela) não está definido nesta versão. Está no escopo apenas a condição de disparo (RN-24), não o meio de entrega.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Fluxo de Estados da Rota</w:t>
      </w:r>
    </w:p>
    <w:p>
      <w:pPr>
        <w:spacing w:after="140" w:line="300"/>
      </w:pPr>
      <w:r>
        <w:rPr>
          <w:sz w:val="21"/>
          <w:szCs w:val="21"/>
        </w:rPr>
        <w:t xml:space="preserve">O modelo mantém o campo booleano InProcess do diagrama de classes original, sem introduzir um enum de status mais granular nesta fase:</w:t>
      </w:r>
    </w:p>
    <w:p>
      <w:pPr>
        <w:spacing w:after="200" w:before="100"/>
        <w:jc w:val="center"/>
      </w:pPr>
      <w:r>
        <w:rPr>
          <w:b/>
          <w:bCs/>
          <w:color w:val="FFFFFF"/>
          <w:sz w:val="22"/>
          <w:szCs w:val="22"/>
          <w:shd w:fill="2E75B6" w:val="clear"/>
        </w:rPr>
        <w:t xml:space="preserve">Em andamento</w:t>
      </w:r>
      <w:r>
        <w:rPr>
          <w:sz w:val="22"/>
          <w:szCs w:val="22"/>
        </w:rPr>
        <w:t xml:space="preserve">   →   </w:t>
      </w:r>
      <w:r>
        <w:rPr>
          <w:b/>
          <w:bCs/>
          <w:color w:val="FFFFFF"/>
          <w:sz w:val="22"/>
          <w:szCs w:val="22"/>
          <w:shd w:fill="548235" w:val="clear"/>
        </w:rPr>
        <w:t xml:space="preserve">Concluída</w:t>
      </w:r>
    </w:p>
    <w:p>
      <w:pPr>
        <w:spacing w:after="140" w:line="300"/>
      </w:pPr>
      <w:r>
        <w:rPr>
          <w:sz w:val="21"/>
          <w:szCs w:val="21"/>
        </w:rPr>
        <w:t xml:space="preserve">Não existe estado de cancelamento nesta versão (RN-15). Uma rota aberta segue até ser encerrada; se o motorista desistir dela, o registro permanece com InProcess = true indefinidamente — ponto a revisitar (Seção 8).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Pontos em Aberto — a validar com o cliente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Unicidade de placa entre contas de motoristas diferentes (RN-05) — hoje não há verificação cross-conta.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RN-14 (rota editável após concluída): recomendação técnica é travar a edição pós-conclusão para preservar a confiabilidade do histórico usado em negociação futura com a contratante. A decisão atual do cliente foi manter editável — revisitar se o histórico passar a ser usado como evidência em negociação.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RN-23 (consistência cronológica do hodômetro): confirmar se deve haver bloqueio (rejeitar leitura menor que a anterior) ou apenas um alerta não bloqueante.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Composição final das categorias de gasto: confirmar se Combustível, Alimentação e Entrega/Pedágio vêm pré-cadastradas por padrão para todo motorista novo, ou se a lista começa vazia.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Papel do Gasto Real na fórmula de aproveitamento (Seção 5) — inconsistência entre os dois documentos de origem sobre se o gasto entra ou não no cálculo.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Checklist de "Conferência do Estado do Caminhão": funcionalidade citada no material de produto e no diagrama de casos de uso, mas sem regras de negócio definidas — requer levantamento futuro.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Valor padrão de AlertThreshold (RN-24): sugerido 100%, pendente de confirmação do cliente.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Regras de exclusão: este documento cobre que exclusão está dentro do escopo (Seção 2.1), mas não define se um caminhão com rotas vinculadas pode ser excluído, nem o que ocorre com cargas e gastos de uma rota excluída — requer definição antes da implementação.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Fontes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Driver_App_Documento_Descritivo.pdf (Agosto/2026)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Driver_App_Proposta_de_Produto.pdf (Agosto/2026)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Diagrama de classes e diagrama de caso de uso do projeto (doc/DriveV0_Classes.drawio.png, doc/UseCase.drawio.png)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Código-fonte atual do backend — pasta Entities/ (Driver.cs, Truck.cs, Route.cs, TruckLoad.cs, OdometerReading.cs)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Entrevista de levantamento de regras de negócio realizada com o cliente em agosto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Driver App — Regras de Negócio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2026-08-12T19:06:19.103Z</dcterms:created>
  <dcterms:modified xsi:type="dcterms:W3CDTF">2026-08-12T19:06:19.123Z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