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4"/>
          <w:color w:val="0F766E"/>
        </w:rPr>
        <w:t xml:space="preserve">PNIGP — Análise Competitiva de Mercado</w:t>
      </w:r>
    </w:p>
    <w:p>
      <w:pPr>
        <w:spacing w:after="120"/>
      </w:pPr>
      <w:r>
        <w:rPr/>
        <w:t xml:space="preserve">Plataforma Nacional de Inteligência de Gestão Pública · Instituto I10 · Junho/2026</w:t>
      </w:r>
    </w:p>
    <w:p>
      <w:pPr>
        <w:spacing w:after="120"/>
      </w:pPr>
      <w:r>
        <w:rPr/>
        <w:t xml:space="preserve">Documento interno. Base: pesquisa de mercado em 3 frentes (captação, benchmarking municipal, ERPs/GovTech) com verificação cruzada de fontes.</w:t>
      </w:r>
    </w:p>
    <w:p>
      <w:pPr>
        <w:spacing w:before="220" w:after="80"/>
      </w:pPr>
      <w:r>
        <w:rPr>
          <w:b/>
          <w:sz w:val="26"/>
          <w:color w:val="155E63"/>
        </w:rPr>
        <w:t xml:space="preserve">1. Sumário executivo</w:t>
      </w:r>
    </w:p>
    <w:p>
      <w:pPr>
        <w:spacing w:after="120"/>
      </w:pPr>
      <w:r>
        <w:rPr/>
        <w:t xml:space="preserve">O mercado de dados e inteligência para gestão pública municipal está dividido em cinco camadas que não conversam entre si: captação de recursos, benchmarking, ERPs transacionais, GovTechs de IA/atendimento e inteligência de mercado B2B.</w:t>
      </w:r>
    </w:p>
    <w:p>
      <w:pPr>
        <w:spacing w:after="120"/>
      </w:pPr>
      <w:r>
        <w:rPr/>
        <w:t xml:space="preserve">Nenhum concorrente reúne, sobre dados abertos e de forma comparável entre municípios, a combinação que define o PNIGP: compras item a item (preço unitário real), captação de recursos federais, saúde e educação unidade a unidade com geo e série histórica, e a venda de estudos para a iniciativa privada (B2B). Cada eixo isolado tem ocupantes; a combinação integrada permanece vazia — e contorna os ERPs por usar dado público.</w:t>
      </w:r>
    </w:p>
    <w:p>
      <w:pPr>
        <w:spacing w:after="40"/>
      </w:pPr>
      <w:r>
        <w:rPr>
          <w:b/>
          <w:color w:val="555555"/>
        </w:rPr>
        <w:t xml:space="preserve">Três conclusões para a estratégia:</w:t>
      </w:r>
    </w:p>
    <w:p>
      <w:pPr>
        <w:numPr>
          <w:ilvl w:val="0"/>
          <w:numId w:val="1"/>
        </w:numPr>
        <w:spacing w:after="40"/>
      </w:pPr>
      <w:r>
        <w:rPr/>
        <w:t xml:space="preserve">A camada captação operacional + comparação entre municípios está sendo disputada (</w:t>
      </w:r>
      <w:r>
        <w:rPr>
          <w:b/>
        </w:rPr>
        <w:t xml:space="preserve">QIATech/+Convénios</w:t>
      </w:r>
      <w:r>
        <w:rPr/>
        <w:t xml:space="preserve"> é o nome a vigiar) — precisamos chegar primeiro com a integração ao resto da gestão.</w:t>
      </w:r>
    </w:p>
    <w:p>
      <w:pPr>
        <w:numPr>
          <w:ilvl w:val="0"/>
          <w:numId w:val="1"/>
        </w:numPr>
        <w:spacing w:after="40"/>
      </w:pPr>
      <w:r>
        <w:rPr/>
        <w:t xml:space="preserve">Existe um </w:t>
      </w:r>
      <w:r>
        <w:rPr>
          <w:b/>
        </w:rPr>
        <w:t xml:space="preserve">piso gratuito</w:t>
      </w:r>
      <w:r>
        <w:rPr/>
        <w:t xml:space="preserve"> robusto (Portal da Transparência 2026 + CNM Êxitos). Todo valor pago precisa ficar acima dele: consolidação, alertas, matching e compliance.</w:t>
      </w:r>
    </w:p>
    <w:p>
      <w:pPr>
        <w:numPr>
          <w:ilvl w:val="0"/>
          <w:numId w:val="1"/>
        </w:numPr>
        <w:spacing w:after="40"/>
      </w:pPr>
      <w:r>
        <w:rPr/>
        <w:t xml:space="preserve">Os dois eixos mais vazios e defensáveis são </w:t>
      </w:r>
      <w:r>
        <w:rPr>
          <w:b/>
        </w:rPr>
        <w:t xml:space="preserve">preço unitário comparável entre municípios</w:t>
      </w:r>
      <w:r>
        <w:rPr/>
        <w:t xml:space="preserve"> e </w:t>
      </w:r>
      <w:r>
        <w:rPr>
          <w:b/>
        </w:rPr>
        <w:t xml:space="preserve">estudos B2B sobre gasto público</w:t>
      </w:r>
      <w:r>
        <w:rPr/>
        <w:t xml:space="preserve">.</w:t>
      </w:r>
    </w:p>
    <w:p>
      <w:pPr>
        <w:spacing w:before="220" w:after="80"/>
      </w:pPr>
      <w:r>
        <w:rPr>
          <w:b/>
          <w:sz w:val="26"/>
          <w:color w:val="155E63"/>
        </w:rPr>
        <w:t xml:space="preserve">2. Mapa do mercado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0" w:type="auto"/>
            <w:shd w:val="clear" w:fill="0F766E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Camada</w:t>
            </w:r>
          </w:p>
        </w:tc>
        <w:tc>
          <w:tcPr>
            <w:tcW w:w="0" w:type="auto"/>
            <w:shd w:val="clear" w:fill="0F766E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O que fazem</w:t>
            </w:r>
          </w:p>
        </w:tc>
        <w:tc>
          <w:tcPr>
            <w:tcW w:w="0" w:type="auto"/>
            <w:shd w:val="clear" w:fill="0F766E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Players principais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A. Captação / emendas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Encontrar e operar recursos federais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QIATech/+Convénios, Gestor de Convénios, CNM Êxitos (grátis), Portal da Transparência (grátis), Squadra, Orzil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B. Benchmarking municipal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Comparar indicadores entre municípios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Meu Município, Cidade Única (FIESC), Datapedia, FGV Municípios, inteli.gente, CLP Ranking, ICE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C. ERPs de gestão pública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Operar a prefeitura (contábil, folha, tributos, compras)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IPM, GOVBR, Betha, Fiorilli, Elotech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D. GovTech de IA / gabinete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Atendimento ao cidadão, CRM de mandato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GovTools, Conecta Gabinete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E. B2B sobre dado público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Estudos / inteligência de mercado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4MTI; geomarketing (Cortex, Geofusion, Neoway) usa consumo, não gasto público</w:t>
            </w:r>
          </w:p>
        </w:tc>
      </w:tr>
    </w:tbl>
    <w:p>
      <w:pPr>
        <w:spacing w:after="120"/>
      </w:pPr>
    </w:p>
    <w:p>
      <w:pPr>
        <w:spacing w:before="220" w:after="80"/>
      </w:pPr>
      <w:r>
        <w:rPr>
          <w:b/>
          <w:sz w:val="26"/>
          <w:color w:val="155E63"/>
        </w:rPr>
        <w:t xml:space="preserve">3. Avaliação de ameaças (ranqueada)</w:t>
      </w:r>
    </w:p>
    <w:p>
      <w:pPr>
        <w:spacing w:after="40"/>
      </w:pPr>
      <w:r>
        <w:rPr>
          <w:b/>
          <w:color w:val="555555"/>
        </w:rPr>
        <w:t xml:space="preserve">1. QIATech / +Convénios — a mais perigosa</w:t>
      </w:r>
    </w:p>
    <w:p>
      <w:pPr>
        <w:spacing w:after="120"/>
      </w:pPr>
      <w:r>
        <w:rPr/>
        <w:t xml:space="preserve">IA que mapeia oportunidades, gera propostas, calcula potencial não captado e oferece Ranking de Eficiência comparando a captação do município com as cidades da região. Integra TransfereGov, SIMEC, FNS, Sismob, Sigcon. É quem mais se aproxima da nossa tese (captação com comparação inter-municipal). Porte, preço e cobertura não divulgados — validar.</w:t>
      </w:r>
    </w:p>
    <w:p>
      <w:pPr>
        <w:spacing w:after="40"/>
      </w:pPr>
      <w:r>
        <w:rPr>
          <w:b/>
          <w:color w:val="555555"/>
        </w:rPr>
        <w:t xml:space="preserve">2. Gestor de Convénios — concorrente direto, porém frágil</w:t>
      </w:r>
    </w:p>
    <w:p>
      <w:pPr>
        <w:spacing w:after="120"/>
      </w:pPr>
      <w:r>
        <w:rPr/>
        <w:t xml:space="preserve">Cobre a jornada: emenda por CNPJ, panorama TransfereGov, CAUC, gerador de Plano de Trabalho (PDF), alertas, radar de +200 programas. Vulnerabilidades: empresa opaca e provavelmente minúscula (Tocantins), sem preço público, sem profundidade fiscal (não ingere empenhado/liquidado/pago), moat de dados raso.</w:t>
      </w:r>
    </w:p>
    <w:p>
      <w:pPr>
        <w:spacing w:after="40"/>
      </w:pPr>
      <w:r>
        <w:rPr>
          <w:b/>
          <w:color w:val="555555"/>
        </w:rPr>
        <w:t xml:space="preserve">3. Gove (gove.digital) — o mais próximo no eixo indicadores</w:t>
      </w:r>
    </w:p>
    <w:p>
      <w:pPr>
        <w:spacing w:after="120"/>
      </w:pPr>
      <w:r>
        <w:rPr/>
        <w:t xml:space="preserve">≈50 indicadores comparáveis + Ranking de Competitividade (com o CLP). Porém atrelado ao ERP financeiro (não é 100% dado aberto), foco em finanças, sem item a item, sem B2B.</w:t>
      </w:r>
    </w:p>
    <w:p>
      <w:pPr>
        <w:spacing w:after="40"/>
      </w:pPr>
      <w:r>
        <w:rPr>
          <w:b/>
          <w:color w:val="555555"/>
        </w:rPr>
        <w:t xml:space="preserve">4. O piso gratuito — ameaça estrutural (não comercial)</w:t>
      </w:r>
    </w:p>
    <w:p>
      <w:pPr>
        <w:spacing w:after="120"/>
      </w:pPr>
      <w:r>
        <w:rPr/>
        <w:t xml:space="preserve">Portal da Transparência 2026: emendas RP6–RP9 por autor/UF/município/CNPJ, empenho × liquidação × pagamento com evolução diária, detalhe da emenda Pix. CNM Plataforma Êxitos: radar de editais grátis para filiados. Qualquer produto pago precisa entregar acima desse piso.</w:t>
      </w:r>
    </w:p>
    <w:p>
      <w:pPr>
        <w:spacing w:after="40"/>
      </w:pPr>
      <w:r>
        <w:rPr>
          <w:b/>
          <w:color w:val="555555"/>
        </w:rPr>
        <w:t xml:space="preserve">Não são ameaça real</w:t>
      </w:r>
    </w:p>
    <w:p>
      <w:pPr>
        <w:spacing w:after="120"/>
      </w:pPr>
      <w:r>
        <w:rPr/>
        <w:t xml:space="preserve">Central das Emendas (transparência cívica), Conjunta (educação para OSCs), Squadra e Orzil (consultoria/treinamento, não escalam), GovTools e Conecta Gabinete (atendimento/CRM, não inteligência de dados).</w:t>
      </w:r>
    </w:p>
    <w:p>
      <w:pPr>
        <w:spacing w:before="220" w:after="80"/>
      </w:pPr>
      <w:r>
        <w:rPr>
          <w:b/>
          <w:sz w:val="26"/>
          <w:color w:val="155E63"/>
        </w:rPr>
        <w:t xml:space="preserve">4. Matriz de capacidades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0" w:type="auto"/>
            <w:shd w:val="clear" w:fill="0F766E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Capacidade</w:t>
            </w:r>
          </w:p>
        </w:tc>
        <w:tc>
          <w:tcPr>
            <w:tcW w:w="0" w:type="auto"/>
            <w:shd w:val="clear" w:fill="0F766E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Benchmarkers</w:t>
            </w:r>
          </w:p>
        </w:tc>
        <w:tc>
          <w:tcPr>
            <w:tcW w:w="0" w:type="auto"/>
            <w:shd w:val="clear" w:fill="0F766E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Captação</w:t>
            </w:r>
          </w:p>
        </w:tc>
        <w:tc>
          <w:tcPr>
            <w:tcW w:w="0" w:type="auto"/>
            <w:shd w:val="clear" w:fill="0F766E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ERPs</w:t>
            </w:r>
          </w:p>
        </w:tc>
        <w:tc>
          <w:tcPr>
            <w:tcW w:w="0" w:type="auto"/>
            <w:shd w:val="clear" w:fill="0F766E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PNIGP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Compras item a item (preço unitário)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Parcial (só do ente)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Sim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Escola/estabelecimento a estabelecimento + geo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Parcial (intra-município)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Sim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Captação de recursos federais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Sim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Sim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Matching captação ↔ gargalo por área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Sim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Série histórica granular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Parcial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Sim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Comparação entre municípios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Sim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Parcial (QIATech)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 (silos)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Sim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Estudos B2B de gasto público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Não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Sim (tese)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Natureza do dado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Secundário, agregado, anual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Aberto, nível convênio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Bruto, em silo por cliente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Aberto, granular, atual</w:t>
            </w:r>
          </w:p>
        </w:tc>
      </w:tr>
    </w:tbl>
    <w:p>
      <w:pPr>
        <w:spacing w:after="120"/>
      </w:pPr>
    </w:p>
    <w:p>
      <w:pPr>
        <w:spacing w:before="220" w:after="80"/>
      </w:pPr>
      <w:r>
        <w:rPr>
          <w:b/>
          <w:sz w:val="26"/>
          <w:color w:val="155E63"/>
        </w:rPr>
        <w:t xml:space="preserve">5. Inteligência de preços (o que é público)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0" w:type="auto"/>
            <w:shd w:val="clear" w:fill="0F766E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Produto</w:t>
            </w:r>
          </w:p>
        </w:tc>
        <w:tc>
          <w:tcPr>
            <w:tcW w:w="0" w:type="auto"/>
            <w:shd w:val="clear" w:fill="0F766E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Preço observado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Datapedia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Municipal R$ 1.200/ano · Estadual R$ 3.000 · Gabinete R$ 50.000/ano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Legislapp (monitoramento legislativo)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R$ 49,90/mês individual; grátis p/ ONGs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Gestor de Convénios, QIATech, Gove, Meu Município (Otimiza)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Sob demonstração (não divulgam)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Portal da Transparência, CNM Êxitos, inteli.gente, ICE, CLP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Gratuitos</w:t>
            </w:r>
          </w:p>
        </w:tc>
      </w:tr>
    </w:tbl>
    <w:p>
      <w:pPr>
        <w:spacing w:after="120"/>
      </w:pPr>
    </w:p>
    <w:p>
      <w:pPr>
        <w:spacing w:after="120"/>
      </w:pPr>
      <w:r>
        <w:rPr/>
        <w:t xml:space="preserve">A opacidade de preço dos concorrentes diretos é uma oportunidade de confiança: transparência comercial é um diferencial onde o concorrente mais próximo (Gestor de Convénios) é frágil.</w:t>
      </w:r>
    </w:p>
    <w:p>
      <w:pPr>
        <w:spacing w:before="220" w:after="80"/>
      </w:pPr>
      <w:r>
        <w:rPr>
          <w:b/>
          <w:sz w:val="26"/>
          <w:color w:val="155E63"/>
        </w:rPr>
        <w:t xml:space="preserve">6. O espaço em aberto (nosso moat)</w:t>
      </w:r>
    </w:p>
    <w:p>
      <w:pPr>
        <w:spacing w:after="120"/>
      </w:pPr>
      <w:r>
        <w:rPr/>
        <w:t xml:space="preserve">Nenhum player único reúne, 100% sobre dados abertos e comparável entre municípios: preço unitário item a item + radar de captação + saúde/educação granular + geo + série + monetização B2B.</w:t>
      </w:r>
    </w:p>
    <w:p>
      <w:pPr>
        <w:spacing w:after="40"/>
      </w:pPr>
      <w:r>
        <w:rPr>
          <w:b/>
          <w:color w:val="555555"/>
        </w:rPr>
        <w:t xml:space="preserve">Os dois eixos mais vazios e defensáveis:</w:t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Preço unitário comparável entre municípios</w:t>
      </w:r>
      <w:r>
        <w:rPr/>
        <w:t xml:space="preserve"> — as ferramentas atuais servem ao comprador ou ao fornecedor, nunca à comparação neutra que revela sobrepreço/economia.</w:t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Estudos B2B sobre gasto público municipal</w:t>
      </w:r>
      <w:r>
        <w:rPr/>
        <w:t xml:space="preserve"> — o geomarketing usa dados de consumo, não de gasto público. Ninguém vende inteligência de mercado a partir da granularidade da gestão pública.</w:t>
      </w:r>
    </w:p>
    <w:p>
      <w:pPr>
        <w:spacing w:after="40"/>
      </w:pPr>
      <w:r>
        <w:rPr>
          <w:b/>
          <w:color w:val="555555"/>
        </w:rPr>
        <w:t xml:space="preserve">Por que os ERPs (que têm o dado bruto) não ocupam esse espaço:</w:t>
      </w:r>
    </w:p>
    <w:p>
      <w:pPr>
        <w:numPr>
          <w:ilvl w:val="0"/>
          <w:numId w:val="1"/>
        </w:numPr>
        <w:spacing w:after="40"/>
      </w:pPr>
      <w:r>
        <w:rPr/>
        <w:t xml:space="preserve">Arquitetura single-tenant (uma instância por prefeitura) exigiria reengenharia.</w:t>
      </w:r>
    </w:p>
    <w:p>
      <w:pPr>
        <w:numPr>
          <w:ilvl w:val="0"/>
          <w:numId w:val="1"/>
        </w:numPr>
        <w:spacing w:after="40"/>
      </w:pPr>
      <w:r>
        <w:rPr/>
        <w:t xml:space="preserve">O dado é contratualmente do ente, sob LGPD/sigilo.</w:t>
      </w:r>
    </w:p>
    <w:p>
      <w:pPr>
        <w:numPr>
          <w:ilvl w:val="0"/>
          <w:numId w:val="1"/>
        </w:numPr>
        <w:spacing w:after="40"/>
      </w:pPr>
      <w:r>
        <w:rPr/>
        <w:t xml:space="preserve">Conflito de incentivo — clientes vizinhos competem por recursos e imagem; expor um ao outro é antiproduto.</w:t>
      </w:r>
    </w:p>
    <w:p>
      <w:pPr>
        <w:spacing w:before="220" w:after="80"/>
      </w:pPr>
      <w:r>
        <w:rPr>
          <w:b/>
          <w:sz w:val="26"/>
          <w:color w:val="155E63"/>
        </w:rPr>
        <w:t xml:space="preserve">7. Recomendações estratégicas</w:t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Chegar primeiro na integração.</w:t>
      </w:r>
      <w:r>
        <w:rPr/>
        <w:t xml:space="preserve"> QIATech constrói captação + comparação; nosso troco é integrar captação ao resto da gestão (compras, saúde, educação, gargalos).</w:t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Entregar acima do piso gratuito</w:t>
      </w:r>
      <w:r>
        <w:rPr/>
        <w:t xml:space="preserve">: consolidação cross-fonte, alertas de prazo, matching gargalo→programa→emenda e gestão de compliance da Resolução 370/2025 (municípios podem ficar sem receber emendas em 2026 se não adequarem a transparência).</w:t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Cravar os dois eixos vazios</w:t>
      </w:r>
      <w:r>
        <w:rPr/>
        <w:t xml:space="preserve">: preço unitário comparável + estudos B2B.</w:t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Posicionar a transparência comercial</w:t>
      </w:r>
      <w:r>
        <w:rPr/>
        <w:t xml:space="preserve"> como diferencial (vs. concorrentes sem preço público).</w:t>
      </w:r>
    </w:p>
    <w:p>
      <w:pPr>
        <w:numPr>
          <w:ilvl w:val="0"/>
          <w:numId w:val="1"/>
        </w:numPr>
        <w:spacing w:after="40"/>
      </w:pPr>
      <w:r>
        <w:rPr>
          <w:b/>
        </w:rPr>
        <w:t xml:space="preserve">Não temer os ERPs</w:t>
      </w:r>
      <w:r>
        <w:rPr/>
        <w:t xml:space="preserve"> no curto prazo, mas projetar a base sempre sobre dado aberto para não depender deles.</w:t>
      </w:r>
    </w:p>
    <w:p>
      <w:pPr>
        <w:spacing w:before="220" w:after="80"/>
      </w:pPr>
      <w:r>
        <w:rPr>
          <w:b/>
          <w:sz w:val="26"/>
          <w:color w:val="155E63"/>
        </w:rPr>
        <w:t xml:space="preserve">8. Incertezas a validar</w:t>
      </w:r>
    </w:p>
    <w:p>
      <w:pPr>
        <w:numPr>
          <w:ilvl w:val="0"/>
          <w:numId w:val="1"/>
        </w:numPr>
        <w:spacing w:after="40"/>
      </w:pPr>
      <w:r>
        <w:rPr/>
        <w:t xml:space="preserve">Porte, preço e cobertura reais de QIATech/+Convénios e Gestor de Convénios.</w:t>
      </w:r>
    </w:p>
    <w:p>
      <w:pPr>
        <w:numPr>
          <w:ilvl w:val="0"/>
          <w:numId w:val="1"/>
        </w:numPr>
        <w:spacing w:after="40"/>
      </w:pPr>
      <w:r>
        <w:rPr/>
        <w:t xml:space="preserve">Cadência real de atualização das bases dos concorrentes.</w:t>
      </w:r>
    </w:p>
    <w:p>
      <w:pPr>
        <w:numPr>
          <w:ilvl w:val="0"/>
          <w:numId w:val="1"/>
        </w:numPr>
        <w:spacing w:after="40"/>
      </w:pPr>
      <w:r>
        <w:rPr/>
        <w:t xml:space="preserve">Status do Painel de Preços federal (indício de descontinuação em jul/2025).</w:t>
      </w:r>
    </w:p>
    <w:p>
      <w:pPr>
        <w:numPr>
          <w:ilvl w:val="0"/>
          <w:numId w:val="1"/>
        </w:numPr>
        <w:spacing w:after="40"/>
      </w:pPr>
      <w:r>
        <w:rPr/>
        <w:t xml:space="preserve">Publicação do ICE 2024 (contratado, ainda não publicado).</w:t>
      </w:r>
    </w:p>
    <w:p>
      <w:pPr>
        <w:numPr>
          <w:ilvl w:val="0"/>
          <w:numId w:val="1"/>
        </w:numPr>
        <w:spacing w:after="40"/>
      </w:pPr>
      <w:r>
        <w:rPr/>
        <w:t xml:space="preserve">Long-tail de govtechs regionais (rodada dirigida aos TCEs).</w:t>
      </w:r>
    </w:p>
    <w:p>
      <w:pPr>
        <w:spacing w:before="220" w:after="80"/>
      </w:pPr>
      <w:r>
        <w:rPr>
          <w:b/>
          <w:sz w:val="26"/>
          <w:color w:val="155E63"/>
        </w:rPr>
        <w:t xml:space="preserve">9. Fontes (principais)</w:t>
      </w:r>
    </w:p>
    <w:p>
      <w:pPr>
        <w:spacing w:after="120"/>
      </w:pPr>
      <w:r>
        <w:rPr/>
        <w:t xml:space="preserve">Captação: gestordeconvenios.com.br · qiatech.com.br · centraldasemendas.info · conjunta.org · consultoriasquadra.com.br · orzil.org · portaldatransparencia.gov.br/emendas · plataformaexitos.com.br</w:t>
      </w:r>
    </w:p>
    <w:p>
      <w:pPr>
        <w:spacing w:after="120"/>
      </w:pPr>
      <w:r>
        <w:rPr/>
        <w:t xml:space="preserve">Benchmarking: meumunicipio.org.br · cidadeunica.com.br · datapedia.info · municipios.fgv.br · inteligente.mcti.gov.br · rankingdecompetitividade.org.br · ice.enap.gov.br</w:t>
      </w:r>
    </w:p>
    <w:p>
      <w:pPr>
        <w:spacing w:after="120"/>
      </w:pPr>
      <w:r>
        <w:rPr/>
        <w:t xml:space="preserve">ERPs/GovTech: ipm.com.br · governancabrasil.com.br · betha.com.br · fiorilli.com.br · elotech.com.br · gove.digital · startgov.com.br · 4mti.com.br · conectagabinete.com.br</w:t>
      </w:r>
    </w:p>
    <w:p>
      <w:pPr>
        <w:spacing w:after="120"/>
      </w:pPr>
      <w:r>
        <w:rPr/>
        <w:t xml:space="preserve">Metodologia: pesquisa web com navegação ao vivo e verificação cruzada, jun/2026. Itens não confirmados estão na seção 8. Documento vivo.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36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