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Universidade Federal de Uberlândia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Faculdade de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highlight w:val="yellow"/>
          <w:rtl w:val="0"/>
        </w:rPr>
        <w:t xml:space="preserve">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Curso de Graduação em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highlight w:val="yellow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Plano de Trabalho de Monitoria para a Disciplina </w:t>
      </w: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highlight w:val="yellow"/>
          <w:rtl w:val="0"/>
        </w:rPr>
        <w:t xml:space="preserve">Empreendedorismo em Informática</w:t>
      </w: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Estudante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8"/>
          <w:szCs w:val="28"/>
          <w:highlight w:val="yellow"/>
          <w:rtl w:val="0"/>
        </w:rPr>
        <w:t xml:space="preserve">Heitor Freitas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Orientador</w:t>
      </w: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: Vivian Duarte Couto Fernandes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highlight w:val="yellow"/>
          <w:rtl w:val="0"/>
        </w:rPr>
        <w:t xml:space="preserve">Agosto</w:t>
      </w: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 de </w:t>
      </w: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highlight w:val="yellow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1. Objetivos da Monitoria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o Artigo 1º. da Resolução Nº.03/2012 do Conselho de Graduação da UFU,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monitoria é uma experiência pedagógica oferecida ao aluno regularmente matriculado num curso de graduação e tem por objetivos: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– desenvolver, no aluno, o interesse pela carreira do magistério superior; e </w:t>
      </w:r>
    </w:p>
    <w:p w:rsidR="00000000" w:rsidDel="00000000" w:rsidP="00000000" w:rsidRDefault="00000000" w:rsidRPr="00000000" w14:paraId="00000025">
      <w:pPr>
        <w:spacing w:after="0" w:line="240" w:lineRule="auto"/>
        <w:ind w:left="2268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– proporcionar a cooperação entre o corpo discente e o corpo docente em benefício da qualidade do ensino ministrado pela Instituição. (Art. 1º., Resolução N.3/2012).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2. Dados Gerais para a realização da monitoria: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da disciplina:</w:t>
        <w:tab/>
        <w:tab/>
        <w:t xml:space="preserve">GBC011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Carga Horária: </w:t>
        <w:tab/>
        <w:tab/>
        <w:t xml:space="preserve">12 horas semanais</w:t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da disciplina: </w:t>
        <w:tab/>
        <w:tab/>
        <w:t xml:space="preserve">Empreendedorismo em Informática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do Professor: </w:t>
        <w:tab/>
        <w:tab/>
        <w:t xml:space="preserve">Vivian Duarte Couto Fernandes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de Graduação: </w:t>
        <w:tab/>
        <w:tab/>
        <w:t xml:space="preserve">Ciência da Computação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Ano:</w:t>
        <w:tab/>
        <w:tab/>
        <w:tab/>
        <w:tab/>
        <w:t xml:space="preserve">2020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Semestre: </w:t>
        <w:tab/>
        <w:tab/>
        <w:tab/>
        <w:t xml:space="preserve">AAARE (2020.3)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Quantidade de Alunos Matriculados: </w:t>
        <w:tab/>
        <w:t xml:space="preserve">40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3. Tarefas e atribuições do monitor e do professor orientador: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o Artigo 2º. da Resolução Nº.03/2012 do Conselho de Graduação da UFU,</w:t>
      </w:r>
    </w:p>
    <w:p w:rsidR="00000000" w:rsidDel="00000000" w:rsidP="00000000" w:rsidRDefault="00000000" w:rsidRPr="00000000" w14:paraId="00000036">
      <w:pPr>
        <w:spacing w:after="0" w:line="240" w:lineRule="auto"/>
        <w:ind w:left="2268" w:firstLine="0"/>
        <w:jc w:val="both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 atividades de monitoria compreendem as atribuições auxiliares relativas aos encargos acadêmicos associados a uma disciplina, sendo desenvolvidas sob a orientação e a supervisão de um professor da disciplina em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 Art. 7º. da mesma resolução, além das atribuições burocráticas quanto a regulamentação da atividade de monitoria, são descritas as tarefas que podem ser atribuídas ao monitor: colaborar com o professor na execução das tarefas didáticas; ajudar e orientar os alunos em seus estudos e trabalhos teóricos ou práticos; elaborar, com a orientação do professor, o relatório das atividades realizadas durante a monitoria. É vedado ao monitor ministrar aulas e exercer atividades administrativas.</w:t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Cabe ao professor-orientador: elaborar o plano de trabalho em parceria com o monitor; orientar e supervisionar as atividades do monitor, bem como auxiliar na elaboração do relatório final a ser encaminhado à unidade em que o estudante está matriculado (Art. 8º. da Resolução Nº.03/2012).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4. Metodologia das atividades a serem desenvolvidas: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Sempre que possível, antes do início do período letivo, o professor e orientado realizam o planejamento do estágio, para que ambos possam entrar em acordo sobre as atividades a serem realizadas. É preciso que as competências esperadas na formação do monitor estejam contempladas nas atividades que serão desenvolvidas. </w:t>
      </w:r>
    </w:p>
    <w:p w:rsidR="00000000" w:rsidDel="00000000" w:rsidP="00000000" w:rsidRDefault="00000000" w:rsidRPr="00000000" w14:paraId="0000003E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Posteriormente o discente acompanhará o professor em uma das aulas, participando do planejamento, avaliação, aplicação de trabalhos, atividades extraclasse e atendimento aos alunos. Serão realizadas reuniões semanais para planejamento e acompanhamento das atividades em atendimento à Resolução de Monitoria do Conselho de Graduação da UFU. 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5. Atividades a serem desenvolvidas 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7"/>
        <w:gridCol w:w="4962"/>
        <w:gridCol w:w="2091"/>
        <w:tblGridChange w:id="0">
          <w:tblGrid>
            <w:gridCol w:w="1667"/>
            <w:gridCol w:w="4962"/>
            <w:gridCol w:w="2091"/>
          </w:tblGrid>
        </w:tblGridChange>
      </w:tblGrid>
      <w:t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Horas semanais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1ª Semana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Elaboração do Plano de Monitoria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x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Prospecção de ex alunos empreendedores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Responder dúvidas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2ª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Levantamento de habilidade dos estudantes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Correção de atividade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Planejar uma aula pt.1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3ª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Planejar ensino com pesquisa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Ensino com Pesquisa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Monitoria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4ª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Correção de atividade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Planejar uma aula pt.1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12)Monitoria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5ª Semana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14)Correção de atividade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15)Planejamento de atividade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16)Monitoria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6ª Semana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17)Ministrar uma aula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18)Monitoria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19)Planejamento de avaliação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7ª Semana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20)Monitoria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21)Elaboração de avaliação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22)Correção da avaliação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4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8ª Semana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23)Relatório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2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yellow"/>
                <w:rtl w:val="0"/>
              </w:rPr>
              <w:t xml:space="preserve">24)Monitoria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Elaboração do Plano de Monitoria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Planejar semanalmente os tópicos e atividades desenvolvidos com as turmas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Ministrar uma Aula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preparar uma aula sobre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modelos de negócios mais usados na computação.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Monitória: tirar dúvidas ou ajudar no entendimento na matéria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Elaborar uma Avaliação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preparar uma atividade avaliativa sobre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modelo de negócio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 valor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pontos. Após a elaboração, a avaliação deve ser enviada ao professor para análise juntamente com a resolução.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Ensino com Pesquisa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Explorar o tema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“Empresas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unicórnios que surgiram de estudantes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Planejamento de Atividade: Esse é o trabalho avaliativo que será desenvolvido com base no levantamento, assim sendo amplamente arquitetado com a orientadora e meu colega de monitoria para maior performance.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Apresentação do relatório final do estágio em docência: Consolidar as diversas percepções e feedbacks das atividades realizadas ao longo do semestre.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Propor para os alunos fazerem um levantamento de quais tecnologias são as mais utilizadas por pequenas startups e quais são mais utilizadas por grandes corporações de tecnologia, e elaborar um porquê de tais tecnologias serem vantajosas para cada área.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Uberlândia, 18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agosto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2020.</w:t>
      </w:r>
    </w:p>
    <w:p w:rsidR="00000000" w:rsidDel="00000000" w:rsidP="00000000" w:rsidRDefault="00000000" w:rsidRPr="00000000" w14:paraId="000000A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firstLine="411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firstLine="411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A3">
      <w:pPr>
        <w:spacing w:after="0" w:lineRule="auto"/>
        <w:ind w:firstLine="41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Heitor Freitas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firstLine="41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firstLine="41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firstLine="41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A7">
      <w:pPr>
        <w:spacing w:after="0" w:lineRule="auto"/>
        <w:ind w:firstLine="41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Vivian Duarte Couto Fernandes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1069" w:hanging="360"/>
      </w:pPr>
      <w:rPr/>
    </w:lvl>
    <w:lvl w:ilvl="2">
      <w:start w:val="1"/>
      <w:numFmt w:val="decimal"/>
      <w:lvlText w:val="%1.%2.%3"/>
      <w:lvlJc w:val="left"/>
      <w:pPr>
        <w:ind w:left="1428" w:hanging="719.9999999999999"/>
      </w:pPr>
      <w:rPr/>
    </w:lvl>
    <w:lvl w:ilvl="3">
      <w:start w:val="1"/>
      <w:numFmt w:val="decimal"/>
      <w:lvlText w:val="%1.%2.%3.%4"/>
      <w:lvlJc w:val="left"/>
      <w:pPr>
        <w:ind w:left="1428" w:hanging="719.9999999999999"/>
      </w:pPr>
      <w:rPr/>
    </w:lvl>
    <w:lvl w:ilvl="4">
      <w:start w:val="1"/>
      <w:numFmt w:val="decimal"/>
      <w:lvlText w:val="%1.%2.%3.%4.%5"/>
      <w:lvlJc w:val="left"/>
      <w:pPr>
        <w:ind w:left="1788" w:hanging="1080"/>
      </w:pPr>
      <w:rPr/>
    </w:lvl>
    <w:lvl w:ilvl="5">
      <w:start w:val="1"/>
      <w:numFmt w:val="decimal"/>
      <w:lvlText w:val="%1.%2.%3.%4.%5.%6"/>
      <w:lvlJc w:val="left"/>
      <w:pPr>
        <w:ind w:left="1788" w:hanging="1080"/>
      </w:pPr>
      <w:rPr/>
    </w:lvl>
    <w:lvl w:ilvl="6">
      <w:start w:val="1"/>
      <w:numFmt w:val="decimal"/>
      <w:lvlText w:val="%1.%2.%3.%4.%5.%6.%7"/>
      <w:lvlJc w:val="left"/>
      <w:pPr>
        <w:ind w:left="2148" w:hanging="1440"/>
      </w:pPr>
      <w:rPr/>
    </w:lvl>
    <w:lvl w:ilvl="7">
      <w:start w:val="1"/>
      <w:numFmt w:val="decimal"/>
      <w:lvlText w:val="%1.%2.%3.%4.%5.%6.%7.%8"/>
      <w:lvlJc w:val="left"/>
      <w:pPr>
        <w:ind w:left="2148" w:hanging="1440"/>
      </w:pPr>
      <w:rPr/>
    </w:lvl>
    <w:lvl w:ilvl="8">
      <w:start w:val="1"/>
      <w:numFmt w:val="decimal"/>
      <w:lvlText w:val="%1.%2.%3.%4.%5.%6.%7.%8.%9"/>
      <w:lvlJc w:val="left"/>
      <w:pPr>
        <w:ind w:left="2508" w:hanging="18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color w:val="2222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97BF8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A82F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rio">
    <w:name w:val="annotation reference"/>
    <w:basedOn w:val="Fontepargpadro"/>
    <w:uiPriority w:val="99"/>
    <w:semiHidden w:val="1"/>
    <w:unhideWhenUsed w:val="1"/>
    <w:rsid w:val="009553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9553C4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9553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9553C4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9553C4"/>
    <w:rPr>
      <w:b w:val="1"/>
      <w:bCs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9553C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9553C4"/>
    <w:rPr>
      <w:rFonts w:ascii="Tahoma" w:cs="Tahoma" w:hAnsi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795FB9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795FB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795FB9"/>
    <w:rPr>
      <w:vertAlign w:val="superscript"/>
    </w:rPr>
  </w:style>
  <w:style w:type="character" w:styleId="Hyperlink">
    <w:name w:val="Hyperlink"/>
    <w:basedOn w:val="Fontepargpadro"/>
    <w:uiPriority w:val="99"/>
    <w:unhideWhenUsed w:val="1"/>
    <w:rsid w:val="00A21C70"/>
    <w:rPr>
      <w:color w:val="0000ff" w:themeColor="hyperlink"/>
      <w:u w:val="single"/>
    </w:rPr>
  </w:style>
  <w:style w:type="paragraph" w:styleId="Default" w:customStyle="1">
    <w:name w:val="Default"/>
    <w:rsid w:val="00637C2F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9P6qXXlEbDWDZ3fk2FcQ7cSQGA==">AMUW2mUaR5ia8pOUu0WmagNZElQo1m3YJpbbDi3D5FuzDPIx/o3pVphsJemSf4xw1W8E1XFtCbFl84di3nHoSTGepzVKZ11Ahnk1mMUUTfthOzIVDlFUik6hIpsKvjaSFntuWUsMfTZj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2020-08-12T20:42:00Z</dcterms:created>
  <dc:creator>user</dc:creator>
</cp:coreProperties>
</file>