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AA" w:rsidRDefault="004342AA">
      <w:pPr>
        <w:rPr>
          <w:rFonts w:hint="eastAsia"/>
        </w:rPr>
      </w:pPr>
    </w:p>
    <w:p w:rsidR="004342AA" w:rsidRDefault="004342AA">
      <w:pPr>
        <w:rPr>
          <w:rFonts w:hint="eastAsia"/>
        </w:rPr>
      </w:pPr>
      <w:r>
        <w:rPr>
          <w:rFonts w:hint="eastAsia"/>
        </w:rPr>
        <w:t>L298N</w:t>
      </w:r>
      <w:r>
        <w:rPr>
          <w:rFonts w:hint="eastAsia"/>
        </w:rPr>
        <w:t>是两路</w:t>
      </w:r>
      <w:r>
        <w:rPr>
          <w:rFonts w:hint="eastAsia"/>
        </w:rPr>
        <w:t>H</w:t>
      </w:r>
      <w:r>
        <w:rPr>
          <w:rFonts w:hint="eastAsia"/>
        </w:rPr>
        <w:t>桥，可以同时驱动两路电机，两路电机互不干扰。每路电机只需要使用一个</w:t>
      </w:r>
      <w:r>
        <w:rPr>
          <w:rFonts w:hint="eastAsia"/>
        </w:rPr>
        <w:t>PWM</w:t>
      </w:r>
      <w:r>
        <w:rPr>
          <w:rFonts w:hint="eastAsia"/>
        </w:rPr>
        <w:t>和两个普通</w:t>
      </w:r>
      <w:r>
        <w:rPr>
          <w:rFonts w:hint="eastAsia"/>
        </w:rPr>
        <w:t>IO</w:t>
      </w:r>
      <w:r>
        <w:rPr>
          <w:rFonts w:hint="eastAsia"/>
        </w:rPr>
        <w:t>口就能实现电机调速及正反转。</w:t>
      </w:r>
    </w:p>
    <w:p w:rsidR="00550A6F" w:rsidRDefault="004342AA">
      <w:bookmarkStart w:id="0" w:name="_GoBack"/>
      <w:r>
        <w:rPr>
          <w:noProof/>
        </w:rPr>
        <w:drawing>
          <wp:inline distT="0" distB="0" distL="0" distR="0" wp14:anchorId="075E03C9" wp14:editId="175ABF69">
            <wp:extent cx="5274310" cy="431773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0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DF"/>
    <w:rsid w:val="003A57DF"/>
    <w:rsid w:val="004342AA"/>
    <w:rsid w:val="0055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2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93829-0332-45D0-9D76-6EC1BF4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2020-03-25T14:16:00Z</dcterms:created>
  <dcterms:modified xsi:type="dcterms:W3CDTF">2020-03-25T14:28:00Z</dcterms:modified>
</cp:coreProperties>
</file>