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46FEC">
      <w:pPr>
        <w:pStyle w:val="16"/>
        <w:rPr>
          <w:rFonts w:hint="eastAsia" w:hAnsi="黑体" w:cs="黑体"/>
        </w:rPr>
      </w:pPr>
      <w:r>
        <w:rPr>
          <w:rFonts w:hint="eastAsia" w:hAnsi="黑体" w:cs="黑体"/>
        </w:rPr>
        <w:t>测控系统综合实训课题任务书</w:t>
      </w:r>
    </w:p>
    <w:p w14:paraId="5916681B">
      <w:pPr>
        <w:rPr>
          <w:rFonts w:hint="eastAsia"/>
        </w:rPr>
      </w:pPr>
    </w:p>
    <w:tbl>
      <w:tblPr>
        <w:tblStyle w:val="7"/>
        <w:tblW w:w="96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19"/>
        <w:gridCol w:w="2107"/>
        <w:gridCol w:w="2552"/>
        <w:gridCol w:w="2836"/>
      </w:tblGrid>
      <w:tr w14:paraId="5DE9A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2150" w:type="dxa"/>
            <w:gridSpan w:val="2"/>
            <w:vAlign w:val="center"/>
          </w:tcPr>
          <w:p w14:paraId="4BA4B690">
            <w:pPr>
              <w:pStyle w:val="14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题目名称</w:t>
            </w:r>
          </w:p>
        </w:tc>
        <w:tc>
          <w:tcPr>
            <w:tcW w:w="7495" w:type="dxa"/>
            <w:gridSpan w:val="3"/>
            <w:vAlign w:val="center"/>
          </w:tcPr>
          <w:p w14:paraId="6BDB92E0">
            <w:pPr>
              <w:ind w:firstLine="482" w:firstLineChars="200"/>
            </w:pPr>
            <w:r>
              <w:rPr>
                <w:rFonts w:hint="eastAsia"/>
                <w:b/>
                <w:bCs/>
                <w:sz w:val="24"/>
                <w:szCs w:val="24"/>
              </w:rPr>
              <w:t>基于RK3576边缘计算的无人车主动式AI巡检系统设计</w:t>
            </w:r>
          </w:p>
        </w:tc>
      </w:tr>
      <w:tr w14:paraId="28B3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2131" w:type="dxa"/>
            <w:vAlign w:val="center"/>
          </w:tcPr>
          <w:p w14:paraId="685997F8">
            <w:pPr>
              <w:pStyle w:val="14"/>
              <w:rPr>
                <w:rFonts w:hint="eastAsia" w:ascii="宋体" w:hAnsi="宋体"/>
              </w:rPr>
            </w:pPr>
            <w:r>
              <w:rPr>
                <w:rFonts w:hint="eastAsia"/>
              </w:rPr>
              <w:t>涉及学科领域</w:t>
            </w:r>
          </w:p>
        </w:tc>
        <w:tc>
          <w:tcPr>
            <w:tcW w:w="7514" w:type="dxa"/>
            <w:gridSpan w:val="4"/>
            <w:vAlign w:val="center"/>
          </w:tcPr>
          <w:p w14:paraId="18FA7463">
            <w:pPr>
              <w:ind w:firstLine="420" w:firstLineChars="200"/>
            </w:pPr>
            <w:r>
              <w:rPr>
                <w:rFonts w:hint="eastAsia"/>
              </w:rPr>
              <w:t>人工智能与机器视觉、嵌入式系统、测控技术与仪器、机器人技术</w:t>
            </w:r>
          </w:p>
        </w:tc>
      </w:tr>
      <w:tr w14:paraId="3171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2131" w:type="dxa"/>
            <w:vAlign w:val="center"/>
          </w:tcPr>
          <w:p w14:paraId="11E22FD7">
            <w:pPr>
              <w:pStyle w:val="14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是否有成熟技术方案</w:t>
            </w:r>
          </w:p>
        </w:tc>
        <w:tc>
          <w:tcPr>
            <w:tcW w:w="2126" w:type="dxa"/>
            <w:gridSpan w:val="2"/>
            <w:vAlign w:val="center"/>
          </w:tcPr>
          <w:p w14:paraId="2D5207E0">
            <w:pPr>
              <w:pStyle w:val="19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 xml:space="preserve">是 </w:t>
            </w:r>
            <w:r>
              <w:rPr>
                <w:rFonts w:hint="eastAsia" w:ascii="宋体" w:hAnsi="宋体"/>
                <w:color w:val="FF0000"/>
              </w:rPr>
              <w:t>□</w:t>
            </w:r>
            <w:r>
              <w:rPr>
                <w:color w:val="FF0000"/>
              </w:rPr>
              <w:t xml:space="preserve">      </w:t>
            </w:r>
            <w:r>
              <w:rPr>
                <w:rFonts w:hint="eastAsia"/>
                <w:color w:val="FF0000"/>
              </w:rPr>
              <w:t xml:space="preserve">否 </w:t>
            </w:r>
            <w:r>
              <w:rPr>
                <w:rFonts w:hint="eastAsia"/>
                <w:color w:val="FF0000"/>
              </w:rPr>
              <w:sym w:font="Wingdings" w:char="F0FE"/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3F04DBC4">
            <w:pPr>
              <w:pStyle w:val="14"/>
              <w:rPr>
                <w:rFonts w:hint="eastAsia"/>
              </w:rPr>
            </w:pPr>
            <w:r>
              <w:rPr>
                <w:rFonts w:hint="eastAsia"/>
              </w:rPr>
              <w:t>是否需要方案比选</w:t>
            </w:r>
          </w:p>
        </w:tc>
        <w:tc>
          <w:tcPr>
            <w:tcW w:w="2836" w:type="dxa"/>
            <w:vAlign w:val="center"/>
          </w:tcPr>
          <w:p w14:paraId="386FBB4E">
            <w:pPr>
              <w:pStyle w:val="19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 xml:space="preserve">是 </w:t>
            </w:r>
            <w:r>
              <w:rPr>
                <w:rFonts w:hint="eastAsia"/>
                <w:color w:val="FF0000"/>
              </w:rPr>
              <w:sym w:font="Wingdings" w:char="F0FE"/>
            </w:r>
            <w:r>
              <w:rPr>
                <w:color w:val="FF0000"/>
              </w:rPr>
              <w:t xml:space="preserve">      </w:t>
            </w:r>
            <w:r>
              <w:rPr>
                <w:rFonts w:hint="eastAsia"/>
                <w:color w:val="FF0000"/>
              </w:rPr>
              <w:t xml:space="preserve">否 </w:t>
            </w:r>
            <w:r>
              <w:rPr>
                <w:rFonts w:hint="eastAsia" w:ascii="宋体" w:hAnsi="宋体"/>
                <w:color w:val="FF0000"/>
              </w:rPr>
              <w:t>□</w:t>
            </w:r>
          </w:p>
        </w:tc>
      </w:tr>
      <w:tr w14:paraId="55240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2131" w:type="dxa"/>
            <w:vAlign w:val="center"/>
          </w:tcPr>
          <w:p w14:paraId="68BB6B18">
            <w:pPr>
              <w:pStyle w:val="14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需考虑的非技术因素</w:t>
            </w:r>
          </w:p>
        </w:tc>
        <w:tc>
          <w:tcPr>
            <w:tcW w:w="7514" w:type="dxa"/>
            <w:gridSpan w:val="4"/>
            <w:vAlign w:val="center"/>
          </w:tcPr>
          <w:p w14:paraId="389E43C0">
            <w:r>
              <w:rPr>
                <w:rFonts w:hint="eastAsia"/>
              </w:rPr>
              <w:t>安全</w:t>
            </w:r>
            <w:r>
              <w:rPr>
                <w:rFonts w:hint="eastAsia"/>
              </w:rPr>
              <w:sym w:font="Wingdings" w:char="F0FE"/>
            </w:r>
            <w:r>
              <w:rPr>
                <w:rFonts w:hint="eastAsia"/>
              </w:rPr>
              <w:t xml:space="preserve">  成本</w:t>
            </w:r>
            <w:r>
              <w:rPr>
                <w:rFonts w:hint="eastAsia"/>
              </w:rPr>
              <w:sym w:font="Wingdings" w:char="F0FE"/>
            </w:r>
            <w:r>
              <w:rPr>
                <w:rFonts w:hint="eastAsia"/>
              </w:rPr>
              <w:t xml:space="preserve">  环保□  可靠性</w:t>
            </w:r>
            <w:r>
              <w:rPr>
                <w:rFonts w:hint="eastAsia"/>
              </w:rPr>
              <w:sym w:font="Wingdings" w:char="F0FE"/>
            </w:r>
            <w:r>
              <w:rPr>
                <w:rFonts w:hint="eastAsia"/>
              </w:rPr>
              <w:t xml:space="preserve">  伦理与社会责任</w:t>
            </w:r>
            <w:r>
              <w:rPr>
                <w:rFonts w:hint="eastAsia"/>
              </w:rPr>
              <w:sym w:font="Wingdings" w:char="F0FE"/>
            </w:r>
            <w:r>
              <w:rPr>
                <w:rFonts w:hint="eastAsia"/>
              </w:rPr>
              <w:t xml:space="preserve">  其他 □__________</w:t>
            </w:r>
          </w:p>
        </w:tc>
      </w:tr>
      <w:tr w14:paraId="58349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2131" w:type="dxa"/>
            <w:vAlign w:val="center"/>
          </w:tcPr>
          <w:p w14:paraId="6251CD2B">
            <w:pPr>
              <w:pStyle w:val="14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相互制约的技术因素</w:t>
            </w:r>
          </w:p>
        </w:tc>
        <w:tc>
          <w:tcPr>
            <w:tcW w:w="7514" w:type="dxa"/>
            <w:gridSpan w:val="4"/>
            <w:vAlign w:val="center"/>
          </w:tcPr>
          <w:p w14:paraId="2A0AF983">
            <w:pPr>
              <w:ind w:firstLine="420" w:firstLineChars="200"/>
            </w:pPr>
            <w:r>
              <w:rPr>
                <w:rFonts w:hint="eastAsia"/>
              </w:rPr>
              <w:t>边缘算力与模型复杂度；识别准确率与实时性；图像分辨率与存储、传输带宽；主动补拍效果与车辆安全；本地处理能力与云端分析能力；续航时间与计算功耗；巡检效率与证据完整性。</w:t>
            </w:r>
          </w:p>
        </w:tc>
      </w:tr>
      <w:tr w14:paraId="4A26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2131" w:type="dxa"/>
            <w:vAlign w:val="center"/>
          </w:tcPr>
          <w:p w14:paraId="738F91FC">
            <w:pPr>
              <w:pStyle w:val="14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支持团队数</w:t>
            </w:r>
          </w:p>
        </w:tc>
        <w:tc>
          <w:tcPr>
            <w:tcW w:w="2126" w:type="dxa"/>
            <w:gridSpan w:val="2"/>
            <w:vAlign w:val="center"/>
          </w:tcPr>
          <w:p w14:paraId="717A6DC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  <w:vAlign w:val="center"/>
          </w:tcPr>
          <w:p w14:paraId="6F7A5A40">
            <w:pPr>
              <w:pStyle w:val="14"/>
              <w:rPr>
                <w:rFonts w:hint="eastAsia"/>
              </w:rPr>
            </w:pPr>
            <w:r>
              <w:rPr>
                <w:rFonts w:hint="eastAsia"/>
              </w:rPr>
              <w:t>每团队人数</w:t>
            </w:r>
          </w:p>
        </w:tc>
        <w:tc>
          <w:tcPr>
            <w:tcW w:w="2836" w:type="dxa"/>
            <w:vAlign w:val="center"/>
          </w:tcPr>
          <w:p w14:paraId="2F0C9773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14:paraId="4660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2131" w:type="dxa"/>
            <w:vAlign w:val="center"/>
          </w:tcPr>
          <w:p w14:paraId="4342A29A">
            <w:pPr>
              <w:pStyle w:val="14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实训地点</w:t>
            </w:r>
          </w:p>
        </w:tc>
        <w:tc>
          <w:tcPr>
            <w:tcW w:w="2126" w:type="dxa"/>
            <w:gridSpan w:val="2"/>
            <w:vAlign w:val="center"/>
          </w:tcPr>
          <w:p w14:paraId="6E64C4A3">
            <w:pPr>
              <w:pStyle w:val="19"/>
              <w:jc w:val="center"/>
              <w:rPr>
                <w:rFonts w:hint="default" w:eastAsia="宋体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A210</w:t>
            </w:r>
          </w:p>
        </w:tc>
        <w:tc>
          <w:tcPr>
            <w:tcW w:w="2552" w:type="dxa"/>
            <w:vAlign w:val="center"/>
          </w:tcPr>
          <w:p w14:paraId="2AD88120">
            <w:pPr>
              <w:pStyle w:val="14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2836" w:type="dxa"/>
            <w:vAlign w:val="center"/>
          </w:tcPr>
          <w:p w14:paraId="4EDE6F48">
            <w:pPr>
              <w:pStyle w:val="19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陈震</w:t>
            </w:r>
          </w:p>
        </w:tc>
      </w:tr>
      <w:tr w14:paraId="46C9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0" w:hRule="atLeast"/>
          <w:jc w:val="center"/>
        </w:trPr>
        <w:tc>
          <w:tcPr>
            <w:tcW w:w="9645" w:type="dxa"/>
            <w:gridSpan w:val="5"/>
          </w:tcPr>
          <w:p w14:paraId="6C39F34C">
            <w:pPr>
              <w:pStyle w:val="18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课程设计的主要任务及目标：</w:t>
            </w:r>
          </w:p>
          <w:p w14:paraId="11D0D246">
            <w:pPr>
              <w:ind w:firstLine="420" w:firstLineChars="200"/>
            </w:pPr>
            <w:r>
              <w:rPr>
                <w:rFonts w:hint="eastAsia"/>
              </w:rPr>
              <w:t>传统人工巡检存在效率低、漏检、记录不规范等问题，尤其在园区、管廊、光伏电站、电力站房等场景下，固定点位视频监控难以覆盖全部设备和动态缺陷。基于无人车的主动式智能巡检能够自主巡行、实时理解巡检画面，并在发现异常或拍摄质量不达标时主动补拍，形成完整可复核的证据链。</w:t>
            </w:r>
          </w:p>
          <w:p w14:paraId="34B2ACBE">
            <w:pPr>
              <w:ind w:firstLine="420" w:firstLineChars="200"/>
            </w:pPr>
            <w:r>
              <w:rPr>
                <w:rFonts w:hint="eastAsia"/>
              </w:rPr>
              <w:t>本课题基于现有无人车底盘，集成 RK3576 边缘计算主机、RGB 相机、云台摄像头、定位模块、通信模块及必要传感器，开发主动式 AI 巡检系统。系统对巡检目标进行实时识别和异常判断，在发现已知缺陷、疑似异常或图像质量不达标时，主动执行停车、目标居中、变焦、多角度补拍等高层巡检动作，形成包含图像、视频、定位、时间和识别结果的完整事件证据包，并将巡检结果上传至远程平台。</w:t>
            </w:r>
          </w:p>
          <w:p w14:paraId="26A2E6D7">
            <w:pPr>
              <w:ind w:firstLine="420" w:firstLineChars="200"/>
            </w:pPr>
            <w:r>
              <w:rPr>
                <w:rFonts w:hint="eastAsia"/>
              </w:rPr>
              <w:t>预期成果：一套可运行的主动式 AI 巡检系统，实现“发现异常—判断图像质量—主动补拍—形成证据—上报复核”的完整闭环，首版可先以单路 1080p RGB 相机和有限缺陷类别达成稳定闭环。</w:t>
            </w:r>
          </w:p>
          <w:p w14:paraId="23E794E6">
            <w:pPr>
              <w:ind w:firstLine="420" w:firstLineChars="200"/>
            </w:pPr>
            <w:r>
              <w:rPr>
                <w:rFonts w:hint="eastAsia"/>
              </w:rPr>
              <w:t>需考虑的非技术因素：本课题明确涉及安全（AI 不得直接控制车辆底层执行机构，急停、避障、限速优先级高于巡检任务）、伦理与社会责任（AI 误判、数据隐私与可解释性）、可靠性（网络中断、模型异常、算力不足时的安全降级）。本课题不直接指定具体技术方案，要求学生调研并比选目标检测/异常检测模型、目标跟踪算法、边缘推理框架与主动复核策略后确定方案。</w:t>
            </w:r>
          </w:p>
          <w:p w14:paraId="1C035464">
            <w:pPr>
              <w:rPr>
                <w:rFonts w:hint="eastAsia"/>
              </w:rPr>
            </w:pPr>
          </w:p>
        </w:tc>
      </w:tr>
      <w:tr w14:paraId="400C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1" w:hRule="atLeast"/>
          <w:jc w:val="center"/>
        </w:trPr>
        <w:tc>
          <w:tcPr>
            <w:tcW w:w="9645" w:type="dxa"/>
            <w:gridSpan w:val="5"/>
          </w:tcPr>
          <w:p w14:paraId="30A14E54">
            <w:pPr>
              <w:pStyle w:val="18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主要研究内容：</w:t>
            </w:r>
          </w:p>
          <w:p w14:paraId="10BA99BC">
            <w:pPr>
              <w:ind w:firstLine="420" w:firstLineChars="200"/>
            </w:pPr>
            <w:r>
              <w:rPr>
                <w:rFonts w:hint="eastAsia"/>
              </w:rPr>
              <w:t>无人车、RK3576 主机、相机、云台、定位、通信和车控接口的系统集成；</w:t>
            </w:r>
          </w:p>
          <w:p w14:paraId="281C7D7F">
            <w:pPr>
              <w:ind w:firstLine="420" w:firstLineChars="200"/>
            </w:pPr>
            <w:r>
              <w:rPr>
                <w:rFonts w:hint="eastAsia"/>
              </w:rPr>
              <w:t>基于 RK3576 的 Linux 边缘计算环境搭建及模型部署；</w:t>
            </w:r>
          </w:p>
          <w:p w14:paraId="47AD6D39">
            <w:pPr>
              <w:ind w:firstLine="420" w:firstLineChars="200"/>
            </w:pPr>
            <w:r>
              <w:rPr>
                <w:rFonts w:hint="eastAsia"/>
              </w:rPr>
              <w:t>目标检测、已知缺陷识别、未知异常检测和图像质量评价；</w:t>
            </w:r>
          </w:p>
          <w:p w14:paraId="0675BA15">
            <w:pPr>
              <w:ind w:firstLine="420" w:firstLineChars="200"/>
            </w:pPr>
            <w:r>
              <w:rPr>
                <w:rFonts w:hint="eastAsia"/>
              </w:rPr>
              <w:t>基于目标跟踪的异常目标持续锁定；</w:t>
            </w:r>
          </w:p>
          <w:p w14:paraId="602736AC">
            <w:pPr>
              <w:ind w:firstLine="420" w:firstLineChars="200"/>
            </w:pPr>
            <w:r>
              <w:rPr>
                <w:rFonts w:hint="eastAsia"/>
              </w:rPr>
              <w:t>主动复核状态机设计，实现停车、居中、变焦、多角度补拍和恢复巡检路线；</w:t>
            </w:r>
          </w:p>
          <w:p w14:paraId="6F668E70">
            <w:pPr>
              <w:ind w:firstLine="420" w:firstLineChars="200"/>
            </w:pPr>
            <w:r>
              <w:rPr>
                <w:rFonts w:hint="eastAsia"/>
              </w:rPr>
              <w:t>巡检事件证据包、离线缓存、告警分级和远程上传；</w:t>
            </w:r>
          </w:p>
          <w:p w14:paraId="706BBD81">
            <w:pPr>
              <w:ind w:firstLine="420" w:firstLineChars="200"/>
            </w:pPr>
            <w:r>
              <w:rPr>
                <w:rFonts w:hint="eastAsia"/>
              </w:rPr>
              <w:t>云端人工复核、模型版本管理和巡检结果闭环；</w:t>
            </w:r>
          </w:p>
          <w:p w14:paraId="16BD360A">
            <w:pPr>
              <w:ind w:firstLine="420" w:firstLineChars="200"/>
            </w:pPr>
            <w:r>
              <w:rPr>
                <w:rFonts w:hint="eastAsia"/>
              </w:rPr>
              <w:t>系统实时性、识别效果、网络中断降级和运行稳定性测试。</w:t>
            </w:r>
          </w:p>
          <w:p w14:paraId="1BA8AD0D">
            <w:pPr>
              <w:ind w:firstLine="420" w:firstLineChars="200"/>
            </w:pPr>
            <w:r>
              <w:rPr>
                <w:rFonts w:hint="eastAsia"/>
              </w:rPr>
              <w:t>本课题存在边缘算力与模型复杂度、识别准确率与实时性、图像分辨率与存储/传输带宽、主动补拍效果与车辆安全等相互制约的指标，要求学生在方案设计中明确取舍。</w:t>
            </w:r>
          </w:p>
          <w:p w14:paraId="2D886D05">
            <w:pPr>
              <w:pStyle w:val="23"/>
              <w:ind w:firstLineChars="0"/>
              <w:rPr>
                <w:szCs w:val="21"/>
              </w:rPr>
            </w:pPr>
          </w:p>
          <w:p w14:paraId="65CB3713">
            <w:pPr>
              <w:pStyle w:val="23"/>
              <w:ind w:firstLineChars="0"/>
              <w:rPr>
                <w:rFonts w:hint="eastAsia"/>
                <w:szCs w:val="21"/>
              </w:rPr>
            </w:pPr>
          </w:p>
        </w:tc>
      </w:tr>
      <w:tr w14:paraId="65E1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8" w:hRule="atLeast"/>
          <w:jc w:val="center"/>
        </w:trPr>
        <w:tc>
          <w:tcPr>
            <w:tcW w:w="9645" w:type="dxa"/>
            <w:gridSpan w:val="5"/>
          </w:tcPr>
          <w:p w14:paraId="4457C254">
            <w:pPr>
              <w:pStyle w:val="18"/>
              <w:rPr>
                <w:rFonts w:hint="eastAsia"/>
              </w:rPr>
            </w:pPr>
            <w:r>
              <w:rPr>
                <w:rFonts w:hint="eastAsia"/>
              </w:rPr>
              <w:t>课程设计的基本要求：</w:t>
            </w:r>
          </w:p>
          <w:p w14:paraId="75C6F4D7">
            <w:pPr>
              <w:pStyle w:val="1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开发工具：</w:t>
            </w:r>
          </w:p>
          <w:p w14:paraId="3E22CA30">
            <w:pPr>
              <w:ind w:firstLine="420" w:firstLineChars="200"/>
            </w:pPr>
            <w:r>
              <w:rPr>
                <w:rFonts w:hint="eastAsia"/>
              </w:rPr>
              <w:t>RK3576 开发板或工控主机、Linux、Python/C++、YOLO 系列模型、MobileNet、EfficientAD 或 PaDiM、ByteTrack、OpenCV 及相关推理框架。</w:t>
            </w:r>
          </w:p>
          <w:p w14:paraId="196EA62B">
            <w:pPr>
              <w:pStyle w:val="1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选题时应具备的基础</w:t>
            </w:r>
          </w:p>
          <w:p w14:paraId="6F3D1343">
            <w:pPr>
              <w:ind w:firstLine="420" w:firstLineChars="200"/>
            </w:pPr>
            <w:r>
              <w:rPr>
                <w:rFonts w:hint="eastAsia"/>
              </w:rPr>
              <w:t>Linux 嵌入式系统、机器视觉与深度学习基础、边缘推理部署、车控通信接口、云平台基础。</w:t>
            </w:r>
          </w:p>
          <w:p w14:paraId="4D69BB4D">
            <w:pPr>
              <w:pStyle w:val="1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任务分工</w:t>
            </w:r>
          </w:p>
          <w:p w14:paraId="0ECB6474">
            <w:pPr>
              <w:ind w:firstLine="420" w:firstLineChars="200"/>
            </w:pPr>
            <w:r>
              <w:rPr>
                <w:rFonts w:hint="eastAsia"/>
              </w:rPr>
              <w:t>建议 4 人组成团队，分别负责硬件与接口集成、边缘 AI 算法、主动复核与云台控制、云端平台与测试评价。AI 模块只能向车辆控制层发送“暂停巡检”“低速前进”“移动至观察点”“云台转向/变焦”“恢复路线”等高层指令，不得直接控制车辆转向、电机扭矩或制动力。各模块负责人需与其他模块保持接口对接和进度同步，定期开展组内讨论、交叉检查接口和进度，遇到分歧时协商解决。</w:t>
            </w:r>
          </w:p>
          <w:p w14:paraId="6FD7EFB2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参考资料：</w:t>
            </w:r>
          </w:p>
          <w:p w14:paraId="516B762C">
            <w:pPr>
              <w:ind w:firstLine="420" w:firstLineChars="200"/>
            </w:pPr>
            <w:r>
              <w:rPr>
                <w:rFonts w:hint="eastAsia"/>
              </w:rPr>
              <w:t>RK3576 芯片数据手册及 RKNN 模型部署文档；YOLO 系列目标检测相关论文与开源实现；ByteTrack 多目标跟踪论文；EfficientAD、PaDiM 等异常检测论文；无人车/移动机器人安全规范及 ROS 等机器人开发资料。</w:t>
            </w:r>
          </w:p>
        </w:tc>
      </w:tr>
      <w:tr w14:paraId="14EA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8" w:hRule="atLeast"/>
          <w:jc w:val="center"/>
        </w:trPr>
        <w:tc>
          <w:tcPr>
            <w:tcW w:w="9645" w:type="dxa"/>
            <w:gridSpan w:val="5"/>
          </w:tcPr>
          <w:p w14:paraId="11F8978B">
            <w:pPr>
              <w:pStyle w:val="18"/>
            </w:pPr>
            <w:r>
              <w:rPr>
                <w:rFonts w:hint="eastAsia"/>
              </w:rPr>
              <w:t>课题管理与进度安排：</w:t>
            </w:r>
          </w:p>
          <w:p w14:paraId="08DA5A6F">
            <w:pPr>
              <w:ind w:firstLine="420" w:firstLineChars="200"/>
            </w:pPr>
          </w:p>
          <w:p w14:paraId="3BCC0ADF">
            <w:pPr>
              <w:ind w:firstLine="420" w:firstLineChars="200"/>
            </w:pPr>
            <w:r>
              <w:rPr>
                <w:rFonts w:hint="eastAsia"/>
              </w:rPr>
              <w:t>本课题采用项目式管理，课程负责人与命题教师总负责，每团队设组长1人，组员若干。团队内部分工协作，定期讨论，按课程</w:t>
            </w:r>
            <w:r>
              <w:rPr>
                <w:rFonts w:ascii="宋体" w:hAnsi="宋体"/>
                <w:sz w:val="19"/>
              </w:rPr>
              <w:t>时间安排、阶段划分、进度管理</w:t>
            </w:r>
            <w:r>
              <w:rPr>
                <w:rFonts w:hint="eastAsia" w:ascii="宋体" w:hAnsi="宋体"/>
                <w:sz w:val="19"/>
              </w:rPr>
              <w:t>完成课题设计任务。具体时间进度安排如下：</w:t>
            </w:r>
          </w:p>
          <w:p w14:paraId="1DC9EFD8">
            <w:pPr>
              <w:rPr>
                <w:rFonts w:hint="eastAsia"/>
              </w:rPr>
            </w:pP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42"/>
              <w:gridCol w:w="1560"/>
              <w:gridCol w:w="5528"/>
            </w:tblGrid>
            <w:tr w14:paraId="01B070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42" w:type="dxa"/>
                  <w:shd w:val="clear" w:color="auto" w:fill="auto"/>
                </w:tcPr>
                <w:p w14:paraId="6702FB59">
                  <w:pPr>
                    <w:widowControl/>
                    <w:adjustRightInd w:val="0"/>
                    <w:snapToGrid w:val="0"/>
                    <w:jc w:val="center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阶段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787162EA">
                  <w:pPr>
                    <w:widowControl/>
                    <w:adjustRightInd w:val="0"/>
                    <w:snapToGrid w:val="0"/>
                    <w:jc w:val="center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时间</w:t>
                  </w:r>
                </w:p>
              </w:tc>
              <w:tc>
                <w:tcPr>
                  <w:tcW w:w="5528" w:type="dxa"/>
                  <w:shd w:val="clear" w:color="auto" w:fill="auto"/>
                </w:tcPr>
                <w:p w14:paraId="30ECA631">
                  <w:pPr>
                    <w:widowControl/>
                    <w:adjustRightInd w:val="0"/>
                    <w:snapToGrid w:val="0"/>
                    <w:jc w:val="left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主要工作内容</w:t>
                  </w:r>
                </w:p>
              </w:tc>
            </w:tr>
            <w:tr w14:paraId="1B9513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42" w:type="dxa"/>
                  <w:shd w:val="clear" w:color="auto" w:fill="auto"/>
                </w:tcPr>
                <w:p w14:paraId="68EA2198">
                  <w:pPr>
                    <w:widowControl/>
                    <w:adjustRightInd w:val="0"/>
                    <w:snapToGrid w:val="0"/>
                    <w:jc w:val="center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开题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7917C612">
                  <w:pPr>
                    <w:widowControl/>
                    <w:adjustRightInd w:val="0"/>
                    <w:snapToGrid w:val="0"/>
                    <w:jc w:val="center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hint="eastAsia" w:ascii="Segoe UI" w:hAnsi="Segoe UI" w:cs="Segoe UI"/>
                      <w:kern w:val="0"/>
                      <w:szCs w:val="21"/>
                    </w:rPr>
                    <w:t>第1周</w:t>
                  </w:r>
                </w:p>
              </w:tc>
              <w:tc>
                <w:tcPr>
                  <w:tcW w:w="5528" w:type="dxa"/>
                  <w:shd w:val="clear" w:color="auto" w:fill="auto"/>
                </w:tcPr>
                <w:p w14:paraId="20168911">
                  <w:pPr>
                    <w:widowControl/>
                    <w:adjustRightInd w:val="0"/>
                    <w:snapToGrid w:val="0"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需求分析、方案比选、技术路线论证</w:t>
                  </w:r>
                </w:p>
              </w:tc>
            </w:tr>
            <w:tr w14:paraId="57E48D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42" w:type="dxa"/>
                  <w:shd w:val="clear" w:color="auto" w:fill="auto"/>
                </w:tcPr>
                <w:p w14:paraId="411F327A">
                  <w:pPr>
                    <w:widowControl/>
                    <w:adjustRightInd w:val="0"/>
                    <w:snapToGrid w:val="0"/>
                    <w:jc w:val="center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中期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64E03920">
                  <w:pPr>
                    <w:widowControl/>
                    <w:adjustRightInd w:val="0"/>
                    <w:snapToGrid w:val="0"/>
                    <w:jc w:val="center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hint="eastAsia" w:ascii="Segoe UI" w:hAnsi="Segoe UI" w:cs="Segoe UI"/>
                      <w:kern w:val="0"/>
                      <w:szCs w:val="21"/>
                    </w:rPr>
                    <w:t>第2周</w:t>
                  </w:r>
                </w:p>
              </w:tc>
              <w:tc>
                <w:tcPr>
                  <w:tcW w:w="5528" w:type="dxa"/>
                  <w:shd w:val="clear" w:color="auto" w:fill="auto"/>
                </w:tcPr>
                <w:p w14:paraId="08FC736B">
                  <w:pPr>
                    <w:widowControl/>
                    <w:adjustRightInd w:val="0"/>
                    <w:snapToGrid w:val="0"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系统搭建、</w:t>
                  </w:r>
                  <w:r>
                    <w:rPr>
                      <w:rFonts w:hint="eastAsia" w:ascii="Segoe UI" w:hAnsi="Segoe UI" w:cs="Segoe UI"/>
                      <w:kern w:val="0"/>
                      <w:szCs w:val="21"/>
                    </w:rPr>
                    <w:t>阶段检查、接口联调</w:t>
                  </w:r>
                </w:p>
              </w:tc>
            </w:tr>
            <w:tr w14:paraId="625500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42" w:type="dxa"/>
                  <w:shd w:val="clear" w:color="auto" w:fill="auto"/>
                </w:tcPr>
                <w:p w14:paraId="76222CE5">
                  <w:pPr>
                    <w:widowControl/>
                    <w:adjustRightInd w:val="0"/>
                    <w:snapToGrid w:val="0"/>
                    <w:jc w:val="center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结题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8214B73">
                  <w:pPr>
                    <w:widowControl/>
                    <w:adjustRightInd w:val="0"/>
                    <w:snapToGrid w:val="0"/>
                    <w:ind w:firstLine="210" w:firstLineChars="100"/>
                    <w:jc w:val="center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hint="eastAsia" w:ascii="Segoe UI" w:hAnsi="Segoe UI" w:cs="Segoe UI"/>
                      <w:kern w:val="0"/>
                      <w:szCs w:val="21"/>
                      <w:lang w:val="en-US" w:eastAsia="zh-CN"/>
                    </w:rPr>
                    <w:t>第</w:t>
                  </w:r>
                  <w:bookmarkStart w:id="0" w:name="_GoBack"/>
                  <w:bookmarkEnd w:id="0"/>
                  <w:r>
                    <w:rPr>
                      <w:rFonts w:hint="eastAsia" w:ascii="Segoe UI" w:hAnsi="Segoe UI" w:cs="Segoe UI"/>
                      <w:kern w:val="0"/>
                      <w:szCs w:val="21"/>
                    </w:rPr>
                    <w:t>3-4周</w:t>
                  </w:r>
                </w:p>
              </w:tc>
              <w:tc>
                <w:tcPr>
                  <w:tcW w:w="5528" w:type="dxa"/>
                  <w:shd w:val="clear" w:color="auto" w:fill="auto"/>
                </w:tcPr>
                <w:p w14:paraId="505830CD">
                  <w:pPr>
                    <w:widowControl/>
                    <w:adjustRightInd w:val="0"/>
                    <w:snapToGrid w:val="0"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整体调试、答辩总结</w:t>
                  </w:r>
                </w:p>
              </w:tc>
            </w:tr>
          </w:tbl>
          <w:p w14:paraId="720FEB30"/>
          <w:p w14:paraId="67BE91C3">
            <w:pPr>
              <w:rPr>
                <w:rFonts w:hint="eastAsia"/>
              </w:rPr>
            </w:pPr>
          </w:p>
        </w:tc>
      </w:tr>
    </w:tbl>
    <w:p w14:paraId="0FBF25BE">
      <w:pPr>
        <w:rPr>
          <w:rFonts w:hint="eastAsia"/>
        </w:rPr>
      </w:pPr>
    </w:p>
    <w:sectPr>
      <w:pgSz w:w="11906" w:h="16838"/>
      <w:pgMar w:top="1616" w:right="1843" w:bottom="1616" w:left="184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101DC1"/>
    <w:multiLevelType w:val="multilevel"/>
    <w:tmpl w:val="3E101DC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E44"/>
    <w:rsid w:val="0007322B"/>
    <w:rsid w:val="000D7E38"/>
    <w:rsid w:val="00127E47"/>
    <w:rsid w:val="001A3A8D"/>
    <w:rsid w:val="00240A78"/>
    <w:rsid w:val="002838B9"/>
    <w:rsid w:val="002953E3"/>
    <w:rsid w:val="002C239F"/>
    <w:rsid w:val="002E10C7"/>
    <w:rsid w:val="003155BE"/>
    <w:rsid w:val="00320476"/>
    <w:rsid w:val="00364654"/>
    <w:rsid w:val="00513D76"/>
    <w:rsid w:val="005F6821"/>
    <w:rsid w:val="006616D6"/>
    <w:rsid w:val="0068586E"/>
    <w:rsid w:val="00711824"/>
    <w:rsid w:val="00713E5F"/>
    <w:rsid w:val="00844595"/>
    <w:rsid w:val="008B0422"/>
    <w:rsid w:val="008F4E3E"/>
    <w:rsid w:val="009531A9"/>
    <w:rsid w:val="00967893"/>
    <w:rsid w:val="009C3AAD"/>
    <w:rsid w:val="00A03767"/>
    <w:rsid w:val="00A03FA2"/>
    <w:rsid w:val="00A82C57"/>
    <w:rsid w:val="00AE4886"/>
    <w:rsid w:val="00B47FB0"/>
    <w:rsid w:val="00C0073B"/>
    <w:rsid w:val="00C2003C"/>
    <w:rsid w:val="00C75C30"/>
    <w:rsid w:val="00C8518A"/>
    <w:rsid w:val="00C9323C"/>
    <w:rsid w:val="00CC41D7"/>
    <w:rsid w:val="00CD7D30"/>
    <w:rsid w:val="00D04285"/>
    <w:rsid w:val="00D47564"/>
    <w:rsid w:val="00D53E44"/>
    <w:rsid w:val="00D8575F"/>
    <w:rsid w:val="00DA6F15"/>
    <w:rsid w:val="00DE51E8"/>
    <w:rsid w:val="00E35E30"/>
    <w:rsid w:val="00E53C44"/>
    <w:rsid w:val="00EA70B4"/>
    <w:rsid w:val="00EC65AE"/>
    <w:rsid w:val="00F14970"/>
    <w:rsid w:val="00F161A2"/>
    <w:rsid w:val="07BE6EB3"/>
    <w:rsid w:val="081E19B7"/>
    <w:rsid w:val="0BF80F3F"/>
    <w:rsid w:val="1DC339CA"/>
    <w:rsid w:val="24DC51E5"/>
    <w:rsid w:val="28D44B2A"/>
    <w:rsid w:val="2E537923"/>
    <w:rsid w:val="44DC200F"/>
    <w:rsid w:val="63283F6D"/>
    <w:rsid w:val="6801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ascii="Calibri Light" w:hAnsi="Calibri Light" w:eastAsia="黑体"/>
      <w:sz w:val="20"/>
      <w:szCs w:val="20"/>
    </w:rPr>
  </w:style>
  <w:style w:type="paragraph" w:styleId="4">
    <w:name w:val="Body Text Indent"/>
    <w:basedOn w:val="1"/>
    <w:uiPriority w:val="0"/>
    <w:pPr>
      <w:autoSpaceDE w:val="0"/>
      <w:autoSpaceDN w:val="0"/>
      <w:spacing w:line="360" w:lineRule="auto"/>
      <w:ind w:left="178" w:leftChars="85" w:firstLine="665" w:firstLineChars="277"/>
      <w:textAlignment w:val="bottom"/>
    </w:pPr>
    <w:rPr>
      <w:sz w:val="24"/>
      <w:szCs w:val="21"/>
    </w:rPr>
  </w:style>
  <w:style w:type="paragraph" w:styleId="5">
    <w:name w:val="footer"/>
    <w:basedOn w:val="1"/>
    <w:link w:val="2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Theme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样式 宋体"/>
    <w:qFormat/>
    <w:uiPriority w:val="0"/>
    <w:rPr>
      <w:rFonts w:ascii="Times New Roman" w:hAnsi="Times New Roman"/>
    </w:rPr>
  </w:style>
  <w:style w:type="character" w:customStyle="1" w:styleId="11">
    <w:name w:val="datatitle1"/>
    <w:uiPriority w:val="0"/>
    <w:rPr>
      <w:b/>
      <w:bCs/>
      <w:color w:val="10619F"/>
      <w:sz w:val="23"/>
      <w:szCs w:val="23"/>
    </w:rPr>
  </w:style>
  <w:style w:type="paragraph" w:customStyle="1" w:styleId="12">
    <w:name w:val="英文参考文献"/>
    <w:basedOn w:val="1"/>
    <w:next w:val="1"/>
    <w:uiPriority w:val="0"/>
    <w:pPr>
      <w:spacing w:line="300" w:lineRule="auto"/>
      <w:ind w:left="420" w:hanging="420" w:hangingChars="200"/>
    </w:pPr>
  </w:style>
  <w:style w:type="paragraph" w:customStyle="1" w:styleId="13">
    <w:name w:val="任务书表格标注"/>
    <w:basedOn w:val="1"/>
    <w:next w:val="1"/>
    <w:qFormat/>
    <w:uiPriority w:val="0"/>
  </w:style>
  <w:style w:type="paragraph" w:customStyle="1" w:styleId="14">
    <w:name w:val="任务书表格表头"/>
    <w:basedOn w:val="1"/>
    <w:next w:val="1"/>
    <w:qFormat/>
    <w:uiPriority w:val="0"/>
    <w:pPr>
      <w:jc w:val="center"/>
    </w:pPr>
    <w:rPr>
      <w:b/>
      <w:szCs w:val="21"/>
    </w:rPr>
  </w:style>
  <w:style w:type="paragraph" w:customStyle="1" w:styleId="15">
    <w:name w:val="参考文献"/>
    <w:basedOn w:val="1"/>
    <w:qFormat/>
    <w:uiPriority w:val="0"/>
    <w:pPr>
      <w:spacing w:line="300" w:lineRule="auto"/>
    </w:pPr>
    <w:rPr>
      <w:szCs w:val="21"/>
    </w:rPr>
  </w:style>
  <w:style w:type="paragraph" w:customStyle="1" w:styleId="16">
    <w:name w:val="任务书表格标题"/>
    <w:basedOn w:val="1"/>
    <w:next w:val="1"/>
    <w:qFormat/>
    <w:uiPriority w:val="0"/>
    <w:pPr>
      <w:spacing w:line="300" w:lineRule="auto"/>
      <w:jc w:val="center"/>
    </w:pPr>
    <w:rPr>
      <w:rFonts w:ascii="黑体" w:eastAsia="黑体"/>
      <w:b/>
      <w:sz w:val="30"/>
      <w:szCs w:val="30"/>
    </w:rPr>
  </w:style>
  <w:style w:type="paragraph" w:customStyle="1" w:styleId="17">
    <w:name w:val="中文参考文献"/>
    <w:basedOn w:val="1"/>
    <w:next w:val="1"/>
    <w:uiPriority w:val="0"/>
    <w:pPr>
      <w:spacing w:line="300" w:lineRule="auto"/>
    </w:pPr>
  </w:style>
  <w:style w:type="paragraph" w:customStyle="1" w:styleId="18">
    <w:name w:val="任务书表格短文标题"/>
    <w:basedOn w:val="1"/>
    <w:next w:val="1"/>
    <w:qFormat/>
    <w:uiPriority w:val="0"/>
    <w:rPr>
      <w:b/>
      <w:szCs w:val="21"/>
    </w:rPr>
  </w:style>
  <w:style w:type="paragraph" w:customStyle="1" w:styleId="19">
    <w:name w:val="任务书表格内容"/>
    <w:basedOn w:val="1"/>
    <w:next w:val="1"/>
    <w:qFormat/>
    <w:uiPriority w:val="0"/>
  </w:style>
  <w:style w:type="character" w:customStyle="1" w:styleId="2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2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22">
    <w:name w:val="标题 2 字符"/>
    <w:link w:val="2"/>
    <w:qFormat/>
    <w:uiPriority w:val="9"/>
    <w:rPr>
      <w:rFonts w:ascii="Calibri Light" w:hAnsi="Calibri Light"/>
      <w:b/>
      <w:bCs/>
      <w:kern w:val="2"/>
      <w:sz w:val="32"/>
      <w:szCs w:val="32"/>
    </w:rPr>
  </w:style>
  <w:style w:type="paragraph" w:customStyle="1" w:styleId="23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青岛科技大学</Company>
  <Pages>2</Pages>
  <Words>1605</Words>
  <Characters>1750</Characters>
  <Lines>37</Lines>
  <Paragraphs>45</Paragraphs>
  <TotalTime>11</TotalTime>
  <ScaleCrop>false</ScaleCrop>
  <LinksUpToDate>false</LinksUpToDate>
  <CharactersWithSpaces>1829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2026-07-29T01:45:00Z</dcterms:created>
  <dc:creator>庄国涛</dc:creator>
  <cp:lastModifiedBy>陈震</cp:lastModifiedBy>
  <cp:lastPrinted>2006-04-19T09:18:00Z</cp:lastPrinted>
  <dcterms:modified xsi:type="dcterms:W3CDTF">2026-08-20T06:27:12Z</dcterms:modified>
  <dc:title>青岛科技大学本科毕业设计(论文)任务书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eyJoZGlkIjoiYzBkNTgxZjQ4ZmRiOWIzN2VlMDAyOGIyZWQzZGY0ZTYiLCJ1c2VySWQiOiIxMDA3NTIyOTExIn0=</vt:lpwstr>
  </property>
  <property fmtid="{D5CDD505-2E9C-101B-9397-08002B2CF9AE}" pid="5" name="ICV">
    <vt:lpwstr>99996A2C5B8C4DD8B75C0A9D17832C84_12</vt:lpwstr>
  </property>
</Properties>
</file>