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bidi w:val="1"/>
        <w:spacing w:after="90" w:line="300" w:lineRule="auto"/>
      </w:pPr>
      <w:r>
        <w:rPr>
          <w:rFonts w:ascii="Noto Naskh Arabic" w:hAnsi="Noto Naskh Arabic" w:cs="Noto Naskh Arabic"/>
          <w:b/>
          <w:sz w:val="48"/>
        </w:rPr>
        <w:t>الدليل التشغيلي والمنهجي</w:t>
      </w:r>
    </w:p>
    <w:p>
      <w:pPr>
        <w:jc w:val="center"/>
        <w:bidi w:val="1"/>
        <w:spacing w:after="90" w:line="300" w:lineRule="auto"/>
      </w:pPr>
      <w:r>
        <w:rPr>
          <w:rFonts w:ascii="Noto Naskh Arabic" w:hAnsi="Noto Naskh Arabic" w:cs="Noto Naskh Arabic"/>
          <w:b/>
          <w:sz w:val="42"/>
        </w:rPr>
        <w:t>للمنصة السورية لإدارة وجدولة الري</w:t>
      </w:r>
    </w:p>
    <w:p>
      <w:pPr>
        <w:jc w:val="center"/>
        <w:bidi w:val="1"/>
        <w:spacing w:after="90" w:line="300" w:lineRule="auto"/>
      </w:pPr>
      <w:r>
        <w:rPr>
          <w:rFonts w:ascii="Noto Naskh Arabic" w:hAnsi="Noto Naskh Arabic" w:cs="Noto Naskh Arabic"/>
          <w:b w:val="0"/>
          <w:sz w:val="28"/>
        </w:rPr>
        <w:t>منصة وطنية مبنية على الموازنة المائية في التربة والتكامل المكاني والزمني للبيانات</w:t>
      </w:r>
    </w:p>
    <w:p/>
    <w:p/>
    <w:tbl>
      <w:tblPr>
        <w:tblW w:type="auto" w:w="0"/>
        <w:jc w:val="center"/>
        <w:tblLayout w:type="autofit"/>
        <w:tblLook w:firstColumn="1" w:firstRow="1" w:lastColumn="0" w:lastRow="0" w:noHBand="0" w:noVBand="1" w:val="04A0"/>
      </w:tblPr>
      <w:tblGrid>
        <w:gridCol w:w="9866"/>
      </w:tblGrid>
      <w:tr>
        <w:trPr>
          <w:tblHeader w:val="true"/>
        </w:trPr>
        <w:tc>
          <w:tcPr>
            <w:tcW w:type="dxa" w:w="9866"/>
            <w:shd w:fill="F2F2F2"/>
            <w:tcMar>
              <w:top w:w="120" w:type="dxa"/>
              <w:start w:w="140" w:type="dxa"/>
              <w:bottom w:w="120" w:type="dxa"/>
              <w:end w:w="140" w:type="dxa"/>
            </w:tcMar>
          </w:tcPr>
          <w:p>
            <w:r>
              <w:t>إصدار العمل 0.7 — إضافة مدير تنزيل NASA POWER: الطلب النقطي متعدد البارامترات، والتنزيل الإقليمي متعدد الطلبات مع الدمج الآلي حسب Latitude + Longitude + Date، ومراقبة التقدم وفحص اتساق الشبكة قبل QC.</w:t>
            </w:r>
          </w:p>
        </w:tc>
      </w:tr>
    </w:tbl>
    <w:p/>
    <w:p>
      <w:pPr>
        <w:jc w:val="center"/>
        <w:bidi w:val="1"/>
        <w:spacing w:after="90" w:line="300" w:lineRule="auto"/>
      </w:pPr>
      <w:r>
        <w:rPr>
          <w:rFonts w:ascii="Noto Naskh Arabic" w:hAnsi="Noto Naskh Arabic" w:cs="Noto Naskh Arabic"/>
          <w:b/>
          <w:sz w:val="24"/>
        </w:rPr>
        <w:t>16 تشرين الأول 2026</w:t>
      </w:r>
    </w:p>
    <w:p>
      <w:r>
        <w:br w:type="page"/>
      </w:r>
    </w:p>
    <w:p>
      <w:pPr>
        <w:jc w:val="right"/>
        <w:keepNext/>
        <w:bidi w:val="1"/>
        <w:spacing w:after="80" w:line="300" w:lineRule="auto" w:before="160"/>
        <w:keepNext/>
      </w:pPr>
      <w:r>
        <w:rPr>
          <w:rFonts w:ascii="Noto Naskh Arabic" w:hAnsi="Noto Naskh Arabic" w:cs="Noto Naskh Arabic"/>
          <w:b/>
          <w:color w:val="262626"/>
          <w:sz w:val="32"/>
        </w:rPr>
        <w:t>1. غاية الدليل وحالة الوثيقة</w:t>
      </w:r>
    </w:p>
    <w:p>
      <w:pPr>
        <w:jc w:val="right"/>
        <w:bidi w:val="1"/>
        <w:spacing w:after="100" w:line="300" w:lineRule="auto"/>
      </w:pPr>
      <w:r>
        <w:rPr>
          <w:rFonts w:ascii="Noto Naskh Arabic" w:hAnsi="Noto Naskh Arabic" w:cs="Noto Naskh Arabic"/>
          <w:b w:val="0"/>
          <w:sz w:val="24"/>
        </w:rPr>
        <w:t>يُعد هذا الدليل الوثيقة المرجعية الحية للمنصة السورية لإدارة وجدولة الري. ويهدف إلى توثيق فلسفة المنصة، وتسلسل المنهجية، والمعادلات المعتمدة، ومصادر البيانات، وقواعد الجودة والمعايرة والتحقق، والمخرجات، والقرارات المعمارية البرمجية، ومراحل التطور. ويُحدَّث بالتوازي مع تطوير المنصة بحيث لا تُعتمد وظيفة أو معادلة أو بنية بيانات جديدة دون توثيقها.</w:t>
      </w:r>
    </w:p>
    <w:p>
      <w:pPr>
        <w:jc w:val="right"/>
        <w:bidi w:val="1"/>
        <w:spacing w:after="100" w:line="300" w:lineRule="auto"/>
      </w:pPr>
      <w:r>
        <w:rPr>
          <w:rFonts w:ascii="Noto Naskh Arabic" w:hAnsi="Noto Naskh Arabic" w:cs="Noto Naskh Arabic"/>
          <w:b w:val="0"/>
          <w:sz w:val="24"/>
        </w:rPr>
        <w:t>يعتمد الدليل مبدأ الفصل بين: (أ) قرار معتمد، (ب) خيار مسموح قيد التقييم، (ج) خوارزمية قيد التطوير/التحقق. ويجب أن يبقى مصدر كل قيمة وطريقة حسابها وإصدار الخوارزمية قابلاً للتتبع.</w:t>
      </w:r>
    </w:p>
    <w:p>
      <w:pPr>
        <w:jc w:val="right"/>
        <w:keepNext/>
        <w:bidi w:val="1"/>
        <w:spacing w:after="80" w:line="300" w:lineRule="auto" w:before="100"/>
        <w:keepNext/>
      </w:pPr>
      <w:r>
        <w:rPr>
          <w:rFonts w:ascii="Noto Naskh Arabic" w:hAnsi="Noto Naskh Arabic" w:cs="Noto Naskh Arabic"/>
          <w:b/>
          <w:color w:val="262626"/>
          <w:sz w:val="28"/>
        </w:rPr>
        <w:t>1.1 خلاصة مراجعة الإصدار 0.2</w:t>
      </w:r>
    </w:p>
    <w:p>
      <w:pPr>
        <w:ind w:left="0"/>
        <w:jc w:val="right"/>
        <w:bidi w:val="1"/>
        <w:spacing w:after="90" w:line="300" w:lineRule="auto"/>
      </w:pPr>
      <w:r>
        <w:rPr>
          <w:rFonts w:ascii="Noto Naskh Arabic" w:hAnsi="Noto Naskh Arabic" w:cs="Noto Naskh Arabic"/>
          <w:b w:val="0"/>
          <w:sz w:val="23"/>
        </w:rPr>
        <w:t>• نقل فصل «تطور الفكرة ومراحل البناء» إلى بداية الدليل ليشرح منطق المشروع قبل الدخول في التفاصيل الحسابية.</w:t>
      </w:r>
    </w:p>
    <w:p>
      <w:pPr>
        <w:ind w:left="0"/>
        <w:jc w:val="right"/>
        <w:bidi w:val="1"/>
        <w:spacing w:after="90" w:line="300" w:lineRule="auto"/>
      </w:pPr>
      <w:r>
        <w:rPr>
          <w:rFonts w:ascii="Noto Naskh Arabic" w:hAnsi="Noto Naskh Arabic" w:cs="Noto Naskh Arabic"/>
          <w:b w:val="0"/>
          <w:sz w:val="23"/>
        </w:rPr>
        <w:t>• إضافة فصل منهجي صريح يوضح تدفق البيانات وترتيب المصادر وقواعد عدم الخلط بين القياس والحساب والبيانات الشبكية والاستشعار عن بعد.</w:t>
      </w:r>
    </w:p>
    <w:p>
      <w:pPr>
        <w:ind w:left="0"/>
        <w:jc w:val="right"/>
        <w:bidi w:val="1"/>
        <w:spacing w:after="90" w:line="300" w:lineRule="auto"/>
      </w:pPr>
      <w:r>
        <w:rPr>
          <w:rFonts w:ascii="Noto Naskh Arabic" w:hAnsi="Noto Naskh Arabic" w:cs="Noto Naskh Arabic"/>
          <w:b w:val="0"/>
          <w:sz w:val="23"/>
        </w:rPr>
        <w:t>• تثبيت FAO Penman–Monteith (FAO-56) كالمعادلة القياسية الوحيدة لحساب ET₀ داخل المنصة، بصرف النظر عن مصدر البيانات المناخية.</w:t>
      </w:r>
    </w:p>
    <w:p>
      <w:pPr>
        <w:ind w:left="0"/>
        <w:jc w:val="right"/>
        <w:bidi w:val="1"/>
        <w:spacing w:after="90" w:line="300" w:lineRule="auto"/>
      </w:pPr>
      <w:r>
        <w:rPr>
          <w:rFonts w:ascii="Noto Naskh Arabic" w:hAnsi="Noto Naskh Arabic" w:cs="Noto Naskh Arabic"/>
          <w:b w:val="0"/>
          <w:sz w:val="23"/>
        </w:rPr>
        <w:t>• تثبيت ملف البيانات المناخية للنقطة/المحطة المرفوع بصيغة Excel أو CSV كالمصدر الأول لحساب ET₀، مع NASA POWER كخيار بديل عند التعذر.</w:t>
      </w:r>
    </w:p>
    <w:p>
      <w:pPr>
        <w:ind w:left="0"/>
        <w:jc w:val="right"/>
        <w:bidi w:val="1"/>
        <w:spacing w:after="90" w:line="300" w:lineRule="auto"/>
      </w:pPr>
      <w:r>
        <w:rPr>
          <w:rFonts w:ascii="Noto Naskh Arabic" w:hAnsi="Noto Naskh Arabic" w:cs="Noto Naskh Arabic"/>
          <w:b w:val="0"/>
          <w:sz w:val="23"/>
        </w:rPr>
        <w:t>• فصل ET₀ المرجعي بوضوح عن ETc القياسي، وETc,adj تحت الإجهاد، وAETI/ETa الناتج من منتجات الاستشعار عن بعد.</w:t>
      </w:r>
    </w:p>
    <w:p>
      <w:pPr>
        <w:ind w:left="0"/>
        <w:jc w:val="right"/>
        <w:bidi w:val="1"/>
        <w:spacing w:after="90" w:line="300" w:lineRule="auto"/>
      </w:pPr>
      <w:r>
        <w:rPr>
          <w:rFonts w:ascii="Noto Naskh Arabic" w:hAnsi="Noto Naskh Arabic" w:cs="Noto Naskh Arabic"/>
          <w:b w:val="0"/>
          <w:sz w:val="23"/>
        </w:rPr>
        <w:t>• إضافة مخرج وطني لخريطة سورية لقيم ET₀: رقم داخل دائرة فوق الموقع/المنطقة، مع إظهار التاريخ والمصدر ودرجة الثقة عند اعتمادها.</w:t>
      </w:r>
    </w:p>
    <w:p>
      <w:pPr>
        <w:ind w:left="0"/>
        <w:jc w:val="right"/>
        <w:bidi w:val="1"/>
        <w:spacing w:after="90" w:line="300" w:lineRule="auto"/>
      </w:pPr>
      <w:r>
        <w:rPr>
          <w:rFonts w:ascii="Noto Naskh Arabic" w:hAnsi="Noto Naskh Arabic" w:cs="Noto Naskh Arabic"/>
          <w:b w:val="0"/>
          <w:sz w:val="23"/>
        </w:rPr>
        <w:t>• توضيح أن NASA POWER مصدر شبكي يجمع بيانات إشعاعية مشتقة من الأقمار الصناعية مع بيانات أرصادية/إعادة تحليل؛ لذلك لا يُعامل كله على أنه قياس استشعار عن بعد مباشر.</w:t>
      </w:r>
    </w:p>
    <w:p>
      <w:pPr>
        <w:ind w:left="0"/>
        <w:jc w:val="right"/>
        <w:bidi w:val="1"/>
        <w:spacing w:after="90" w:line="300" w:lineRule="auto"/>
      </w:pPr>
      <w:r>
        <w:rPr>
          <w:rFonts w:ascii="Noto Naskh Arabic" w:hAnsi="Noto Naskh Arabic" w:cs="Noto Naskh Arabic"/>
          <w:b w:val="0"/>
          <w:sz w:val="23"/>
        </w:rPr>
        <w:t>• تثبيت عدم استخدام المطر الفعال Peff بالتوازي مع P وRO وDP داخل الموازنة نفسها بطريقة تؤدي إلى العد المزدوج؛ يختار المحرك اتفاقية واحدة معلنة.</w:t>
      </w:r>
    </w:p>
    <w:p>
      <w:pPr>
        <w:ind w:left="0"/>
        <w:jc w:val="right"/>
        <w:bidi w:val="1"/>
        <w:spacing w:after="90" w:line="300" w:lineRule="auto"/>
      </w:pPr>
      <w:r>
        <w:rPr>
          <w:rFonts w:ascii="Noto Naskh Arabic" w:hAnsi="Noto Naskh Arabic" w:cs="Noto Naskh Arabic"/>
          <w:b w:val="0"/>
          <w:sz w:val="23"/>
        </w:rPr>
        <w:t>• استبدال الحد التخطيطي في Prototype بحد وطني فعلي لسورية، وإضافة اختيار النطاق المكاني من الخريطة أو القائمة مع إبقاء حدود المحافظات الدقيقة ADM1 خطوة لاحقة مرتبطة بمصدر GIS موثوق.</w:t>
      </w:r>
    </w:p>
    <w:p>
      <w:pPr>
        <w:ind w:left="0"/>
        <w:jc w:val="right"/>
        <w:bidi w:val="1"/>
        <w:spacing w:after="90" w:line="300" w:lineRule="auto"/>
      </w:pPr>
      <w:r>
        <w:rPr>
          <w:rFonts w:ascii="Noto Naskh Arabic" w:hAnsi="Noto Naskh Arabic" w:cs="Noto Naskh Arabic"/>
          <w:b w:val="0"/>
          <w:sz w:val="23"/>
        </w:rPr>
        <w:t>• اعتماد قاعدة تسليم: كل ملف ZIP للمنصة يجب أن يتضمن أحدث نسخة من الدليل التشغيلي والمنهجي، إضافة إلى القوالب والملفات المساعدة ذات الصلة.</w:t>
      </w:r>
    </w:p>
    <w:p>
      <w:pPr>
        <w:ind w:left="0"/>
        <w:jc w:val="right"/>
        <w:bidi w:val="1"/>
        <w:spacing w:after="90" w:line="300" w:lineRule="auto"/>
      </w:pPr>
      <w:r>
        <w:rPr>
          <w:rFonts w:ascii="Noto Naskh Arabic" w:hAnsi="Noto Naskh Arabic" w:cs="Noto Naskh Arabic"/>
          <w:b w:val="0"/>
          <w:sz w:val="23"/>
        </w:rPr>
        <w:t>• اعتماد المعاينة البصرية كمرحلة رسمية في QC قبل اعتماد ملف المناخ: عرض السلسلة على محور زمني، تبديل المتغيرات، إظهار الفجوات/القيم المشكوك بها، ثم تأكيد المستخدم أنه راجع الرسم.</w:t>
      </w:r>
    </w:p>
    <w:p>
      <w:pPr>
        <w:jc w:val="right"/>
        <w:keepNext/>
        <w:bidi w:val="1"/>
        <w:spacing w:after="80" w:line="300" w:lineRule="auto" w:before="160"/>
        <w:keepNext/>
      </w:pPr>
      <w:r>
        <w:rPr>
          <w:rFonts w:ascii="Noto Naskh Arabic" w:hAnsi="Noto Naskh Arabic" w:cs="Noto Naskh Arabic"/>
          <w:b/>
          <w:color w:val="262626"/>
          <w:sz w:val="32"/>
        </w:rPr>
        <w:t>2. تطور الفكرة ومراحل البناء</w:t>
      </w:r>
    </w:p>
    <w:p>
      <w:pPr>
        <w:jc w:val="right"/>
        <w:keepNext/>
        <w:bidi w:val="1"/>
        <w:spacing w:after="80" w:line="300" w:lineRule="auto" w:before="100"/>
        <w:keepNext/>
      </w:pPr>
      <w:r>
        <w:rPr>
          <w:rFonts w:ascii="Noto Naskh Arabic" w:hAnsi="Noto Naskh Arabic" w:cs="Noto Naskh Arabic"/>
          <w:b/>
          <w:color w:val="262626"/>
          <w:sz w:val="28"/>
        </w:rPr>
        <w:t>2.1 نقطة البداية</w:t>
      </w:r>
    </w:p>
    <w:p>
      <w:pPr>
        <w:jc w:val="right"/>
        <w:bidi w:val="1"/>
        <w:spacing w:after="100" w:line="300" w:lineRule="auto"/>
      </w:pPr>
      <w:r>
        <w:rPr>
          <w:rFonts w:ascii="Noto Naskh Arabic" w:hAnsi="Noto Naskh Arabic" w:cs="Noto Naskh Arabic"/>
          <w:b w:val="0"/>
          <w:sz w:val="24"/>
        </w:rPr>
        <w:t>بدأت الفكرة كبرنامج لجدولة الري على مستوى الحقل اعتماداً على الموازنة المائية اليومية في منطقة الجذور، يجيب عن سؤالين تشغيليين: متى نروي؟ وكم نروي؟</w:t>
      </w:r>
    </w:p>
    <w:p>
      <w:pPr>
        <w:jc w:val="right"/>
        <w:keepNext/>
        <w:bidi w:val="1"/>
        <w:spacing w:after="80" w:line="300" w:lineRule="auto" w:before="100"/>
        <w:keepNext/>
      </w:pPr>
      <w:r>
        <w:rPr>
          <w:rFonts w:ascii="Noto Naskh Arabic" w:hAnsi="Noto Naskh Arabic" w:cs="Noto Naskh Arabic"/>
          <w:b/>
          <w:color w:val="262626"/>
          <w:sz w:val="28"/>
        </w:rPr>
        <w:t>2.2 التحول إلى منصة وطنية</w:t>
      </w:r>
    </w:p>
    <w:p>
      <w:pPr>
        <w:jc w:val="right"/>
        <w:bidi w:val="1"/>
        <w:spacing w:after="100" w:line="300" w:lineRule="auto"/>
      </w:pPr>
      <w:r>
        <w:rPr>
          <w:rFonts w:ascii="Noto Naskh Arabic" w:hAnsi="Noto Naskh Arabic" w:cs="Noto Naskh Arabic"/>
          <w:b w:val="0"/>
          <w:sz w:val="24"/>
        </w:rPr>
        <w:t>توسعت الفكرة لتصبح منصة سورية وطنية تعمل على مستوى الحقل والمنطقة الزراعية، وتجمع الطلب المائي، وتدير سيناريوهات الري الكامل والري الناقص ومحدودية الموارد، وتنتج خرائط مكانية لدعم القرار.</w:t>
      </w:r>
    </w:p>
    <w:p>
      <w:pPr>
        <w:jc w:val="right"/>
        <w:keepNext/>
        <w:bidi w:val="1"/>
        <w:spacing w:after="80" w:line="300" w:lineRule="auto" w:before="100"/>
        <w:keepNext/>
      </w:pPr>
      <w:r>
        <w:rPr>
          <w:rFonts w:ascii="Noto Naskh Arabic" w:hAnsi="Noto Naskh Arabic" w:cs="Noto Naskh Arabic"/>
          <w:b/>
          <w:color w:val="262626"/>
          <w:sz w:val="28"/>
        </w:rPr>
        <w:t>2.3 اعتماد المسار النقطي</w:t>
      </w:r>
    </w:p>
    <w:p>
      <w:pPr>
        <w:jc w:val="right"/>
        <w:bidi w:val="1"/>
        <w:spacing w:after="100" w:line="300" w:lineRule="auto"/>
      </w:pPr>
      <w:r>
        <w:rPr>
          <w:rFonts w:ascii="Noto Naskh Arabic" w:hAnsi="Noto Naskh Arabic" w:cs="Noto Naskh Arabic"/>
          <w:b w:val="0"/>
          <w:sz w:val="24"/>
        </w:rPr>
        <w:t>تم اعتماد المسار النقطي الزمني-المكاني كعنصر بنيوي أساسي: لكل حقل نقطة مرجعية واحدة أو أكثر، ولكل نقطة سلسلة زمنية يومية تربط المناخ والمحصول والطور الفينولوجي والتربة والموازنة المائية والقياسات ومصادر البيانات الشبكية والاستشعار عن بعد. هذا المسار هو الأساس المستقبلي لتكامل البيانات Data Fusion.</w:t>
      </w:r>
    </w:p>
    <w:p>
      <w:pPr>
        <w:jc w:val="right"/>
        <w:keepNext/>
        <w:bidi w:val="1"/>
        <w:spacing w:after="80" w:line="300" w:lineRule="auto" w:before="100"/>
        <w:keepNext/>
      </w:pPr>
      <w:r>
        <w:rPr>
          <w:rFonts w:ascii="Noto Naskh Arabic" w:hAnsi="Noto Naskh Arabic" w:cs="Noto Naskh Arabic"/>
          <w:b/>
          <w:color w:val="262626"/>
          <w:sz w:val="28"/>
        </w:rPr>
        <w:t>2.4 تطور مسار إدخال المناخ واعتماده</w:t>
      </w:r>
    </w:p>
    <w:p>
      <w:pPr>
        <w:jc w:val="right"/>
        <w:bidi w:val="1"/>
        <w:spacing w:after="100" w:line="300" w:lineRule="auto"/>
      </w:pPr>
      <w:r>
        <w:rPr>
          <w:rFonts w:ascii="Noto Naskh Arabic" w:hAnsi="Noto Naskh Arabic" w:cs="Noto Naskh Arabic"/>
          <w:b w:val="0"/>
          <w:sz w:val="24"/>
        </w:rPr>
        <w:t>انتقل تصور إدخال المناخ من رفع ملف بيانات فقط إلى دورة اعتماد كاملة داخل المنصة: تنزيل قالب قياسي، تعبئته، إعادة رفعه، التحقق من البنية والوحدات والاكتمال والاتساق، حساب ET₀، ثم عرض تقرير للمستخدم قبل تثبيت السلسلة كبيانات معتمدة. ويُحفظ لكل اعتماد رقم إصدار ومصدر وتاريخ اعتماد حتى تبقى السلسلة قابلة للتتبع.</w:t>
      </w:r>
    </w:p>
    <w:p>
      <w:pPr>
        <w:jc w:val="right"/>
        <w:keepNext/>
        <w:bidi w:val="1"/>
        <w:spacing w:after="80" w:line="300" w:lineRule="auto" w:before="100"/>
        <w:keepNext/>
      </w:pPr>
      <w:r>
        <w:rPr>
          <w:rFonts w:ascii="Noto Naskh Arabic" w:hAnsi="Noto Naskh Arabic" w:cs="Noto Naskh Arabic"/>
          <w:b/>
          <w:color w:val="262626"/>
          <w:sz w:val="28"/>
        </w:rPr>
        <w:t>2.5 تطور مراجعة البيانات إلى فحص بصري إلزامي</w:t>
      </w:r>
    </w:p>
    <w:p>
      <w:pPr>
        <w:jc w:val="right"/>
        <w:bidi w:val="1"/>
        <w:spacing w:after="100" w:line="300" w:lineRule="auto"/>
      </w:pPr>
      <w:r>
        <w:rPr>
          <w:rFonts w:ascii="Noto Naskh Arabic" w:hAnsi="Noto Naskh Arabic" w:cs="Noto Naskh Arabic"/>
          <w:b w:val="0"/>
          <w:sz w:val="24"/>
        </w:rPr>
        <w:t>أُضيفت مرحلة معاينة بصرية للسلسلة المناخية قبل الاعتماد. يعرض المحور الأفقي كامل الفترة المحملة، ويعرض المحور الرأسي المتغير المختار ووحدته. يستطيع المستخدم التبديل بين الحرارة وET₀ والرطوبة والرياح والإشعاع والمطر، وضبط الفترة والتجميع الزمني. لا يُفعّل زر «اعتماد البيانات» إلا بعد اجتياز QC والحساب وإقرار المستخدم بأنه راجع الرسم بصرياً.</w:t>
      </w:r>
    </w:p>
    <w:p>
      <w:pPr>
        <w:jc w:val="right"/>
        <w:keepNext/>
        <w:bidi w:val="1"/>
        <w:spacing w:after="80" w:line="300" w:lineRule="auto" w:before="100"/>
        <w:keepNext/>
      </w:pPr>
      <w:r>
        <w:rPr>
          <w:rFonts w:ascii="Noto Naskh Arabic" w:hAnsi="Noto Naskh Arabic" w:cs="Noto Naskh Arabic"/>
          <w:b/>
          <w:color w:val="262626"/>
          <w:sz w:val="28"/>
        </w:rPr>
        <w:t>2.6 تطور الفينولوجيا إلى محرك تنبؤ حراري</w:t>
      </w:r>
    </w:p>
    <w:p>
      <w:pPr>
        <w:jc w:val="right"/>
        <w:bidi w:val="1"/>
        <w:spacing w:after="100" w:line="300" w:lineRule="auto"/>
      </w:pPr>
      <w:r>
        <w:rPr>
          <w:rFonts w:ascii="Noto Naskh Arabic" w:hAnsi="Noto Naskh Arabic" w:cs="Noto Naskh Arabic"/>
          <w:b w:val="0"/>
          <w:sz w:val="24"/>
        </w:rPr>
        <w:t>لم يعد التراكم الحراري مجرد متغير مساعد لتحديد الطور، بل أصبح مساراً أساسياً سيُستخدم لاحقاً في التوقع: اقتراب الحاجة للري المرتبطة بالطور، توقيت مخاطر بعض الآفات، وتقدم تراكم الغلة أو مؤشرات النمو. لذلك تُبنى الوحدة منذ البداية لتدعم أكثر من مسار حراري دون افتراض أن محصولاً وآفةً أو صنفاً مختلفاً يشتركون بالضرورة في نفس Tbase أو Tupper أو نقطة بدء التراكم.</w:t>
      </w:r>
    </w:p>
    <w:p>
      <w:pPr>
        <w:jc w:val="right"/>
        <w:keepNext/>
        <w:bidi w:val="1"/>
        <w:spacing w:after="80" w:line="300" w:lineRule="auto" w:before="100"/>
        <w:keepNext/>
      </w:pPr>
      <w:r>
        <w:rPr>
          <w:rFonts w:ascii="Noto Naskh Arabic" w:hAnsi="Noto Naskh Arabic" w:cs="Noto Naskh Arabic"/>
          <w:b/>
          <w:color w:val="262626"/>
          <w:sz w:val="28"/>
        </w:rPr>
        <w:t>2.7 مراحل البناء البرمجي</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268"/>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المرحلة</w:t>
            </w:r>
          </w:p>
        </w:tc>
        <w:tc>
          <w:tcPr>
            <w:tcW w:type="dxa" w:w="3402"/>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التقنيات/المكوّن</w:t>
            </w:r>
          </w:p>
        </w:tc>
        <w:tc>
          <w:tcPr>
            <w:tcW w:type="dxa" w:w="4535"/>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الغاية</w:t>
            </w:r>
          </w:p>
        </w:tc>
      </w:tr>
      <w:tr>
        <w:tc>
          <w:tcPr>
            <w:tcW w:type="dxa" w:w="2268"/>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1. نموذج أولي</w:t>
            </w:r>
          </w:p>
        </w:tc>
        <w:tc>
          <w:tcPr>
            <w:tcW w:type="dxa" w:w="3402"/>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HTML + CSS + JavaScript + Leaflet</w:t>
            </w:r>
          </w:p>
        </w:tc>
        <w:tc>
          <w:tcPr>
            <w:tcW w:type="dxa" w:w="4535"/>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تثبيت تجربة الاستخدام والخريطة وسير العمل وبنية السجل.</w:t>
            </w:r>
          </w:p>
        </w:tc>
      </w:tr>
      <w:tr>
        <w:tc>
          <w:tcPr>
            <w:tcW w:type="dxa" w:w="2268"/>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2. المحرك العلمي</w:t>
            </w:r>
          </w:p>
        </w:tc>
        <w:tc>
          <w:tcPr>
            <w:tcW w:type="dxa" w:w="3402"/>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C-Sharp / .NET — مكتبة مستقلة</w:t>
            </w:r>
          </w:p>
        </w:tc>
        <w:tc>
          <w:tcPr>
            <w:tcW w:type="dxa" w:w="4535"/>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تجميع المعادلات والخوارزميات واختبارها بعيداً عن الواجهة.</w:t>
            </w:r>
          </w:p>
        </w:tc>
      </w:tr>
      <w:tr>
        <w:tc>
          <w:tcPr>
            <w:tcW w:type="dxa" w:w="2268"/>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3. المنصة المتكاملة</w:t>
            </w:r>
          </w:p>
        </w:tc>
        <w:tc>
          <w:tcPr>
            <w:tcW w:type="dxa" w:w="3402"/>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ASP.NET Core + Blazor + C-Sharp</w:t>
            </w:r>
          </w:p>
        </w:tc>
        <w:tc>
          <w:tcPr>
            <w:tcW w:type="dxa" w:w="4535"/>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تشغيل المنصة داخل Visual Studio مع إعادة استخدام المحرك العلمي.</w:t>
            </w:r>
          </w:p>
        </w:tc>
      </w:tr>
      <w:tr>
        <w:tc>
          <w:tcPr>
            <w:tcW w:type="dxa" w:w="2268"/>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4. التكامل المكاني والبياني</w:t>
            </w:r>
          </w:p>
        </w:tc>
        <w:tc>
          <w:tcPr>
            <w:tcW w:type="dxa" w:w="3402"/>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GIS + WaPOR + Sentinel + NASA POWER + قواعد مكانية</w:t>
            </w:r>
          </w:p>
        </w:tc>
        <w:tc>
          <w:tcPr>
            <w:tcW w:type="dxa" w:w="4535"/>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ربط النقاط والحقول بالبيانات الخارجية وبناء الخرائط والتحقق.</w:t>
            </w:r>
          </w:p>
        </w:tc>
      </w:tr>
      <w:tr>
        <w:tc>
          <w:tcPr>
            <w:tcW w:type="dxa" w:w="2268"/>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5. سطح المكتب عند الحاجة</w:t>
            </w:r>
          </w:p>
        </w:tc>
        <w:tc>
          <w:tcPr>
            <w:tcW w:type="dxa" w:w="3402"/>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Blazor Hybrid / WPF / Windows</w:t>
            </w:r>
          </w:p>
        </w:tc>
        <w:tc>
          <w:tcPr>
            <w:tcW w:type="dxa" w:w="4535"/>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إعادة استخدام المحرك والمكونات في تطبيق محلي.</w:t>
            </w:r>
          </w:p>
        </w:tc>
      </w:tr>
    </w:tbl>
    <w:p/>
    <w:tbl>
      <w:tblPr>
        <w:tblW w:type="auto" w:w="0"/>
        <w:jc w:val="center"/>
        <w:tblLayout w:type="autofit"/>
        <w:tblLook w:firstColumn="1" w:firstRow="1" w:lastColumn="0" w:lastRow="0" w:noHBand="0" w:noVBand="1" w:val="04A0"/>
      </w:tblPr>
      <w:tblGrid>
        <w:gridCol w:w="9866"/>
      </w:tblGrid>
      <w:tr>
        <w:trPr>
          <w:tblHeader w:val="true"/>
        </w:trPr>
        <w:tc>
          <w:tcPr>
            <w:tcW w:type="dxa" w:w="9866"/>
            <w:shd w:fill="F2F2F2"/>
            <w:tcMar>
              <w:top w:w="120" w:type="dxa"/>
              <w:start w:w="140" w:type="dxa"/>
              <w:bottom w:w="120" w:type="dxa"/>
              <w:end w:w="140" w:type="dxa"/>
            </w:tcMar>
          </w:tcPr>
          <w:p>
            <w:pPr>
              <w:jc w:val="right"/>
              <w:bidi w:val="1"/>
              <w:spacing w:after="90" w:line="300" w:lineRule="auto"/>
            </w:pPr>
            <w:r>
              <w:rPr>
                <w:rFonts w:ascii="Noto Naskh Arabic" w:hAnsi="Noto Naskh Arabic" w:cs="Noto Naskh Arabic"/>
                <w:b/>
                <w:sz w:val="23"/>
              </w:rPr>
              <w:t xml:space="preserve">مبدأ معماري معتمد — </w:t>
            </w:r>
            <w:r>
              <w:rPr>
                <w:rFonts w:ascii="Noto Naskh Arabic" w:hAnsi="Noto Naskh Arabic" w:cs="Noto Naskh Arabic"/>
                <w:b w:val="0"/>
                <w:sz w:val="23"/>
              </w:rPr>
              <w:t>واجهة HTML ليست نموذجاً يُرمى لاحقاً؛ تُصمم أسماء الحقول والمعرفات والتواريخ والوحدات وبنية الرسائل منذ البداية بصيغة قابلة للنقل إلى .NET. أما المعادلات العلمية النهائية فتستقر في مكتبة C-Sharp مستقلة.</w:t>
            </w:r>
          </w:p>
        </w:tc>
      </w:tr>
    </w:tbl>
    <w:p/>
    <w:p>
      <w:pPr>
        <w:jc w:val="right"/>
        <w:keepNext/>
        <w:bidi w:val="1"/>
        <w:spacing w:after="80" w:line="300" w:lineRule="auto" w:before="100"/>
        <w:keepNext/>
      </w:pPr>
      <w:r>
        <w:rPr>
          <w:rFonts w:ascii="Noto Naskh Arabic" w:hAnsi="Noto Naskh Arabic" w:cs="Noto Naskh Arabic"/>
          <w:b/>
          <w:color w:val="262626"/>
          <w:sz w:val="28"/>
        </w:rPr>
        <w:t>2.8 تطور الخريطة الوطنية واختيار النطاق</w:t>
      </w:r>
    </w:p>
    <w:p>
      <w:pPr>
        <w:jc w:val="right"/>
        <w:bidi w:val="1"/>
        <w:spacing w:after="100" w:line="300" w:lineRule="auto"/>
      </w:pPr>
      <w:r>
        <w:rPr>
          <w:rFonts w:ascii="Noto Naskh Arabic" w:hAnsi="Noto Naskh Arabic" w:cs="Noto Naskh Arabic"/>
          <w:b w:val="0"/>
          <w:sz w:val="24"/>
        </w:rPr>
        <w:t>في النسخة الأولى من الواجهة استُخدم شكل تخطيطي لسورية لاختبار فكرة عرض قيم ET₀ داخل دوائر. ابتداءً من Prototype v0.2 يُستخدم حد وطني فعلي لسورية، مع واجهة لاختيار نطاق العرض: سورية كاملة، محافظة، أو منطقة بيئية من مناطق التحقق المقترحة. ويُسمح أيضاً بالنقر على اسم المحافظة داخل الخريطة. حدود المحافظات الدقيقة ADM1 تُعامل كطبقة GIS مستقلة ستُدمج من مصدر مفتوح وموثق؛ ولا يجوز تقديم مراكز المحافظات التمثيلية على أنها حدود إدارية.</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F2F2F2"/>
            <w:tcMar>
              <w:top w:w="120" w:type="dxa"/>
              <w:start w:w="140" w:type="dxa"/>
              <w:bottom w:w="120" w:type="dxa"/>
              <w:end w:w="140" w:type="dxa"/>
            </w:tcMar>
          </w:tcPr>
          <w:p>
            <w:pPr>
              <w:jc w:val="right"/>
              <w:bidi w:val="1"/>
              <w:spacing w:after="90" w:line="300" w:lineRule="auto"/>
            </w:pPr>
            <w:r>
              <w:rPr>
                <w:rFonts w:ascii="Noto Naskh Arabic" w:hAnsi="Noto Naskh Arabic" w:cs="Noto Naskh Arabic"/>
                <w:b/>
                <w:sz w:val="23"/>
              </w:rPr>
              <w:t xml:space="preserve">قاعدة تسليم معتمدة — </w:t>
            </w:r>
            <w:r>
              <w:rPr>
                <w:rFonts w:ascii="Noto Naskh Arabic" w:hAnsi="Noto Naskh Arabic" w:cs="Noto Naskh Arabic"/>
                <w:b w:val="0"/>
                <w:sz w:val="23"/>
              </w:rPr>
              <w:t>كل إصدار تجريبي مضغوط للمنصة يجب أن يحتوي داخله على أحدث إصدار من هذا الدليل التشغيلي والمنهجي، وقالب البيانات المناخية الساري، وملف README يوضح تغييرات الإصدار.</w:t>
            </w:r>
          </w:p>
        </w:tc>
      </w:tr>
    </w:tbl>
    <w:p/>
    <w:p>
      <w:pPr>
        <w:jc w:val="right"/>
        <w:keepNext/>
        <w:bidi w:val="1"/>
        <w:spacing w:after="80" w:line="300" w:lineRule="auto" w:before="160"/>
        <w:keepNext/>
      </w:pPr>
      <w:r>
        <w:rPr>
          <w:rFonts w:ascii="Noto Naskh Arabic" w:hAnsi="Noto Naskh Arabic" w:cs="Noto Naskh Arabic"/>
          <w:b/>
          <w:color w:val="262626"/>
          <w:sz w:val="32"/>
        </w:rPr>
        <w:t>3. الرؤية العامة ونطاق العمل</w:t>
      </w:r>
    </w:p>
    <w:p>
      <w:pPr>
        <w:jc w:val="right"/>
        <w:bidi w:val="1"/>
        <w:spacing w:after="100" w:line="300" w:lineRule="auto"/>
      </w:pPr>
      <w:r>
        <w:rPr>
          <w:rFonts w:ascii="Noto Naskh Arabic" w:hAnsi="Noto Naskh Arabic" w:cs="Noto Naskh Arabic"/>
          <w:b w:val="0"/>
          <w:sz w:val="24"/>
        </w:rPr>
        <w:t>المنصة نظام دعم قرار وطني لإدارة مياه الري في سورية. تعمل حسابياً ومكانياً على كامل الأراضي السورية، مع اختيار خمس مناطق بيئية متباينة للمعايرة والتحقق العلمي الميداني.</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المستوى</w:t>
            </w:r>
          </w:p>
        </w:tc>
        <w:tc>
          <w:tcPr>
            <w:tcW w:type="dxa" w:w="4933"/>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الوظائف الرئيسية</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الحقل/النقطة</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الحالة المائية اليومية، تتبع المحصول والفينولوجيا، ET₀ وETc، موعد وعمق الري، سيناريوهات الري الكامل والناقص.</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المنطقة</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تجميع الطلب المائي، أولوية الحقول، العجز في الإمداد، خرائط ET₀ والإجهاد والاحتياجات.</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الوطن</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عرض موحد لسورية، مقارنة المصادر، متابعة التباين المكاني والزمني، تقارير وطنية/إقليمية.</w:t>
            </w:r>
          </w:p>
        </w:tc>
      </w:tr>
    </w:tbl>
    <w:p/>
    <w:p>
      <w:pPr>
        <w:jc w:val="right"/>
        <w:keepNext/>
        <w:bidi w:val="1"/>
        <w:spacing w:after="80" w:line="300" w:lineRule="auto" w:before="160"/>
        <w:keepNext/>
      </w:pPr>
      <w:r>
        <w:rPr>
          <w:rFonts w:ascii="Noto Naskh Arabic" w:hAnsi="Noto Naskh Arabic" w:cs="Noto Naskh Arabic"/>
          <w:b/>
          <w:color w:val="262626"/>
          <w:sz w:val="32"/>
        </w:rPr>
        <w:t>4. المنهجية العامة للمنصة</w:t>
      </w:r>
    </w:p>
    <w:p>
      <w:pPr>
        <w:jc w:val="right"/>
        <w:keepNext/>
        <w:bidi w:val="1"/>
        <w:spacing w:after="80" w:line="300" w:lineRule="auto" w:before="100"/>
        <w:keepNext/>
      </w:pPr>
      <w:r>
        <w:rPr>
          <w:rFonts w:ascii="Noto Naskh Arabic" w:hAnsi="Noto Naskh Arabic" w:cs="Noto Naskh Arabic"/>
          <w:b/>
          <w:color w:val="262626"/>
          <w:sz w:val="28"/>
        </w:rPr>
        <w:t>4.1 تسلسل العمل اليومي</w:t>
      </w:r>
    </w:p>
    <w:p>
      <w:pPr>
        <w:jc w:val="right"/>
        <w:bidi w:val="1"/>
        <w:spacing w:after="90" w:line="300" w:lineRule="auto"/>
      </w:pPr>
      <w:r>
        <w:rPr>
          <w:rFonts w:ascii="Noto Naskh Arabic" w:hAnsi="Noto Naskh Arabic" w:cs="Noto Naskh Arabic"/>
          <w:b w:val="0"/>
          <w:sz w:val="23"/>
        </w:rPr>
        <w:t>1) تحديد الحقل والنقطة والموسم والتاريخ وتحميل حالة اليوم السابق.</w:t>
      </w:r>
    </w:p>
    <w:p>
      <w:pPr>
        <w:jc w:val="right"/>
        <w:bidi w:val="1"/>
        <w:spacing w:after="90" w:line="300" w:lineRule="auto"/>
      </w:pPr>
      <w:r>
        <w:rPr>
          <w:rFonts w:ascii="Noto Naskh Arabic" w:hAnsi="Noto Naskh Arabic" w:cs="Noto Naskh Arabic"/>
          <w:b w:val="0"/>
          <w:sz w:val="23"/>
        </w:rPr>
        <w:t>2) إدخال/جلب بيانات المناخ اليومية مع فحص الوحدات والجودة والمصدر.</w:t>
      </w:r>
    </w:p>
    <w:p>
      <w:pPr>
        <w:jc w:val="right"/>
        <w:bidi w:val="1"/>
        <w:spacing w:after="90" w:line="300" w:lineRule="auto"/>
      </w:pPr>
      <w:r>
        <w:rPr>
          <w:rFonts w:ascii="Noto Naskh Arabic" w:hAnsi="Noto Naskh Arabic" w:cs="Noto Naskh Arabic"/>
          <w:b w:val="0"/>
          <w:sz w:val="23"/>
        </w:rPr>
        <w:t>3) حساب ET₀ وفق FAO-56 Penman–Monteith من البيانات المتاحة.</w:t>
      </w:r>
    </w:p>
    <w:p>
      <w:pPr>
        <w:jc w:val="right"/>
        <w:bidi w:val="1"/>
        <w:spacing w:after="90" w:line="300" w:lineRule="auto"/>
      </w:pPr>
      <w:r>
        <w:rPr>
          <w:rFonts w:ascii="Noto Naskh Arabic" w:hAnsi="Noto Naskh Arabic" w:cs="Noto Naskh Arabic"/>
          <w:b w:val="0"/>
          <w:sz w:val="23"/>
        </w:rPr>
        <w:t>4) تحديث GDD والطور الفينولوجي وعمق الجذور ومعاملات المحصول.</w:t>
      </w:r>
    </w:p>
    <w:p>
      <w:pPr>
        <w:jc w:val="right"/>
        <w:bidi w:val="1"/>
        <w:spacing w:after="90" w:line="300" w:lineRule="auto"/>
      </w:pPr>
      <w:r>
        <w:rPr>
          <w:rFonts w:ascii="Noto Naskh Arabic" w:hAnsi="Noto Naskh Arabic" w:cs="Noto Naskh Arabic"/>
          <w:b w:val="0"/>
          <w:sz w:val="23"/>
        </w:rPr>
        <w:t>5) تحديث حجم خزان الجذور وحالة الطبقات الجديدة عند نمو الجذور.</w:t>
      </w:r>
    </w:p>
    <w:p>
      <w:pPr>
        <w:jc w:val="right"/>
        <w:bidi w:val="1"/>
        <w:spacing w:after="90" w:line="300" w:lineRule="auto"/>
      </w:pPr>
      <w:r>
        <w:rPr>
          <w:rFonts w:ascii="Noto Naskh Arabic" w:hAnsi="Noto Naskh Arabic" w:cs="Noto Naskh Arabic"/>
          <w:b w:val="0"/>
          <w:sz w:val="23"/>
        </w:rPr>
        <w:t>6) حساب ETc القياسي ثم معامل الإجهاد وحساب الاستهلاك الفعلي/المعدل.</w:t>
      </w:r>
    </w:p>
    <w:p>
      <w:pPr>
        <w:jc w:val="right"/>
        <w:bidi w:val="1"/>
        <w:spacing w:after="90" w:line="300" w:lineRule="auto"/>
      </w:pPr>
      <w:r>
        <w:rPr>
          <w:rFonts w:ascii="Noto Naskh Arabic" w:hAnsi="Noto Naskh Arabic" w:cs="Noto Naskh Arabic"/>
          <w:b w:val="0"/>
          <w:sz w:val="23"/>
        </w:rPr>
        <w:t>7) تطبيق المطر والري والجريان والرشح والصعود الشعري وإغلاق الموازنة.</w:t>
      </w:r>
    </w:p>
    <w:p>
      <w:pPr>
        <w:jc w:val="right"/>
        <w:bidi w:val="1"/>
        <w:spacing w:after="90" w:line="300" w:lineRule="auto"/>
      </w:pPr>
      <w:r>
        <w:rPr>
          <w:rFonts w:ascii="Noto Naskh Arabic" w:hAnsi="Noto Naskh Arabic" w:cs="Noto Naskh Arabic"/>
          <w:b w:val="0"/>
          <w:sz w:val="23"/>
        </w:rPr>
        <w:t>8) اشتقاق قرار الري والعمق الصافي/الإجمالي والأولوية.</w:t>
      </w:r>
    </w:p>
    <w:p>
      <w:pPr>
        <w:jc w:val="right"/>
        <w:bidi w:val="1"/>
        <w:spacing w:after="90" w:line="300" w:lineRule="auto"/>
      </w:pPr>
      <w:r>
        <w:rPr>
          <w:rFonts w:ascii="Noto Naskh Arabic" w:hAnsi="Noto Naskh Arabic" w:cs="Noto Naskh Arabic"/>
          <w:b w:val="0"/>
          <w:sz w:val="23"/>
        </w:rPr>
        <w:t>9) حفظ السجل اليومي مع المصدر والجودة وإصدار الخوارزمية.</w:t>
      </w:r>
    </w:p>
    <w:p>
      <w:pPr>
        <w:jc w:val="right"/>
        <w:bidi w:val="1"/>
        <w:spacing w:after="90" w:line="300" w:lineRule="auto"/>
      </w:pPr>
      <w:r>
        <w:rPr>
          <w:rFonts w:ascii="Noto Naskh Arabic" w:hAnsi="Noto Naskh Arabic" w:cs="Noto Naskh Arabic"/>
          <w:b w:val="0"/>
          <w:sz w:val="23"/>
        </w:rPr>
        <w:t>10) إجراء المقارنة مع القياسات أو WaPOR/NASA POWER/المصادر الأخرى عند توفرها، دون خلطها بالقيمة الأصلية.</w:t>
      </w:r>
    </w:p>
    <w:p>
      <w:pPr>
        <w:jc w:val="right"/>
        <w:keepNext/>
        <w:bidi w:val="1"/>
        <w:spacing w:after="80" w:line="300" w:lineRule="auto" w:before="100"/>
        <w:keepNext/>
      </w:pPr>
      <w:r>
        <w:rPr>
          <w:rFonts w:ascii="Noto Naskh Arabic" w:hAnsi="Noto Naskh Arabic" w:cs="Noto Naskh Arabic"/>
          <w:b/>
          <w:color w:val="262626"/>
          <w:sz w:val="28"/>
        </w:rPr>
        <w:t>4.2 هرمية مصادر البيانات</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نوع المتغير</w:t>
            </w:r>
          </w:p>
        </w:tc>
        <w:tc>
          <w:tcPr>
            <w:tcW w:type="dxa" w:w="2466"/>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المصدر الأول</w:t>
            </w:r>
          </w:p>
        </w:tc>
        <w:tc>
          <w:tcPr>
            <w:tcW w:type="dxa" w:w="2466"/>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البديل</w:t>
            </w:r>
          </w:p>
        </w:tc>
        <w:tc>
          <w:tcPr>
            <w:tcW w:type="dxa" w:w="2466"/>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دور المصدر الخارجي</w:t>
            </w:r>
          </w:p>
        </w:tc>
      </w:tr>
      <w:tr>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المناخ لحساب ET₀</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محطة/نقطة محلية — ملف Excel/CSV موثق</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NASA POWER أو مصدر شبكي آخر بعد فحص الجودة</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ملء النقص، الاستمرارية، المقارنة والتحقق.</w:t>
            </w:r>
          </w:p>
        </w:tc>
      </w:tr>
      <w:tr>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رطوبة التربة</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قياس حقلي/مجس موثق</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محاكاة الموازنة/تهيئة من السجل السابق</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المعايرة وتصحيح الحالة، لا شرط للتشغيل.</w:t>
            </w:r>
          </w:p>
        </w:tc>
      </w:tr>
      <w:tr>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ET₀</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محسوب داخل المنصة من البيانات المحلية</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محسوب داخل المنصة من NASA POWER</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المقارنة مع WaPOR RET أو منتجات مستقلة.</w:t>
            </w:r>
          </w:p>
        </w:tc>
      </w:tr>
      <w:tr>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ET الفعلي</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المحرك المائي وفق Kc/Ks أو النهج الثنائي</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WaPOR AETI/منتج استشعار عن بعد</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التحقق المكاني والزمني، وليس استبدالاً تلقائياً.</w:t>
            </w:r>
          </w:p>
        </w:tc>
      </w:tr>
    </w:tbl>
    <w:p/>
    <w:p>
      <w:pPr>
        <w:jc w:val="right"/>
        <w:keepNext/>
        <w:bidi w:val="1"/>
        <w:spacing w:after="80" w:line="300" w:lineRule="auto" w:before="100"/>
        <w:keepNext/>
      </w:pPr>
      <w:r>
        <w:rPr>
          <w:rFonts w:ascii="Noto Naskh Arabic" w:hAnsi="Noto Naskh Arabic" w:cs="Noto Naskh Arabic"/>
          <w:b/>
          <w:color w:val="262626"/>
          <w:sz w:val="28"/>
        </w:rPr>
        <w:t>4.3 الأثر الرقمي والجودة</w:t>
      </w:r>
    </w:p>
    <w:p>
      <w:pPr>
        <w:jc w:val="right"/>
        <w:bidi w:val="1"/>
        <w:spacing w:after="100" w:line="300" w:lineRule="auto"/>
      </w:pPr>
      <w:r>
        <w:rPr>
          <w:rFonts w:ascii="Noto Naskh Arabic" w:hAnsi="Noto Naskh Arabic" w:cs="Noto Naskh Arabic"/>
          <w:b w:val="0"/>
          <w:sz w:val="24"/>
        </w:rPr>
        <w:t>كل قيمة رئيسية في السجل يجب أن تحمل: SourceType، SourceID، QCFlag، MethodVersion، تاريخ/وقت الاسترجاع عند الحاجة، ووحدة القياس. ولا يُسمح باستبدال قيمة مفقودة بصمت؛ أي ملء يجب أن يُسجل صراحةً كقيمة مقدرة/مملوءة.</w:t>
      </w:r>
    </w:p>
    <w:p>
      <w:pPr>
        <w:jc w:val="right"/>
        <w:keepNext/>
        <w:bidi w:val="1"/>
        <w:spacing w:after="80" w:line="300" w:lineRule="auto" w:before="160"/>
        <w:keepNext/>
      </w:pPr>
      <w:r>
        <w:rPr>
          <w:rFonts w:ascii="Noto Naskh Arabic" w:hAnsi="Noto Naskh Arabic" w:cs="Noto Naskh Arabic"/>
          <w:b/>
          <w:color w:val="262626"/>
          <w:sz w:val="32"/>
        </w:rPr>
        <w:t>5. البنية المكانية والزمنية والمسار النقطي</w:t>
      </w:r>
    </w:p>
    <w:p>
      <w:pPr>
        <w:spacing w:before="60" w:after="100"/>
        <w:jc w:val="center"/>
      </w:pPr>
      <w:r>
        <w:rPr>
          <w:rFonts w:ascii="Cambria Math" w:hAnsi="Cambria Math" w:cs="Cambria Math"/>
          <w:b w:val="0"/>
          <w:sz w:val="23"/>
        </w:rPr>
        <w:t>Syria → Agro-ecological Region → Field → Point → Season → Day</w:t>
      </w:r>
    </w:p>
    <w:p>
      <w:pPr>
        <w:jc w:val="right"/>
        <w:bidi w:val="1"/>
        <w:spacing w:after="100" w:line="300" w:lineRule="auto"/>
      </w:pPr>
      <w:r>
        <w:rPr>
          <w:rFonts w:ascii="Noto Naskh Arabic" w:hAnsi="Noto Naskh Arabic" w:cs="Noto Naskh Arabic"/>
          <w:b w:val="0"/>
          <w:sz w:val="24"/>
        </w:rPr>
        <w:t>الحقل هو الوحدة الإدارية/التشغيلية، والنقطة هي وحدة الحساب أو القياس أو المعايرة داخل الحقل، والموسم يجمع دورة المحصول، واليوم هو أصغر خطوة زمنية قياسية للموازنة.</w:t>
      </w:r>
    </w:p>
    <w:p>
      <w:pPr>
        <w:jc w:val="right"/>
        <w:bidi w:val="1"/>
        <w:spacing w:after="100" w:line="300" w:lineRule="auto"/>
      </w:pPr>
      <w:r>
        <w:rPr>
          <w:rFonts w:ascii="Noto Naskh Arabic" w:hAnsi="Noto Naskh Arabic" w:cs="Noto Naskh Arabic"/>
          <w:b w:val="0"/>
          <w:sz w:val="24"/>
        </w:rPr>
        <w:t>المفتاح المنطقي للسجل اليومي: FieldID + PointID + SeasonID + Date. ويمكن للحقل الواحد أن يحتوي أكثر من نقطة عندما تكون التربة أو الطبوغرافيا أو الإدارة غير متجانسة.</w:t>
      </w:r>
    </w:p>
    <w:p>
      <w:pPr>
        <w:jc w:val="right"/>
        <w:keepNext/>
        <w:bidi w:val="1"/>
        <w:spacing w:after="80" w:line="300" w:lineRule="auto" w:before="160"/>
        <w:keepNext/>
      </w:pPr>
      <w:r>
        <w:rPr>
          <w:rFonts w:ascii="Noto Naskh Arabic" w:hAnsi="Noto Naskh Arabic" w:cs="Noto Naskh Arabic"/>
          <w:b/>
          <w:color w:val="262626"/>
          <w:sz w:val="32"/>
        </w:rPr>
        <w:t>6. تتبع المحصول والطور الفينولوجي</w:t>
      </w:r>
    </w:p>
    <w:p>
      <w:pPr>
        <w:jc w:val="right"/>
        <w:bidi w:val="1"/>
        <w:spacing w:after="100" w:line="300" w:lineRule="auto"/>
      </w:pPr>
      <w:r>
        <w:rPr>
          <w:rFonts w:ascii="Noto Naskh Arabic" w:hAnsi="Noto Naskh Arabic" w:cs="Noto Naskh Arabic"/>
          <w:b w:val="0"/>
          <w:sz w:val="24"/>
        </w:rPr>
        <w:t>تُعامل الفينولوجيا كوحدة أساسية لأن المرحلة تتحكم في Kc/Kcb وKe بصورة غير مباشرة، وعمق الجذور Zr، ومعامل الاستنزاف p، وحساسية المحصول للإجهاد، وأولوية الري عند العجز.</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عنصر التتبع</w:t>
            </w:r>
          </w:p>
        </w:tc>
        <w:tc>
          <w:tcPr>
            <w:tcW w:type="dxa" w:w="3289"/>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المصدر الأساسي</w:t>
            </w:r>
          </w:p>
        </w:tc>
        <w:tc>
          <w:tcPr>
            <w:tcW w:type="dxa" w:w="3289"/>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الاستخدام</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تاريخ الزراعة</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إدخال المستخدم/سجل الحقل</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بداية المسار.</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GDD / Thermal Time</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الحرارة اليومية</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تقدير تقدم النمو.</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الطور الفينولوجي</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محسوب + رصد حقلي موثق</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إعادة ضبط المسار واختيار المعاملات.</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Zadoks/BBCH للحبوب</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قاعدة المحصول + الرصد</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وصف المرحلة التفصيلية.</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مراحل FAO-56 الأربع</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اشتقاق من المسار الفينولوجي</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إدارة Kc وعمق الجذور لأغراض الري.</w:t>
            </w:r>
          </w:p>
        </w:tc>
      </w:tr>
    </w:tbl>
    <w:p/>
    <w:tbl>
      <w:tblPr>
        <w:tblW w:type="auto" w:w="0"/>
        <w:jc w:val="center"/>
        <w:tblLayout w:type="autofit"/>
        <w:tblLook w:firstColumn="1" w:firstRow="1" w:lastColumn="0" w:lastRow="0" w:noHBand="0" w:noVBand="1" w:val="04A0"/>
      </w:tblPr>
      <w:tblGrid>
        <w:gridCol w:w="9866"/>
      </w:tblGrid>
      <w:tr>
        <w:trPr>
          <w:tblHeader w:val="true"/>
        </w:trPr>
        <w:tc>
          <w:tcPr>
            <w:tcW w:type="dxa" w:w="9866"/>
            <w:shd w:fill="F2F2F2"/>
            <w:tcMar>
              <w:top w:w="120" w:type="dxa"/>
              <w:start w:w="140" w:type="dxa"/>
              <w:bottom w:w="120" w:type="dxa"/>
              <w:end w:w="140" w:type="dxa"/>
            </w:tcMar>
          </w:tcPr>
          <w:p>
            <w:pPr>
              <w:jc w:val="right"/>
              <w:bidi w:val="1"/>
              <w:spacing w:after="90" w:line="300" w:lineRule="auto"/>
            </w:pPr>
            <w:r>
              <w:rPr>
                <w:rFonts w:ascii="Noto Naskh Arabic" w:hAnsi="Noto Naskh Arabic" w:cs="Noto Naskh Arabic"/>
                <w:b/>
                <w:sz w:val="23"/>
              </w:rPr>
              <w:t xml:space="preserve">قاعدة معتمدة — </w:t>
            </w:r>
            <w:r>
              <w:rPr>
                <w:rFonts w:ascii="Noto Naskh Arabic" w:hAnsi="Noto Naskh Arabic" w:cs="Noto Naskh Arabic"/>
                <w:b w:val="0"/>
                <w:sz w:val="23"/>
              </w:rPr>
              <w:t>لا تُساوى مرحلة Kc في FAO-56 بالطور الفينولوجي التفصيلي. يحتفظ النظام بالمسارين ويربط بينهما.</w:t>
            </w:r>
          </w:p>
        </w:tc>
      </w:tr>
    </w:tbl>
    <w:p/>
    <w:p>
      <w:pPr>
        <w:jc w:val="right"/>
        <w:keepNext/>
        <w:bidi w:val="1"/>
        <w:spacing w:after="80" w:line="300" w:lineRule="auto" w:before="100"/>
        <w:keepNext/>
      </w:pPr>
      <w:r>
        <w:rPr>
          <w:rFonts w:ascii="Noto Naskh Arabic" w:hAnsi="Noto Naskh Arabic" w:cs="Noto Naskh Arabic"/>
          <w:b/>
          <w:color w:val="262626"/>
          <w:sz w:val="28"/>
        </w:rPr>
        <w:t>6.1 بطاقة التراكم الحراري في واجهة المحصول</w:t>
      </w:r>
    </w:p>
    <w:p>
      <w:pPr>
        <w:jc w:val="right"/>
        <w:bidi w:val="1"/>
        <w:spacing w:after="100" w:line="300" w:lineRule="auto"/>
      </w:pPr>
      <w:r>
        <w:rPr>
          <w:rFonts w:ascii="Noto Naskh Arabic" w:hAnsi="Noto Naskh Arabic" w:cs="Noto Naskh Arabic"/>
          <w:b w:val="0"/>
          <w:sz w:val="24"/>
        </w:rPr>
        <w:t>عند اختيار محصول أو صنف في الحقل، تظهر بطاقة حرارية مباشرة في لوحة التشغيل. تعرض البطاقة التراكم الحراري الحالي، قيمة Tbase المعتمدة، المرحلة الفينولوجية المقدرة، المجال الحراري للمرحلة، نسبة التقدم ضمن المرحلة، والمرحلة التالية المتوقعة. وإذا توفرت مشاهدة حقلية موثوقة يمكن استخدامها لإعادة ضبط المرحلة مع الاحتفاظ بالقيمة المحسوبة الأصلية في سجل الأثر الرقمي.</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عنصر البطاقة</w:t>
            </w:r>
          </w:p>
        </w:tc>
        <w:tc>
          <w:tcPr>
            <w:tcW w:type="dxa" w:w="4933"/>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المحتوى المقترح</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Accumulated GDD</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المجموع الحراري منذ نقطة البدء المعتمدة للمسار.</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Tbase / Tupper</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عتبة التطور الدنيا والحد الأعلى عند استخدامه.</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Phenological Stage</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الطور المقدر + كود Zadoks/BBCH عند الملاءمة.</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Stage Thermal Range</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بداية ونهاية المجال الحراري المتوقع للطور.</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Stage Progress</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نسبة تقدم حرارية داخل الطور، مع عدم تحويلها تلقائياً إلى نسبة نمو حيوي دون معايرة.</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Next Stage Forecast</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تاريخ/مدى متوقع للوصول إلى الطور التالي باستخدام الطقس المتاح أو المتوقع.</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Observation Status</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محسوب، أو مصحح برصد حقلي موثق.</w:t>
            </w:r>
          </w:p>
        </w:tc>
      </w:tr>
    </w:tbl>
    <w:p/>
    <w:p>
      <w:pPr>
        <w:jc w:val="right"/>
        <w:keepNext/>
        <w:bidi w:val="1"/>
        <w:spacing w:after="80" w:line="300" w:lineRule="auto" w:before="100"/>
        <w:keepNext/>
      </w:pPr>
      <w:r>
        <w:rPr>
          <w:rFonts w:ascii="Noto Naskh Arabic" w:hAnsi="Noto Naskh Arabic" w:cs="Noto Naskh Arabic"/>
          <w:b/>
          <w:color w:val="262626"/>
          <w:sz w:val="28"/>
        </w:rPr>
        <w:t>6.2 معادلة التراكم الحراري والمسارات المتعددة</w:t>
      </w:r>
    </w:p>
    <w:p>
      <w:pPr>
        <w:spacing w:before="60" w:after="100"/>
        <w:jc w:val="center"/>
      </w:pPr>
      <w:r>
        <w:rPr>
          <w:rFonts w:ascii="Cambria Math" w:hAnsi="Cambria Math" w:cs="Cambria Math"/>
          <w:b w:val="0"/>
          <w:sz w:val="23"/>
        </w:rPr>
        <w:t>GDD_day = max[0, ((Tmax + Tmin)/2) − Tbase]</w:t>
      </w:r>
    </w:p>
    <w:p>
      <w:pPr>
        <w:spacing w:before="60" w:after="100"/>
        <w:jc w:val="center"/>
      </w:pPr>
      <w:r>
        <w:rPr>
          <w:rFonts w:ascii="Cambria Math" w:hAnsi="Cambria Math" w:cs="Cambria Math"/>
          <w:b w:val="0"/>
          <w:sz w:val="23"/>
        </w:rPr>
        <w:t>GDD_cum(t) = Σ GDD_day</w:t>
      </w:r>
    </w:p>
    <w:p>
      <w:pPr>
        <w:jc w:val="right"/>
        <w:bidi w:val="1"/>
        <w:spacing w:after="100" w:line="300" w:lineRule="auto"/>
      </w:pPr>
      <w:r>
        <w:rPr>
          <w:rFonts w:ascii="Noto Naskh Arabic" w:hAnsi="Noto Naskh Arabic" w:cs="Noto Naskh Arabic"/>
          <w:b w:val="0"/>
          <w:sz w:val="24"/>
        </w:rPr>
        <w:t>هذه هي الصيغة الأساسية الأبسط، وتُستبدل أو تُقيد بحدود دنيا/عليا عندما يقتضي نموذج المحصول أو الكائن المدروس ذلك. ويجب أن تُخزن طريقة الحساب وTbase وTupper ونقطة بدء التراكم مع كل مسار.</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F2F2F2"/>
            <w:tcMar>
              <w:top w:w="120" w:type="dxa"/>
              <w:start w:w="140" w:type="dxa"/>
              <w:bottom w:w="120" w:type="dxa"/>
              <w:end w:w="140" w:type="dxa"/>
            </w:tcMar>
          </w:tcPr>
          <w:p>
            <w:pPr>
              <w:jc w:val="right"/>
              <w:bidi w:val="1"/>
              <w:spacing w:after="90" w:line="300" w:lineRule="auto"/>
            </w:pPr>
            <w:r>
              <w:rPr>
                <w:rFonts w:ascii="Noto Naskh Arabic" w:hAnsi="Noto Naskh Arabic" w:cs="Noto Naskh Arabic"/>
                <w:b/>
                <w:sz w:val="23"/>
              </w:rPr>
              <w:t xml:space="preserve">قاعدة معتمدة للمسارات الحرارية — </w:t>
            </w:r>
            <w:r>
              <w:rPr>
                <w:rFonts w:ascii="Noto Naskh Arabic" w:hAnsi="Noto Naskh Arabic" w:cs="Noto Naskh Arabic"/>
                <w:b w:val="0"/>
                <w:sz w:val="23"/>
              </w:rPr>
              <w:t>المحرك الحراري مشترك، لكن معاملات المسار ليست مشتركة حكماً. مسار فينولوجيا المحصول، ومسار آفة حشرية، ومسار توقع غلة قد يستخدم كل منها عتبات ومرجع بدء مختلفة. لا يجوز إعادة استخدام GDD للمحصول كـ GDD للآفة إلا إذا أثبت النموذج المرجعي ذلك صراحةً.</w:t>
            </w:r>
          </w:p>
        </w:tc>
      </w:tr>
    </w:tbl>
    <w:p/>
    <w:p>
      <w:pPr>
        <w:jc w:val="right"/>
        <w:keepNext/>
        <w:bidi w:val="1"/>
        <w:spacing w:after="80" w:line="300" w:lineRule="auto" w:before="160"/>
        <w:keepNext/>
      </w:pPr>
      <w:r>
        <w:rPr>
          <w:rFonts w:ascii="Noto Naskh Arabic" w:hAnsi="Noto Naskh Arabic" w:cs="Noto Naskh Arabic"/>
          <w:b/>
          <w:color w:val="262626"/>
          <w:sz w:val="32"/>
        </w:rPr>
        <w:t>7. الوحدة المناخية والبخر-نتح المرجعي ET₀</w:t>
      </w:r>
    </w:p>
    <w:p>
      <w:pPr>
        <w:jc w:val="right"/>
        <w:keepNext/>
        <w:bidi w:val="1"/>
        <w:spacing w:after="80" w:line="300" w:lineRule="auto" w:before="100"/>
        <w:keepNext/>
      </w:pPr>
      <w:r>
        <w:rPr>
          <w:rFonts w:ascii="Noto Naskh Arabic" w:hAnsi="Noto Naskh Arabic" w:cs="Noto Naskh Arabic"/>
          <w:b/>
          <w:color w:val="262626"/>
          <w:sz w:val="28"/>
        </w:rPr>
        <w:t>7.1 المعادلة القياسية</w:t>
      </w:r>
    </w:p>
    <w:p>
      <w:pPr>
        <w:jc w:val="right"/>
        <w:bidi w:val="1"/>
        <w:spacing w:after="100" w:line="300" w:lineRule="auto"/>
      </w:pPr>
      <w:r>
        <w:rPr>
          <w:rFonts w:ascii="Noto Naskh Arabic" w:hAnsi="Noto Naskh Arabic" w:cs="Noto Naskh Arabic"/>
          <w:b w:val="0"/>
          <w:sz w:val="24"/>
        </w:rPr>
        <w:t>يعتمد المحرك معادلة FAO Penman–Monteith كما وردت في FAO Irrigation and Drainage Paper 56 باعتبارها الطريقة القياسية لحساب البخر-نتح المرجعي من بيانات الأرصاد الجوية.</w:t>
      </w:r>
    </w:p>
    <w:p>
      <w:pPr>
        <w:spacing w:before="60" w:after="100"/>
        <w:jc w:val="center"/>
      </w:pPr>
      <w:r>
        <w:rPr>
          <w:rFonts w:ascii="Cambria Math" w:hAnsi="Cambria Math" w:cs="Cambria Math"/>
          <w:b w:val="0"/>
          <w:sz w:val="23"/>
        </w:rPr>
        <w:t>ET₀ = [0.408 Δ (Rₙ − G) + γ (900/(T + 273)) u₂ (eₛ − eₐ)] / [Δ + γ (1 + 0.34 u₂)]</w:t>
      </w:r>
    </w:p>
    <w:p>
      <w:pPr>
        <w:jc w:val="right"/>
        <w:bidi w:val="1"/>
        <w:spacing w:after="100" w:line="300" w:lineRule="auto"/>
      </w:pPr>
      <w:r>
        <w:rPr>
          <w:rFonts w:ascii="Noto Naskh Arabic" w:hAnsi="Noto Naskh Arabic" w:cs="Noto Naskh Arabic"/>
          <w:b w:val="0"/>
          <w:sz w:val="24"/>
        </w:rPr>
        <w:t>حيث ET₀ [mm day⁻¹]، Rₙ الإشعاع الصافي [MJ m⁻² day⁻¹]، G تدفق حرارة التربة، T متوسط درجة الحرارة عند 2 m، u₂ سرعة الرياح عند 2 m، eₛ−eₐ عجز ضغط البخار، Δ ميل منحنى ضغط البخار المشبع، وγ الثابت السيكرومتري. في الخطوة اليومية يكون G غالباً صغيراً ويُعامل وفق إرشادات FAO-56.</w:t>
      </w:r>
    </w:p>
    <w:p>
      <w:pPr>
        <w:jc w:val="right"/>
        <w:keepNext/>
        <w:bidi w:val="1"/>
        <w:spacing w:after="80" w:line="300" w:lineRule="auto" w:before="100"/>
        <w:keepNext/>
      </w:pPr>
      <w:r>
        <w:rPr>
          <w:rFonts w:ascii="Noto Naskh Arabic" w:hAnsi="Noto Naskh Arabic" w:cs="Noto Naskh Arabic"/>
          <w:b/>
          <w:color w:val="262626"/>
          <w:sz w:val="28"/>
        </w:rPr>
        <w:t>7.2 المصدر الأول: ملف مناخ النقطة/المحطة</w:t>
      </w:r>
    </w:p>
    <w:p>
      <w:pPr>
        <w:jc w:val="right"/>
        <w:bidi w:val="1"/>
        <w:spacing w:after="100" w:line="300" w:lineRule="auto"/>
      </w:pPr>
      <w:r>
        <w:rPr>
          <w:rFonts w:ascii="Noto Naskh Arabic" w:hAnsi="Noto Naskh Arabic" w:cs="Noto Naskh Arabic"/>
          <w:b w:val="0"/>
          <w:sz w:val="24"/>
        </w:rPr>
        <w:t>المسار التشغيلي الأساسي: يرفع المستخدم جدول Excel أو CSV للبيانات المناخية اليومية الخاصة بالنقطة أو المحطة. تُقرأ الأعمدة وتُوحّد الوحدات وتُفحص القيم ثم تُحسب ET₀ داخل المنصة. وبذلك تبقى المعادلة واحدة وقابلة للتدقيق بغض النظر عن تنسيق الملف الأصلي.</w:t>
      </w:r>
    </w:p>
    <w:p>
      <w:pPr>
        <w:jc w:val="right"/>
        <w:keepNext/>
        <w:bidi w:val="1"/>
        <w:spacing w:after="80" w:line="300" w:lineRule="auto" w:before="100"/>
        <w:keepNext/>
      </w:pPr>
      <w:r>
        <w:rPr>
          <w:rFonts w:ascii="Noto Naskh Arabic" w:hAnsi="Noto Naskh Arabic" w:cs="Noto Naskh Arabic"/>
          <w:b/>
          <w:color w:val="262626"/>
          <w:sz w:val="25"/>
        </w:rPr>
        <w:t>7.2.1 دورة تنزيل القالب ورفع البيانات واعتمادها</w:t>
      </w:r>
    </w:p>
    <w:p>
      <w:pPr>
        <w:jc w:val="right"/>
        <w:bidi w:val="1"/>
        <w:spacing w:after="100" w:line="300" w:lineRule="auto"/>
      </w:pPr>
      <w:r>
        <w:rPr>
          <w:rFonts w:ascii="Noto Naskh Arabic" w:hAnsi="Noto Naskh Arabic" w:cs="Noto Naskh Arabic"/>
          <w:b w:val="0"/>
          <w:sz w:val="24"/>
        </w:rPr>
        <w:t>توفر المنصة زر «تنزيل قالب البيانات المناخية». بعد تعبئة المستخدم للقالب وإعادة رفعه، لا تُستخدم السلسلة مباشرة في الحساب الرسمي؛ بل تمر بحالة Pending ثم سلسلة فحوص، وتظهر النتائج في شاشة مراجعة قبل زر «اعتماد البيانات». بعد الاعتماد فقط تنتقل السلسلة إلى حالة Approved وتُستخدم كالمصدر المناخي المعتمد للنقطة/الموسم.</w:t>
      </w:r>
    </w:p>
    <w:p>
      <w:pPr>
        <w:spacing w:before="60" w:after="100"/>
        <w:jc w:val="center"/>
      </w:pPr>
      <w:r>
        <w:rPr>
          <w:rFonts w:ascii="Cambria Math" w:hAnsi="Cambria Math" w:cs="Cambria Math"/>
          <w:b w:val="0"/>
          <w:sz w:val="23"/>
        </w:rPr>
        <w:t>Download Template → Fill → Upload → Parse → QC → ET₀ Compute → Compare/Calibrate (if possible) → Review → Approve</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مرحلة الفحص</w:t>
            </w:r>
          </w:p>
        </w:tc>
        <w:tc>
          <w:tcPr>
            <w:tcW w:type="dxa" w:w="4933"/>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الاختبارات الأساسية</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Schema / Parsing</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اسم الورقة، أسماء الأعمدة، أنواع البيانات، قابلية قراءة التاريخ والأرقام.</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Temporal</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تسلسل يومي، تواريخ مكررة، فجوات، تاريخ خارج الموسم/النطاق.</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Physical Consistency</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Tmax ≥ Tmin، الرطوبة 0–100%، المطر/الإشعاع/الرياح غير سالبة، وقواعد حدود مناخية معقولة.</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Units</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التحقق من الوحدات وتحويل المسموح منها مع تسجيل التحويل.</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Completeness</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نسبة القيم المتاحة لكل متغير ومسار بديل للرطوبة/الإشعاع.</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ET₀ Computation</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حساب FAO-56 ET₀ وحفظ المدخلات المشتقة وأعلام الجودة.</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Comparison / Calibration</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تُنفذ فقط عند وجود سلسلة مرجعية متزامنة مثل محطة أخرى أو NASA POWER؛ لا تسمى معايرة إذا لم يوجد مرجع للمقارنة.</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Approval</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يعرض التقرير للمستخدم؛ الاعتماد إجراء صريح يسجل الإصدار والتاريخ والمصدر.</w:t>
            </w:r>
          </w:p>
        </w:tc>
      </w:tr>
    </w:tbl>
    <w:p/>
    <w:tbl>
      <w:tblPr>
        <w:tblW w:type="auto" w:w="0"/>
        <w:jc w:val="center"/>
        <w:tblLayout w:type="autofit"/>
        <w:tblLook w:firstColumn="1" w:firstRow="1" w:lastColumn="0" w:lastRow="0" w:noHBand="0" w:noVBand="1" w:val="04A0"/>
      </w:tblPr>
      <w:tblGrid>
        <w:gridCol w:w="9866"/>
      </w:tblGrid>
      <w:tr>
        <w:trPr>
          <w:tblHeader w:val="true"/>
        </w:trPr>
        <w:tc>
          <w:tcPr>
            <w:tcW w:type="dxa" w:w="9866"/>
            <w:shd w:fill="F2F2F2"/>
            <w:tcMar>
              <w:top w:w="120" w:type="dxa"/>
              <w:start w:w="140" w:type="dxa"/>
              <w:bottom w:w="120" w:type="dxa"/>
              <w:end w:w="140" w:type="dxa"/>
            </w:tcMar>
          </w:tcPr>
          <w:p>
            <w:pPr>
              <w:jc w:val="right"/>
              <w:bidi w:val="1"/>
              <w:spacing w:after="90" w:line="300" w:lineRule="auto"/>
            </w:pPr>
            <w:r>
              <w:rPr>
                <w:rFonts w:ascii="Noto Naskh Arabic" w:hAnsi="Noto Naskh Arabic" w:cs="Noto Naskh Arabic"/>
                <w:b/>
                <w:sz w:val="23"/>
              </w:rPr>
              <w:t xml:space="preserve">قاعدة تشغيلية — </w:t>
            </w:r>
            <w:r>
              <w:rPr>
                <w:rFonts w:ascii="Noto Naskh Arabic" w:hAnsi="Noto Naskh Arabic" w:cs="Noto Naskh Arabic"/>
                <w:b w:val="0"/>
                <w:sz w:val="23"/>
              </w:rPr>
              <w:t>زر «اعتماد البيانات» لا يعني أن كل قيمة صحيحة؛ بل يعني أن المستخدم اطلع على تقرير الجودة وقَبِل السلسلة بإصدارها الحالي كمصدر تشغيل للنقطة. يبقى QCFlag على مستوى الصف/القيمة محفوظاً ولا يختفي بالاعتماد.</w:t>
            </w:r>
          </w:p>
        </w:tc>
      </w:tr>
    </w:tbl>
    <w:p/>
    <w:p>
      <w:pPr>
        <w:jc w:val="right"/>
        <w:keepNext/>
        <w:bidi w:val="1"/>
        <w:spacing w:after="80" w:line="300" w:lineRule="auto" w:before="100"/>
        <w:keepNext/>
      </w:pPr>
      <w:r>
        <w:rPr>
          <w:rFonts w:ascii="Noto Naskh Arabic" w:hAnsi="Noto Naskh Arabic" w:cs="Noto Naskh Arabic"/>
          <w:b/>
          <w:color w:val="262626"/>
          <w:sz w:val="25"/>
        </w:rPr>
        <w:t>7.2.2 المعاينة البصرية الإلزامية قبل الاعتماد</w:t>
      </w:r>
    </w:p>
    <w:p>
      <w:pPr>
        <w:jc w:val="right"/>
        <w:bidi w:val="1"/>
        <w:spacing w:after="100" w:line="300" w:lineRule="auto"/>
      </w:pPr>
      <w:r>
        <w:rPr>
          <w:rFonts w:ascii="Noto Naskh Arabic" w:hAnsi="Noto Naskh Arabic" w:cs="Noto Naskh Arabic"/>
          <w:b w:val="0"/>
          <w:sz w:val="24"/>
        </w:rPr>
        <w:t>بعد نجاح القراءة الأولية وحساب ET₀، تعرض المنصة البيانات في مخطط زمني قبل السماح بالاعتماد. يكون المحور الأفقي هو الفترة المحملة، بينما يتغير المحور الرأسي ووحدته حسب المتغير المختار. هذا العرض جزء من Quality Control ويساعد على اكتشاف القيم الشاذة والفجوات والانقطاعات التي قد لا تظهر في الإحصاءات المجمعة.</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عنصر المعاينة</w:t>
            </w:r>
          </w:p>
        </w:tc>
        <w:tc>
          <w:tcPr>
            <w:tcW w:type="dxa" w:w="4933"/>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السلوك المعتمد</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المحور X</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التاريخ/الفترة الزمنية المحملة، مع إمكانية تقييد نطاق العرض.</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المحور Y</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قيمة المتغير المختار ووحدته: °C، mm/day، %، m/s، MJ m⁻² day⁻¹، أو mm.</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الحرارة</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عرض Tmin وTmean وTmax معاً لتسهيل فحص الاتساق.</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ET₀</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عرض ET₀ المحسوب يومياً داخل المنصة.</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الرطوبة/الرياح/الإشعاع</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عرض متغير واحد مع الوحدة الصحيحة وقيم QC.</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المطر</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أعمدة يومية، أو مجموع شهري عند التجميع الشهري.</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التجميع</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Auto: يومي للفترات الأقصر، وشهري للفترات الطويلة؛ التجميع خاص بالعرض ولا يغير البيانات الأصلية.</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الإحصاءات</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عدد السجلات، Min، Mean، Max، وعدد القيم المفقودة للمتغير المعروض.</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QC بصري</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تمييز النقاط التي تحتاج مراجعة؛ بقاء الفجوة فجوة وعدم وصلها أو ملئها بصمت.</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بوابة الاعتماد</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لا يُفعّل اعتماد السلسلة إلا بعد نجاح الاختبارات الأساسية وتأكيد المستخدم أنه راجع التمثيل البصري.</w:t>
            </w:r>
          </w:p>
        </w:tc>
      </w:tr>
    </w:tbl>
    <w:p/>
    <w:tbl>
      <w:tblPr>
        <w:tblW w:type="auto" w:w="0"/>
        <w:jc w:val="center"/>
        <w:tblLayout w:type="autofit"/>
        <w:tblLook w:firstColumn="1" w:firstRow="1" w:lastColumn="0" w:lastRow="0" w:noHBand="0" w:noVBand="1" w:val="04A0"/>
      </w:tblPr>
      <w:tblGrid>
        <w:gridCol w:w="9866"/>
      </w:tblGrid>
      <w:tr>
        <w:trPr>
          <w:tblHeader w:val="true"/>
        </w:trPr>
        <w:tc>
          <w:tcPr>
            <w:tcW w:type="dxa" w:w="9866"/>
            <w:shd w:fill="F2F2F2"/>
            <w:tcMar>
              <w:top w:w="120" w:type="dxa"/>
              <w:start w:w="140" w:type="dxa"/>
              <w:bottom w:w="120" w:type="dxa"/>
              <w:end w:w="140" w:type="dxa"/>
            </w:tcMar>
          </w:tcPr>
          <w:p>
            <w:pPr>
              <w:jc w:val="right"/>
              <w:bidi w:val="1"/>
              <w:spacing w:after="90" w:line="300" w:lineRule="auto"/>
            </w:pPr>
            <w:r>
              <w:rPr>
                <w:rFonts w:ascii="Noto Naskh Arabic" w:hAnsi="Noto Naskh Arabic" w:cs="Noto Naskh Arabic"/>
                <w:b/>
                <w:sz w:val="23"/>
              </w:rPr>
              <w:t xml:space="preserve">مبدأ معتمد — </w:t>
            </w:r>
            <w:r>
              <w:rPr>
                <w:rFonts w:ascii="Noto Naskh Arabic" w:hAnsi="Noto Naskh Arabic" w:cs="Noto Naskh Arabic"/>
                <w:b w:val="0"/>
                <w:sz w:val="23"/>
              </w:rPr>
              <w:t>المعاينة البصرية لا تستبدل اختبارات QC الحسابية، بل تضيف طبقة بشرية للمراجعة. كما لا يؤدي التجميع الشهري في الرسم إلى تعديل أو استبدال السجل اليومي الأصلي.</w:t>
            </w:r>
          </w:p>
        </w:tc>
      </w:tr>
    </w:tbl>
    <w:p/>
    <w:p>
      <w:pPr>
        <w:jc w:val="right"/>
        <w:keepNext/>
        <w:bidi w:val="1"/>
        <w:spacing w:after="80" w:line="300" w:lineRule="auto" w:before="100"/>
        <w:keepNext/>
      </w:pPr>
      <w:r>
        <w:rPr>
          <w:rFonts w:ascii="Noto Naskh Arabic" w:hAnsi="Noto Naskh Arabic" w:cs="Noto Naskh Arabic"/>
          <w:b/>
          <w:color w:val="262626"/>
          <w:sz w:val="25"/>
        </w:rPr>
        <w:t>7.2.3 القالب القياسي الأول</w:t>
      </w:r>
    </w:p>
    <w:p>
      <w:pPr>
        <w:jc w:val="right"/>
        <w:bidi w:val="1"/>
        <w:spacing w:after="100" w:line="300" w:lineRule="auto"/>
      </w:pPr>
      <w:r>
        <w:rPr>
          <w:rFonts w:ascii="Noto Naskh Arabic" w:hAnsi="Noto Naskh Arabic" w:cs="Noto Naskh Arabic"/>
          <w:b w:val="0"/>
          <w:sz w:val="24"/>
        </w:rPr>
        <w:t>أُعد قالب عمل أولي باسم «قالب_البيانات_المناخية_للمنصة_السورية_للري_v0.1.xlsx». يحتوي أوراق Instructions وStation_Metadata وClimate_Data وExample. أسماء أعمدة Climate_Data ثابتة لتسهيل القراءة الآلية، مع السماح لاحقاً بخرائط مطابقة للأسماء البديلة عند استيراد ملفات تاريخية غير مطابقة للقالب.</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الحقل المقترح</w:t>
            </w:r>
          </w:p>
        </w:tc>
        <w:tc>
          <w:tcPr>
            <w:tcW w:type="dxa" w:w="3289"/>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الحالة</w:t>
            </w:r>
          </w:p>
        </w:tc>
        <w:tc>
          <w:tcPr>
            <w:tcW w:type="dxa" w:w="3289"/>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ملاحظات</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Date</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إلزامي</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تاريخ اليوم.</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Tmin, Tmax</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إلزامي أو ما يكافئهما</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°C.</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RHmin/RHmax أو RHmean أو Tdew</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أحد المسارات المطلوبة للرطوبة</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يحدد eₐ وفق قاعدة FAO-56 المناسبة.</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Wind speed + measurement height</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مطلوب</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تُحوّل الرياح إلى u₂ عند 2 m عند الحاجة.</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Solar radiation Rs أو Sunshine duration</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مطلوب بأحد المسارين</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تُحسب Rₙ وفق المدخل المتاح.</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Station elevation / pressure</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مطلوب لحساب γ بدقة أو يُستمد من تعريف النقطة</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m / kPa.</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Rainfall</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موصى به في الملف نفسه</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لا يدخل في ET₀ مباشرة لكنه يدخل الموازنة المائية.</w:t>
            </w:r>
          </w:p>
        </w:tc>
      </w:tr>
    </w:tbl>
    <w:p/>
    <w:p>
      <w:pPr>
        <w:jc w:val="right"/>
        <w:keepNext/>
        <w:bidi w:val="1"/>
        <w:spacing w:after="80" w:line="300" w:lineRule="auto" w:before="100"/>
        <w:keepNext/>
      </w:pPr>
      <w:r>
        <w:rPr>
          <w:rFonts w:ascii="Noto Naskh Arabic" w:hAnsi="Noto Naskh Arabic" w:cs="Noto Naskh Arabic"/>
          <w:b/>
          <w:color w:val="262626"/>
          <w:sz w:val="28"/>
        </w:rPr>
        <w:t>7.3 المصدر البديل: NASA POWER</w:t>
      </w:r>
    </w:p>
    <w:p>
      <w:pPr>
        <w:jc w:val="right"/>
        <w:bidi w:val="1"/>
        <w:spacing w:after="100" w:line="300" w:lineRule="auto"/>
      </w:pPr>
      <w:r>
        <w:rPr>
          <w:rFonts w:ascii="Noto Naskh Arabic" w:hAnsi="Noto Naskh Arabic" w:cs="Noto Naskh Arabic"/>
          <w:b w:val="0"/>
          <w:sz w:val="24"/>
        </w:rPr>
        <w:t>عند غياب سجل محلي مناسب، تستطيع المنصة طلب بيانات NASA POWER للنقطة (أو قراءتها من ملف POWER تم تنزيله مسبقاً)، ثم حساب ET₀ داخل المنصة بالمعادلة نفسها. لا تُعامل ET₀ الناتجة من POWER كمنهج مستقل؛ الاختلاف الوحيد هو مصدر المتغيرات الجوية.</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F2F2F2"/>
            <w:tcMar>
              <w:top w:w="120" w:type="dxa"/>
              <w:start w:w="140" w:type="dxa"/>
              <w:bottom w:w="120" w:type="dxa"/>
              <w:end w:w="140" w:type="dxa"/>
            </w:tcMar>
          </w:tcPr>
          <w:p>
            <w:pPr>
              <w:jc w:val="right"/>
              <w:bidi w:val="1"/>
              <w:spacing w:after="90" w:line="300" w:lineRule="auto"/>
            </w:pPr>
            <w:r>
              <w:rPr>
                <w:rFonts w:ascii="Noto Naskh Arabic" w:hAnsi="Noto Naskh Arabic" w:cs="Noto Naskh Arabic"/>
                <w:b/>
                <w:sz w:val="23"/>
              </w:rPr>
              <w:t xml:space="preserve">تصنيف NASA POWER — </w:t>
            </w:r>
            <w:r>
              <w:rPr>
                <w:rFonts w:ascii="Noto Naskh Arabic" w:hAnsi="Noto Naskh Arabic" w:cs="Noto Naskh Arabic"/>
                <w:b w:val="0"/>
                <w:sz w:val="23"/>
              </w:rPr>
              <w:t>بيانات الإشعاع الشمسي في POWER تستند إلى منتجات أقمار صناعية/نماذج انتقال إشعاعي، بينما المتغيرات الجوية تُشتق أساساً من MERRA-2/GEOS ونظم الاستيعاب. لذلك سيُسمى هذا المصدر في المنصة «مصدر مناخي شبكي NASA POWER» وليس «مجساً» أو «قياساً استشعارياً مباشراً» لكل المتغيرات.</w:t>
            </w:r>
          </w:p>
        </w:tc>
      </w:tr>
    </w:tbl>
    <w:p/>
    <w:p>
      <w:pPr>
        <w:jc w:val="right"/>
        <w:keepNext/>
        <w:bidi w:val="1"/>
        <w:spacing w:after="80" w:line="300" w:lineRule="auto" w:before="100"/>
        <w:keepNext/>
      </w:pPr>
      <w:r>
        <w:rPr>
          <w:rFonts w:ascii="Noto Naskh Arabic" w:hAnsi="Noto Naskh Arabic" w:cs="Noto Naskh Arabic"/>
          <w:b/>
          <w:color w:val="262626"/>
          <w:sz w:val="28"/>
        </w:rPr>
        <w:t>7.4 مقارنة المصدر الشبكي بالمحلي وتقدير الثقة</w:t>
      </w:r>
    </w:p>
    <w:p>
      <w:pPr>
        <w:jc w:val="right"/>
        <w:bidi w:val="1"/>
        <w:spacing w:after="100" w:line="300" w:lineRule="auto"/>
      </w:pPr>
      <w:r>
        <w:rPr>
          <w:rFonts w:ascii="Noto Naskh Arabic" w:hAnsi="Noto Naskh Arabic" w:cs="Noto Naskh Arabic"/>
          <w:b w:val="0"/>
          <w:sz w:val="24"/>
        </w:rPr>
        <w:t>عندما تتوافر بيانات محلية متزامنة مع NASA POWER، تحتفظ المنصة بالسلسلتين وتُحسب مؤشرات الأداء لكل متغير مناخي ولـ ET₀ النهائي. يُقترح أن تشمل: معامل الارتباط Pearson r وR²، الانحياز MBE، RMSE، MAE، وعدد الأزواج الصالحة. تُبنى «درجة الثقة» لاحقاً كدالة معلنة في جودة المصدر، حجم العينة، والانحياز والخطأ، ولا تُشتق من معامل الارتباط وحده.</w:t>
      </w:r>
    </w:p>
    <w:p>
      <w:pPr>
        <w:jc w:val="right"/>
        <w:keepNext/>
        <w:bidi w:val="1"/>
        <w:spacing w:after="80" w:line="300" w:lineRule="auto" w:before="100"/>
        <w:keepNext/>
      </w:pPr>
      <w:r>
        <w:rPr>
          <w:rFonts w:ascii="Noto Naskh Arabic" w:hAnsi="Noto Naskh Arabic" w:cs="Noto Naskh Arabic"/>
          <w:b/>
          <w:color w:val="262626"/>
          <w:sz w:val="28"/>
        </w:rPr>
        <w:t>7.5 مقارنة مستقلة مع WaPOR RET</w:t>
      </w:r>
    </w:p>
    <w:p>
      <w:pPr>
        <w:jc w:val="right"/>
        <w:bidi w:val="1"/>
        <w:spacing w:after="100" w:line="300" w:lineRule="auto"/>
      </w:pPr>
      <w:r>
        <w:rPr>
          <w:rFonts w:ascii="Noto Naskh Arabic" w:hAnsi="Noto Naskh Arabic" w:cs="Noto Naskh Arabic"/>
          <w:b w:val="0"/>
          <w:sz w:val="24"/>
        </w:rPr>
        <w:t>يمكن استخدام طبقة WaPOR Daily Reference Evapotranspiration كمسار تحقق مستقل عندما تتوفر للزمن والموقع، مع الاحتفاظ بالقيمة منفصلة عن ET₀ المحسوبة من المحطة أو NASA POWER. هذا يسمح بمقارنة ثلاثة مسارات دون دمجها تلقائياً.</w:t>
      </w:r>
    </w:p>
    <w:p>
      <w:pPr>
        <w:jc w:val="right"/>
        <w:keepNext/>
        <w:bidi w:val="1"/>
        <w:spacing w:after="80" w:line="300" w:lineRule="auto" w:before="160"/>
        <w:keepNext/>
      </w:pPr>
      <w:r>
        <w:rPr>
          <w:rFonts w:ascii="Noto Naskh Arabic" w:hAnsi="Noto Naskh Arabic" w:cs="Noto Naskh Arabic"/>
          <w:b/>
          <w:color w:val="262626"/>
          <w:sz w:val="32"/>
        </w:rPr>
        <w:t>8. التمييز بين ET₀ وETc وET الفعلي</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الرمز</w:t>
            </w:r>
          </w:p>
        </w:tc>
        <w:tc>
          <w:tcPr>
            <w:tcW w:type="dxa" w:w="3289"/>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المعنى</w:t>
            </w:r>
          </w:p>
        </w:tc>
        <w:tc>
          <w:tcPr>
            <w:tcW w:type="dxa" w:w="3289"/>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دوره</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ET₀</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البخر-نتح المرجعي لسطح مرجعي جيد الري</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طلب جوي مرجعي؛ لا يعتمد على نوع المحصول.</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ETc</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بخر-نتح المحصول تحت الظروف القياسية</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ETc = Kc × ET₀ أو ETc = (Kcb + Ke) × ET₀.</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ETc,adj / ETa</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الاستهلاك المعدل/الفعلي تحت الإجهاد</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يتأثر بـ Ks وإدارة الماء.</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AETI (WaPOR)</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التبخر + النتح + اعتراض الهطول وفق منتج WaPOR</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منتج مستقل للمقارنة/التحقق وليس مرادفاً حسابياً مباشرًا لكل تعريفات ETa داخل المنصة.</w:t>
            </w:r>
          </w:p>
        </w:tc>
      </w:tr>
    </w:tbl>
    <w:p/>
    <w:p>
      <w:pPr>
        <w:jc w:val="right"/>
        <w:keepNext/>
        <w:bidi w:val="1"/>
        <w:spacing w:after="80" w:line="300" w:lineRule="auto" w:before="160"/>
        <w:keepNext/>
      </w:pPr>
      <w:r>
        <w:rPr>
          <w:rFonts w:ascii="Noto Naskh Arabic" w:hAnsi="Noto Naskh Arabic" w:cs="Noto Naskh Arabic"/>
          <w:b/>
          <w:color w:val="262626"/>
          <w:sz w:val="32"/>
        </w:rPr>
        <w:t>9. الموازنة المائية في منطقة الجذور</w:t>
      </w:r>
    </w:p>
    <w:p>
      <w:pPr>
        <w:jc w:val="right"/>
        <w:bidi w:val="1"/>
        <w:spacing w:after="100" w:line="300" w:lineRule="auto"/>
      </w:pPr>
      <w:r>
        <w:rPr>
          <w:rFonts w:ascii="Noto Naskh Arabic" w:hAnsi="Noto Naskh Arabic" w:cs="Noto Naskh Arabic"/>
          <w:b w:val="0"/>
          <w:sz w:val="24"/>
        </w:rPr>
        <w:t>تُحدَّث حالة الاستنزاف يومياً. تستخدم المنصة المطر الكلي P مع حساب الجريان RO والرشح DP صراحةً في المسار القياسي؛ وإذا استُخدمت طريقة «المطر الفعال» في وضع مبسط فلا يجوز جمعها مع RO/DP بطريقة تؤدي إلى عد مزدوج.</w:t>
      </w:r>
    </w:p>
    <w:p>
      <w:pPr>
        <w:spacing w:before="60" w:after="100"/>
        <w:jc w:val="center"/>
      </w:pPr>
      <w:r>
        <w:rPr>
          <w:rFonts w:ascii="Cambria Math" w:hAnsi="Cambria Math" w:cs="Cambria Math"/>
          <w:b w:val="0"/>
          <w:sz w:val="23"/>
        </w:rPr>
        <w:t>Dᵣ,i = Dᵣ,i−1 − (P − RO) − Iₙ − CR + ETₐ + DP</w:t>
      </w:r>
    </w:p>
    <w:p>
      <w:pPr>
        <w:spacing w:before="60" w:after="100"/>
        <w:jc w:val="center"/>
      </w:pPr>
      <w:r>
        <w:rPr>
          <w:rFonts w:ascii="Cambria Math" w:hAnsi="Cambria Math" w:cs="Cambria Math"/>
          <w:b w:val="0"/>
          <w:sz w:val="23"/>
        </w:rPr>
        <w:t>TAW = 1000 (θFC − θWP) Zᵣ</w:t>
      </w:r>
    </w:p>
    <w:p>
      <w:pPr>
        <w:spacing w:before="60" w:after="100"/>
        <w:jc w:val="center"/>
      </w:pPr>
      <w:r>
        <w:rPr>
          <w:rFonts w:ascii="Cambria Math" w:hAnsi="Cambria Math" w:cs="Cambria Math"/>
          <w:b w:val="0"/>
          <w:sz w:val="23"/>
        </w:rPr>
        <w:t>RAW = p × TAW</w:t>
      </w:r>
    </w:p>
    <w:p>
      <w:pPr>
        <w:jc w:val="right"/>
        <w:bidi w:val="1"/>
        <w:spacing w:after="100" w:line="300" w:lineRule="auto"/>
      </w:pPr>
      <w:r>
        <w:rPr>
          <w:rFonts w:ascii="Noto Naskh Arabic" w:hAnsi="Noto Naskh Arabic" w:cs="Noto Naskh Arabic"/>
          <w:b w:val="0"/>
          <w:sz w:val="24"/>
        </w:rPr>
        <w:t>Iₙ هو عمق الري الصافي الذي دخل فعلياً إلى خزان منطقة الجذور وفق اتفاقية التشغيل. وسيُثبت لاحقاً توقيت تطبيق التدفقات خلال اليوم (بداية/نهاية اليوم) واختبارات الاتزان الكتلي.</w:t>
      </w:r>
    </w:p>
    <w:p>
      <w:pPr>
        <w:jc w:val="right"/>
        <w:keepNext/>
        <w:bidi w:val="1"/>
        <w:spacing w:after="80" w:line="300" w:lineRule="auto" w:before="100"/>
        <w:keepNext/>
      </w:pPr>
      <w:r>
        <w:rPr>
          <w:rFonts w:ascii="Noto Naskh Arabic" w:hAnsi="Noto Naskh Arabic" w:cs="Noto Naskh Arabic"/>
          <w:b/>
          <w:color w:val="262626"/>
          <w:sz w:val="28"/>
        </w:rPr>
        <w:t>9.1 الإجهاد المائي</w:t>
      </w:r>
    </w:p>
    <w:p>
      <w:pPr>
        <w:spacing w:before="60" w:after="100"/>
        <w:jc w:val="center"/>
      </w:pPr>
      <w:r>
        <w:rPr>
          <w:rFonts w:ascii="Cambria Math" w:hAnsi="Cambria Math" w:cs="Cambria Math"/>
          <w:b w:val="0"/>
          <w:sz w:val="23"/>
        </w:rPr>
        <w:t>Ks = 1                                  عندما Dᵣ ≤ RAW</w:t>
      </w:r>
    </w:p>
    <w:p>
      <w:pPr>
        <w:spacing w:before="60" w:after="100"/>
        <w:jc w:val="center"/>
      </w:pPr>
      <w:r>
        <w:rPr>
          <w:rFonts w:ascii="Cambria Math" w:hAnsi="Cambria Math" w:cs="Cambria Math"/>
          <w:b w:val="0"/>
          <w:sz w:val="23"/>
        </w:rPr>
        <w:t>Ks = (TAW − Dᵣ) / [(1 − p) TAW]        عندما Dᵣ &gt; RAW</w:t>
      </w:r>
    </w:p>
    <w:p>
      <w:pPr>
        <w:spacing w:before="60" w:after="100"/>
        <w:jc w:val="center"/>
      </w:pPr>
      <w:r>
        <w:rPr>
          <w:rFonts w:ascii="Cambria Math" w:hAnsi="Cambria Math" w:cs="Cambria Math"/>
          <w:b w:val="0"/>
          <w:sz w:val="23"/>
        </w:rPr>
        <w:t>ETc,adj = Ks × Kc × ET₀                 في نهج Kc المفرد</w:t>
      </w:r>
    </w:p>
    <w:p>
      <w:pPr>
        <w:jc w:val="right"/>
        <w:bidi w:val="1"/>
        <w:spacing w:after="100" w:line="300" w:lineRule="auto"/>
      </w:pPr>
      <w:r>
        <w:rPr>
          <w:rFonts w:ascii="Noto Naskh Arabic" w:hAnsi="Noto Naskh Arabic" w:cs="Noto Naskh Arabic"/>
          <w:b w:val="0"/>
          <w:sz w:val="24"/>
        </w:rPr>
        <w:t>تُقيد Ks بين 0 و1. وتدعم بنية البيانات نهج Kc المفرد والنهج الثنائي Kcb + Ke، على أن يُحسم نمط التشغيل القياسي حسب المحصول وتوافر البيانات.</w:t>
      </w:r>
    </w:p>
    <w:p>
      <w:pPr>
        <w:jc w:val="right"/>
        <w:keepNext/>
        <w:bidi w:val="1"/>
        <w:spacing w:after="80" w:line="300" w:lineRule="auto" w:before="160"/>
        <w:keepNext/>
      </w:pPr>
      <w:r>
        <w:rPr>
          <w:rFonts w:ascii="Noto Naskh Arabic" w:hAnsi="Noto Naskh Arabic" w:cs="Noto Naskh Arabic"/>
          <w:b/>
          <w:color w:val="262626"/>
          <w:sz w:val="32"/>
        </w:rPr>
        <w:t>10. تغير عمق الجذور والتمثيل الطبقي للتربة</w:t>
      </w:r>
    </w:p>
    <w:p>
      <w:pPr>
        <w:jc w:val="right"/>
        <w:bidi w:val="1"/>
        <w:spacing w:after="100" w:line="300" w:lineRule="auto"/>
      </w:pPr>
      <w:r>
        <w:rPr>
          <w:rFonts w:ascii="Noto Naskh Arabic" w:hAnsi="Noto Naskh Arabic" w:cs="Noto Naskh Arabic"/>
          <w:b w:val="0"/>
          <w:sz w:val="24"/>
        </w:rPr>
        <w:t>زيادة Zr تعني تغير حجم خزان الجذور، ولذلك لا يجوز تحديث TAW وRAW وترك Dᵣ السابق دون معالجة حالة الجزء الجديد من التربة.</w:t>
      </w:r>
    </w:p>
    <w:p>
      <w:pPr>
        <w:spacing w:before="60" w:after="100"/>
        <w:jc w:val="center"/>
      </w:pPr>
      <w:r>
        <w:rPr>
          <w:rFonts w:ascii="Cambria Math" w:hAnsi="Cambria Math" w:cs="Cambria Math"/>
          <w:b w:val="0"/>
          <w:sz w:val="23"/>
        </w:rPr>
        <w:t>ΔZᵣ = max(0, Zᵣ,i − Zᵣ,i−1)</w:t>
      </w:r>
    </w:p>
    <w:p>
      <w:pPr>
        <w:spacing w:before="60" w:after="100"/>
        <w:jc w:val="center"/>
      </w:pPr>
      <w:r>
        <w:rPr>
          <w:rFonts w:ascii="Cambria Math" w:hAnsi="Cambria Math" w:cs="Cambria Math"/>
          <w:b w:val="0"/>
          <w:sz w:val="23"/>
        </w:rPr>
        <w:t>ΔDᵣ,root = 1000 (θFC,new − θnew) ΔZᵣ</w:t>
      </w:r>
    </w:p>
    <w:p>
      <w:pPr>
        <w:spacing w:before="60" w:after="100"/>
        <w:jc w:val="center"/>
      </w:pPr>
      <w:r>
        <w:rPr>
          <w:rFonts w:ascii="Cambria Math" w:hAnsi="Cambria Math" w:cs="Cambria Math"/>
          <w:b w:val="0"/>
          <w:sz w:val="23"/>
        </w:rPr>
        <w:t>Dᵣ,i,start = Dᵣ,i−1,end + ΔDᵣ,root</w:t>
      </w:r>
    </w:p>
    <w:p>
      <w:pPr>
        <w:jc w:val="right"/>
        <w:bidi w:val="1"/>
        <w:spacing w:after="100" w:line="300" w:lineRule="auto"/>
      </w:pPr>
      <w:r>
        <w:rPr>
          <w:rFonts w:ascii="Noto Naskh Arabic" w:hAnsi="Noto Naskh Arabic" w:cs="Noto Naskh Arabic"/>
          <w:b w:val="0"/>
          <w:sz w:val="24"/>
        </w:rPr>
        <w:t>تُحفظ حالة التربة داخلياً على طبقات قابلة للتعريف حتى لو عرضت الواجهة قيمة مجمعة لمنطقة الجذور. ولا يعني ذلك حل معادلة Richards؛ بل تمثيل مخزوني طبقي يدعم نمو الجذور وقياسات الرطوبة على أعماق متعددة.</w:t>
      </w:r>
    </w:p>
    <w:p>
      <w:pPr>
        <w:spacing w:before="60" w:after="100"/>
        <w:jc w:val="center"/>
      </w:pPr>
      <w:r>
        <w:rPr>
          <w:rFonts w:ascii="Cambria Math" w:hAnsi="Cambria Math" w:cs="Cambria Math"/>
          <w:b w:val="0"/>
          <w:sz w:val="23"/>
        </w:rPr>
        <w:t>Dᵣ = Σⱼ 1000 (θFC,j − θj) Δzⱼ       داخل العمق الجذري الفعال</w:t>
      </w:r>
    </w:p>
    <w:p>
      <w:pPr>
        <w:jc w:val="right"/>
        <w:keepNext/>
        <w:bidi w:val="1"/>
        <w:spacing w:after="80" w:line="300" w:lineRule="auto" w:before="160"/>
        <w:keepNext/>
      </w:pPr>
      <w:r>
        <w:rPr>
          <w:rFonts w:ascii="Noto Naskh Arabic" w:hAnsi="Noto Naskh Arabic" w:cs="Noto Naskh Arabic"/>
          <w:b/>
          <w:color w:val="262626"/>
          <w:sz w:val="32"/>
        </w:rPr>
        <w:t>11. سجل اليوم الواحد للنقطة Field-Point Daily Record</w:t>
      </w:r>
    </w:p>
    <w:p>
      <w:pPr>
        <w:jc w:val="right"/>
        <w:bidi w:val="1"/>
        <w:spacing w:after="100" w:line="300" w:lineRule="auto"/>
      </w:pPr>
      <w:r>
        <w:rPr>
          <w:rFonts w:ascii="Noto Naskh Arabic" w:hAnsi="Noto Naskh Arabic" w:cs="Noto Naskh Arabic"/>
          <w:b w:val="0"/>
          <w:sz w:val="24"/>
        </w:rPr>
        <w:t>يمثل السجل اليومي الوحدة الأساسية للتخزين والحساب والتكامل. ويظل مستقلاً عن شكل الواجهة ليُستخدم في نموذج HTML وفي C#/.NET وقاعدة البيانات.</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المجموعة</w:t>
            </w:r>
          </w:p>
        </w:tc>
        <w:tc>
          <w:tcPr>
            <w:tcW w:type="dxa" w:w="3289"/>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أمثلة الحقول</w:t>
            </w:r>
          </w:p>
        </w:tc>
        <w:tc>
          <w:tcPr>
            <w:tcW w:type="dxa" w:w="3289"/>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الغرض</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الهوية</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FieldID, PointID, SeasonID, Date, Coordinates</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الربط المكاني والزمني.</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المحصول</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Crop, Variety, SowingDate, GDD_Daily, GDD_Cum, Tbase, Tupper, ThermalTrackID, StageCode, FAOStage</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الفينولوجيا والمسارات الحرارية والمعاملات.</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المناخ</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Tmin, Tmax, RH, Wind, Radiation, Rain, ET0</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حساب الطلب الجوي والمطر.</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مصدر ET₀</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ET0_Source, ClimateSource, ClimateDatasetID, ApprovalStatus, MethodVersion, QCFlag</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تتبع السلسلة المناخية وإصدارها وحالة اعتمادها.</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التربة والجذور</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Zr, θFC, θWP, θ, TAW, RAW, Dr</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الخزان المائي.</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المحصول/الإجهاد</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Kc/Kcb, Ke, Ks, ETc, ETcAdj/ETa</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الاستهلاك والإجهاد.</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التدفقات</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Igross, Inet, RO, CR, DP</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إغلاق الموازنة.</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القرار</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IrrigationNeed, NetDepth, GrossDepth, Priority</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التوصية.</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التحقق</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MeasuredTheta, WaPOR_AETI, WaPOR_RET, NASA_POWER_ET0</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المقارنة والمعايرة.</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الجودة</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SourceType, SourceID, QCFlag, ConfidenceClass, MethodVersion</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الأثر الرقمي وعدم اليقين.</w:t>
            </w:r>
          </w:p>
        </w:tc>
      </w:tr>
    </w:tbl>
    <w:p/>
    <w:p>
      <w:pPr>
        <w:jc w:val="right"/>
        <w:keepNext/>
        <w:bidi w:val="1"/>
        <w:spacing w:after="80" w:line="300" w:lineRule="auto" w:before="160"/>
        <w:keepNext/>
      </w:pPr>
      <w:r>
        <w:rPr>
          <w:rFonts w:ascii="Noto Naskh Arabic" w:hAnsi="Noto Naskh Arabic" w:cs="Noto Naskh Arabic"/>
          <w:b/>
          <w:color w:val="262626"/>
          <w:sz w:val="32"/>
        </w:rPr>
        <w:t>12. التكامل مع WaPOR والاستشعار عن بعد</w:t>
      </w:r>
    </w:p>
    <w:p>
      <w:pPr>
        <w:jc w:val="right"/>
        <w:bidi w:val="1"/>
        <w:spacing w:after="100" w:line="300" w:lineRule="auto"/>
      </w:pPr>
      <w:r>
        <w:rPr>
          <w:rFonts w:ascii="Noto Naskh Arabic" w:hAnsi="Noto Naskh Arabic" w:cs="Noto Naskh Arabic"/>
          <w:b w:val="0"/>
          <w:sz w:val="24"/>
        </w:rPr>
        <w:t>تُخزن منتجات WaPOR وSentinel في طبقات مستقلة ثم تُربط بالنقاط والحقول حسب الموقع والفترة الزمنية. لا تُستبدل بها الموازنة المائية تلقائياً. ويُراعى الفرق بين RET المرجعي وAETI الفعلي ومؤشرات الغطاء النباتي.</w:t>
      </w:r>
    </w:p>
    <w:p>
      <w:pPr>
        <w:jc w:val="right"/>
        <w:bidi w:val="1"/>
        <w:spacing w:after="100" w:line="300" w:lineRule="auto"/>
      </w:pPr>
      <w:r>
        <w:rPr>
          <w:rFonts w:ascii="Noto Naskh Arabic" w:hAnsi="Noto Naskh Arabic" w:cs="Noto Naskh Arabic"/>
          <w:b w:val="0"/>
          <w:sz w:val="24"/>
        </w:rPr>
        <w:t>يُستخدم WaPOR في التحقق المكاني والزمني، ومقارنة ET، ومؤشرات الإنتاجية المائية، ودعم التحليل على مستوى المنطقة. أما Sentinel فيُستخدم لاحقاً في مؤشرات الغطاء النباتي والمسارات الفينولوجية والتباين داخل الحقل حيث تكون الدقة مناسبة.</w:t>
      </w:r>
    </w:p>
    <w:p>
      <w:pPr>
        <w:jc w:val="right"/>
        <w:keepNext/>
        <w:bidi w:val="1"/>
        <w:spacing w:after="80" w:line="300" w:lineRule="auto" w:before="160"/>
        <w:keepNext/>
      </w:pPr>
      <w:r>
        <w:rPr>
          <w:rFonts w:ascii="Noto Naskh Arabic" w:hAnsi="Noto Naskh Arabic" w:cs="Noto Naskh Arabic"/>
          <w:b/>
          <w:color w:val="262626"/>
          <w:sz w:val="32"/>
        </w:rPr>
        <w:t>13. المخرجات والتقارير والخرائط</w:t>
      </w:r>
    </w:p>
    <w:p>
      <w:pPr>
        <w:jc w:val="right"/>
        <w:keepNext/>
        <w:bidi w:val="1"/>
        <w:spacing w:after="80" w:line="300" w:lineRule="auto" w:before="100"/>
        <w:keepNext/>
      </w:pPr>
      <w:r>
        <w:rPr>
          <w:rFonts w:ascii="Noto Naskh Arabic" w:hAnsi="Noto Naskh Arabic" w:cs="Noto Naskh Arabic"/>
          <w:b/>
          <w:color w:val="262626"/>
          <w:sz w:val="28"/>
        </w:rPr>
        <w:t>13.1 مخرجات الحقل والنقطة</w:t>
      </w:r>
    </w:p>
    <w:p>
      <w:pPr>
        <w:ind w:left="0"/>
        <w:jc w:val="right"/>
        <w:bidi w:val="1"/>
        <w:spacing w:after="90" w:line="300" w:lineRule="auto"/>
      </w:pPr>
      <w:r>
        <w:rPr>
          <w:rFonts w:ascii="Noto Naskh Arabic" w:hAnsi="Noto Naskh Arabic" w:cs="Noto Naskh Arabic"/>
          <w:b w:val="0"/>
          <w:sz w:val="23"/>
        </w:rPr>
        <w:t>• لوحة يومية: ET₀، ETc، ETa/ETc,adj، TAW، RAW، Dᵣ، Ks، المطر والري والتوصية.</w:t>
      </w:r>
    </w:p>
    <w:p>
      <w:pPr>
        <w:ind w:left="0"/>
        <w:jc w:val="right"/>
        <w:bidi w:val="1"/>
        <w:spacing w:after="90" w:line="300" w:lineRule="auto"/>
      </w:pPr>
      <w:r>
        <w:rPr>
          <w:rFonts w:ascii="Noto Naskh Arabic" w:hAnsi="Noto Naskh Arabic" w:cs="Noto Naskh Arabic"/>
          <w:b w:val="0"/>
          <w:sz w:val="23"/>
        </w:rPr>
        <w:t>• سلاسل زمنية للموسم ومقارنة بين المحسوب والمقاس والمصدر الخارجي.</w:t>
      </w:r>
    </w:p>
    <w:p>
      <w:pPr>
        <w:ind w:left="0"/>
        <w:jc w:val="right"/>
        <w:bidi w:val="1"/>
        <w:spacing w:after="90" w:line="300" w:lineRule="auto"/>
      </w:pPr>
      <w:r>
        <w:rPr>
          <w:rFonts w:ascii="Noto Naskh Arabic" w:hAnsi="Noto Naskh Arabic" w:cs="Noto Naskh Arabic"/>
          <w:b w:val="0"/>
          <w:sz w:val="23"/>
        </w:rPr>
        <w:t>• مسار الفينولوجيا وGDD وتغير Zr وKc/Kcb.</w:t>
      </w:r>
    </w:p>
    <w:p>
      <w:pPr>
        <w:ind w:left="0"/>
        <w:jc w:val="right"/>
        <w:bidi w:val="1"/>
        <w:spacing w:after="90" w:line="300" w:lineRule="auto"/>
      </w:pPr>
      <w:r>
        <w:rPr>
          <w:rFonts w:ascii="Noto Naskh Arabic" w:hAnsi="Noto Naskh Arabic" w:cs="Noto Naskh Arabic"/>
          <w:b w:val="0"/>
          <w:sz w:val="23"/>
        </w:rPr>
        <w:t>• بطاقة التراكم الحراري للمحصول: GDD المتراكم، Tbase/Tupper، الطور الحالي، التقدم ضمن الطور، والطور التالي المتوقع.</w:t>
      </w:r>
    </w:p>
    <w:p>
      <w:pPr>
        <w:ind w:left="0"/>
        <w:jc w:val="right"/>
        <w:bidi w:val="1"/>
        <w:spacing w:after="90" w:line="300" w:lineRule="auto"/>
      </w:pPr>
      <w:r>
        <w:rPr>
          <w:rFonts w:ascii="Noto Naskh Arabic" w:hAnsi="Noto Naskh Arabic" w:cs="Noto Naskh Arabic"/>
          <w:b w:val="0"/>
          <w:sz w:val="23"/>
        </w:rPr>
        <w:t>• تقرير قرار الري: موعد الري، العمق الصافي، العمق الإجمالي، درجة الأولوية، ومصدر البيانات.</w:t>
      </w:r>
    </w:p>
    <w:p>
      <w:pPr>
        <w:jc w:val="right"/>
        <w:keepNext/>
        <w:bidi w:val="1"/>
        <w:spacing w:after="80" w:line="300" w:lineRule="auto" w:before="100"/>
        <w:keepNext/>
      </w:pPr>
      <w:r>
        <w:rPr>
          <w:rFonts w:ascii="Noto Naskh Arabic" w:hAnsi="Noto Naskh Arabic" w:cs="Noto Naskh Arabic"/>
          <w:b/>
          <w:color w:val="262626"/>
          <w:sz w:val="28"/>
        </w:rPr>
        <w:t>13.2 المعاينة الزمنية التفاعلية للبيانات المناخية</w:t>
      </w:r>
    </w:p>
    <w:p>
      <w:pPr>
        <w:jc w:val="right"/>
        <w:bidi w:val="1"/>
        <w:spacing w:after="100" w:line="300" w:lineRule="auto"/>
      </w:pPr>
      <w:r>
        <w:rPr>
          <w:rFonts w:ascii="Noto Naskh Arabic" w:hAnsi="Noto Naskh Arabic" w:cs="Noto Naskh Arabic"/>
          <w:b w:val="0"/>
          <w:sz w:val="24"/>
        </w:rPr>
        <w:t>تُعد السلسلة الزمنية ثنائية المحور مخرجاً تشغيلياً أساسياً: X للزمن وY للمتغير. تُستخدم قبل الاعتماد وبعده للتحليل، وتدعم التبديل بين المتغيرات، تحديد الفترة، والتجميع اليومي/الشهري، مع المحافظة على السجل الأصلي. ستُربط لاحقاً باختيار النقطة على الخريطة بحيث يؤدي اختيار محطة/خلية إلى تحديث السلسلة الزمنية مباشرة.</w:t>
      </w:r>
    </w:p>
    <w:p>
      <w:pPr>
        <w:jc w:val="right"/>
        <w:keepNext/>
        <w:bidi w:val="1"/>
        <w:spacing w:after="80" w:line="300" w:lineRule="auto" w:before="100"/>
        <w:keepNext/>
      </w:pPr>
      <w:r>
        <w:rPr>
          <w:rFonts w:ascii="Noto Naskh Arabic" w:hAnsi="Noto Naskh Arabic" w:cs="Noto Naskh Arabic"/>
          <w:b/>
          <w:color w:val="262626"/>
          <w:sz w:val="28"/>
        </w:rPr>
        <w:t>13.3 خريطة سورية لقيم ET₀ — مخرج معتمد</w:t>
      </w:r>
    </w:p>
    <w:p>
      <w:pPr>
        <w:jc w:val="right"/>
        <w:bidi w:val="1"/>
        <w:spacing w:after="100" w:line="300" w:lineRule="auto"/>
      </w:pPr>
      <w:r>
        <w:rPr>
          <w:rFonts w:ascii="Noto Naskh Arabic" w:hAnsi="Noto Naskh Arabic" w:cs="Noto Naskh Arabic"/>
          <w:b w:val="0"/>
          <w:sz w:val="24"/>
        </w:rPr>
        <w:t>تدعم المنصة إخراج خريطة سورية لليوم أو الفترة المختارة، باستخدام حد وطني فعلي لسورية، وتُعرض عليها قيمة ET₀ كرقم داخل دائرة فوق كل نقطة/محطة/عقدة تمثيلية. يجب أن يكون الرقم مقروءاً عند الطباعة وأن يتغير حجم العرض تلقائياً مع مستوى التكبير.</w:t>
      </w:r>
    </w:p>
    <w:p>
      <w:pPr>
        <w:jc w:val="right"/>
        <w:keepNext/>
        <w:bidi w:val="1"/>
        <w:spacing w:after="80" w:line="300" w:lineRule="auto" w:before="100"/>
        <w:keepNext/>
      </w:pPr>
      <w:r>
        <w:rPr>
          <w:rFonts w:ascii="Noto Naskh Arabic" w:hAnsi="Noto Naskh Arabic" w:cs="Noto Naskh Arabic"/>
          <w:b/>
          <w:color w:val="262626"/>
          <w:sz w:val="25"/>
        </w:rPr>
        <w:t>13.3.1 اختيار المنطقة والتفاعل المكاني</w:t>
      </w:r>
    </w:p>
    <w:p>
      <w:pPr>
        <w:jc w:val="right"/>
        <w:bidi w:val="1"/>
        <w:spacing w:after="100" w:line="300" w:lineRule="auto"/>
      </w:pPr>
      <w:r>
        <w:rPr>
          <w:rFonts w:ascii="Noto Naskh Arabic" w:hAnsi="Noto Naskh Arabic" w:cs="Noto Naskh Arabic"/>
          <w:b w:val="0"/>
          <w:sz w:val="24"/>
        </w:rPr>
        <w:t>تتيح واجهة الخريطة اختيار نطاق العرض من قائمة مكانية أو بالنقر المباشر: سورية كاملة، محافظة، أو إحدى المناطق البيئية المقترحة للمعايرة والتحقق. عند اختيار نطاق تُبرز المنصة المنطقة المختارة وتعرض نقاط ET₀ المرتبطة بها. في Prototype v0.2 تُستخدم مراكز المحافظات كعناصر اختيار تفاعلية، بينما تُدرج الحدود الإدارية الدقيقة ADM1 لاحقاً من طبقة GIS موثقة. ويجب عدم تمثيل أي نطاق تقريبي بوصفه حداً إدارياً رسمياً.</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عنصر الخريطة</w:t>
            </w:r>
          </w:p>
        </w:tc>
        <w:tc>
          <w:tcPr>
            <w:tcW w:type="dxa" w:w="4933"/>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المتطلب</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الرمز</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دائرة تحتوي قيمة ET₀ بوحدة mm/day؛ ويمكن ترميز حدّ الدائرة أو التعبئة وفق فئات ET₀ دون الاعتماد على اللون وحده.</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الموقع</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النقطة الفعلية للمحطة/العقدة أو مركز المنطقة عند استخدام قيمة ممثلة للمنطقة.</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الزمن</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تاريخ يومي، أو متوسط/مجموع لفترة مع تسمية صريحة.</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المصدر</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رمز صغير أو طبقة معلومات: Station/Excel، NASA POWER، WaPOR RET، أو غيره.</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الثقة</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درجة/فئة ثقة عند اعتماد خوارزميتها؛ لا تُعرض كنسبة قبل اكتمال التحقق.</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التصدير</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PNG وPDF للطباعة، CSV/GeoJSON للبيانات النقطية؛ ويُقيّم GeoTIFF عند اعتماد سطح شبكي.</w:t>
            </w:r>
          </w:p>
        </w:tc>
      </w:tr>
    </w:tbl>
    <w:p/>
    <w:p>
      <w:pPr>
        <w:jc w:val="right"/>
        <w:keepNext/>
        <w:bidi w:val="1"/>
        <w:spacing w:after="80" w:line="300" w:lineRule="auto" w:before="100"/>
        <w:keepNext/>
      </w:pPr>
      <w:r>
        <w:rPr>
          <w:rFonts w:ascii="Noto Naskh Arabic" w:hAnsi="Noto Naskh Arabic" w:cs="Noto Naskh Arabic"/>
          <w:b/>
          <w:color w:val="262626"/>
          <w:sz w:val="28"/>
        </w:rPr>
        <w:t>13.4 خريطة نقطية مقابل سطح مستمر</w:t>
      </w:r>
    </w:p>
    <w:p>
      <w:pPr>
        <w:jc w:val="right"/>
        <w:bidi w:val="1"/>
        <w:spacing w:after="100" w:line="300" w:lineRule="auto"/>
      </w:pPr>
      <w:r>
        <w:rPr>
          <w:rFonts w:ascii="Noto Naskh Arabic" w:hAnsi="Noto Naskh Arabic" w:cs="Noto Naskh Arabic"/>
          <w:b w:val="0"/>
          <w:sz w:val="24"/>
        </w:rPr>
        <w:t>إذا كانت القيم متاحة في نقاط فقط، فإن المخرج الافتراضي يعرض النقاط ولا يوحي بوجود معلومات بينية غير مقاسة. أما الخريطة السطحية المستمرة فتُنتج فقط عند وجود بيانات شبكية أصلية أو عند تطبيق أسلوب استيفاء معلن ومُتحقق منه، مع حفظ طريقة الاستيفاء وعدم اليقين.</w:t>
      </w:r>
    </w:p>
    <w:p>
      <w:pPr>
        <w:jc w:val="right"/>
        <w:keepNext/>
        <w:bidi w:val="1"/>
        <w:spacing w:after="80" w:line="300" w:lineRule="auto" w:before="100"/>
        <w:keepNext/>
      </w:pPr>
      <w:r>
        <w:rPr>
          <w:rFonts w:ascii="Noto Naskh Arabic" w:hAnsi="Noto Naskh Arabic" w:cs="Noto Naskh Arabic"/>
          <w:b/>
          <w:color w:val="262626"/>
          <w:sz w:val="28"/>
        </w:rPr>
        <w:t>13.5 مرجع بصري خارجي</w:t>
      </w:r>
    </w:p>
    <w:p>
      <w:pPr>
        <w:jc w:val="right"/>
        <w:bidi w:val="1"/>
        <w:spacing w:after="100" w:line="300" w:lineRule="auto"/>
      </w:pPr>
      <w:r>
        <w:rPr>
          <w:rFonts w:ascii="Noto Naskh Arabic" w:hAnsi="Noto Naskh Arabic" w:cs="Noto Naskh Arabic"/>
          <w:b w:val="0"/>
          <w:sz w:val="24"/>
        </w:rPr>
        <w:t>تم تحديد صفحة خدمة الأرصاد الجوية الإسرائيلية IMS الخاصة بالبخر-نتح كمرجع وظيفي مهم: الخدمة تحسب ET₀ وفق FAO-56 Penman–Monteith، وتعرض بيانات محطات وخرائط ET للأيام السابقة وتوقعات قصيرة المدى. يمكن الاستفادة من منطق عرض قيمة ET على الخريطة وتجربة الاستخدام، مع بناء مخرج سوري مستقل وبهوية خاصة بالمنصة.</w:t>
      </w:r>
    </w:p>
    <w:p>
      <w:pPr>
        <w:jc w:val="right"/>
        <w:keepNext/>
        <w:bidi w:val="1"/>
        <w:spacing w:after="80" w:line="300" w:lineRule="auto" w:before="160"/>
        <w:keepNext/>
      </w:pPr>
      <w:r>
        <w:rPr>
          <w:rFonts w:ascii="Noto Naskh Arabic" w:hAnsi="Noto Naskh Arabic" w:cs="Noto Naskh Arabic"/>
          <w:b/>
          <w:color w:val="262626"/>
          <w:sz w:val="32"/>
        </w:rPr>
        <w:t>14. المعايرة والتحقق ومعامل الثقة</w:t>
      </w:r>
    </w:p>
    <w:p>
      <w:pPr>
        <w:jc w:val="right"/>
        <w:bidi w:val="1"/>
        <w:spacing w:after="100" w:line="300" w:lineRule="auto"/>
      </w:pPr>
      <w:r>
        <w:rPr>
          <w:rFonts w:ascii="Noto Naskh Arabic" w:hAnsi="Noto Naskh Arabic" w:cs="Noto Naskh Arabic"/>
          <w:b w:val="0"/>
          <w:sz w:val="24"/>
        </w:rPr>
        <w:t>تعمل المنصة في ثلاث درجات: تشغيل حسابي أساسي؛ تشغيل مصحح بالقياسات؛ تشغيل بمعاملات معايرة محلية متعددة المواسم مع تحقق مستقل. لا تُعد القياسات شرطاً للتشغيل لكنها ترفع القدرة على تقييم الخطأ وتصحيح الحالة.</w:t>
      </w:r>
    </w:p>
    <w:p>
      <w:pPr>
        <w:jc w:val="right"/>
        <w:keepNext/>
        <w:bidi w:val="1"/>
        <w:spacing w:after="80" w:line="300" w:lineRule="auto" w:before="100"/>
        <w:keepNext/>
      </w:pPr>
      <w:r>
        <w:rPr>
          <w:rFonts w:ascii="Noto Naskh Arabic" w:hAnsi="Noto Naskh Arabic" w:cs="Noto Naskh Arabic"/>
          <w:b/>
          <w:color w:val="262626"/>
          <w:sz w:val="28"/>
        </w:rPr>
        <w:t>14.1 تقييم المصادر المناخية</w:t>
      </w:r>
    </w:p>
    <w:p>
      <w:pPr>
        <w:jc w:val="right"/>
        <w:bidi w:val="1"/>
        <w:spacing w:after="100" w:line="300" w:lineRule="auto"/>
      </w:pPr>
      <w:r>
        <w:rPr>
          <w:rFonts w:ascii="Noto Naskh Arabic" w:hAnsi="Noto Naskh Arabic" w:cs="Noto Naskh Arabic"/>
          <w:b w:val="0"/>
          <w:sz w:val="24"/>
        </w:rPr>
        <w:t>عند توافر محطة مرجعية، تُقارن بيانات المصدر الشبكي بها على الفترات المتزامنة. التقييم يكون لكل متغير ولـ ET₀ النهائي، لأن توافق درجة الحرارة وحدها لا يضمن دقة ET₀ إذا كان الإشعاع أو الرياح أو الرطوبة منحازاً.</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المؤشر</w:t>
            </w:r>
          </w:p>
        </w:tc>
        <w:tc>
          <w:tcPr>
            <w:tcW w:type="dxa" w:w="4933"/>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الغرض</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r / R²</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قوة العلاقة والتباين المشترك.</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MBE</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اتجاه الانحياز.</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RMSE</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حجم الخطأ الكلي.</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MAE</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خطأ مطلق أقل حساسية للقيم المتطرفة.</w:t>
            </w:r>
          </w:p>
        </w:tc>
      </w:tr>
      <w:tr>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N pairs / completeness</w:t>
            </w:r>
          </w:p>
        </w:tc>
        <w:tc>
          <w:tcPr>
            <w:tcW w:type="dxa" w:w="4933"/>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حجم العينة واكتمال السلسلة.</w:t>
            </w:r>
          </w:p>
        </w:tc>
      </w:tr>
    </w:tbl>
    <w:p/>
    <w:tbl>
      <w:tblPr>
        <w:tblW w:type="auto" w:w="0"/>
        <w:jc w:val="center"/>
        <w:tblLayout w:type="autofit"/>
        <w:tblLook w:firstColumn="1" w:firstRow="1" w:lastColumn="0" w:lastRow="0" w:noHBand="0" w:noVBand="1" w:val="04A0"/>
      </w:tblPr>
      <w:tblGrid>
        <w:gridCol w:w="9866"/>
      </w:tblGrid>
      <w:tr>
        <w:trPr>
          <w:tblHeader w:val="true"/>
        </w:trPr>
        <w:tc>
          <w:tcPr>
            <w:tcW w:type="dxa" w:w="9866"/>
            <w:shd w:fill="F2F2F2"/>
            <w:tcMar>
              <w:top w:w="120" w:type="dxa"/>
              <w:start w:w="140" w:type="dxa"/>
              <w:bottom w:w="120" w:type="dxa"/>
              <w:end w:w="140" w:type="dxa"/>
            </w:tcMar>
          </w:tcPr>
          <w:p>
            <w:pPr>
              <w:jc w:val="right"/>
              <w:bidi w:val="1"/>
              <w:spacing w:after="90" w:line="300" w:lineRule="auto"/>
            </w:pPr>
            <w:r>
              <w:rPr>
                <w:rFonts w:ascii="Noto Naskh Arabic" w:hAnsi="Noto Naskh Arabic" w:cs="Noto Naskh Arabic"/>
                <w:b/>
                <w:sz w:val="23"/>
              </w:rPr>
              <w:t xml:space="preserve">قرار مؤجل عن قصد — </w:t>
            </w:r>
            <w:r>
              <w:rPr>
                <w:rFonts w:ascii="Noto Naskh Arabic" w:hAnsi="Noto Naskh Arabic" w:cs="Noto Naskh Arabic"/>
                <w:b w:val="0"/>
                <w:sz w:val="23"/>
              </w:rPr>
              <w:t>صيغة «معامل الثقة» الرقمية النهائية لم تُثبت بعد. يجب أن تُبنى بعد اختبار المصادر في المناطق السورية الخمس، وألا تُختزل في r أو R² وحدهما.</w:t>
            </w:r>
          </w:p>
        </w:tc>
      </w:tr>
    </w:tbl>
    <w:p/>
    <w:p>
      <w:pPr>
        <w:jc w:val="right"/>
        <w:keepNext/>
        <w:bidi w:val="1"/>
        <w:spacing w:after="80" w:line="300" w:lineRule="auto" w:before="160"/>
        <w:keepNext/>
      </w:pPr>
      <w:r>
        <w:rPr>
          <w:rFonts w:ascii="Noto Naskh Arabic" w:hAnsi="Noto Naskh Arabic" w:cs="Noto Naskh Arabic"/>
          <w:b/>
          <w:color w:val="262626"/>
          <w:sz w:val="32"/>
        </w:rPr>
        <w:t>15. مناطق المعايرة والتحقق البيئي</w:t>
      </w:r>
    </w:p>
    <w:p>
      <w:pPr>
        <w:jc w:val="right"/>
        <w:bidi w:val="1"/>
        <w:spacing w:after="100" w:line="300" w:lineRule="auto"/>
      </w:pPr>
      <w:r>
        <w:rPr>
          <w:rFonts w:ascii="Noto Naskh Arabic" w:hAnsi="Noto Naskh Arabic" w:cs="Noto Naskh Arabic"/>
          <w:b w:val="0"/>
          <w:sz w:val="24"/>
        </w:rPr>
        <w:t>المنصة وطنية، بينما تُختار خمس مناطق سورية متباينة للمعايرة والتحقق. الاختيار الحالي مبدئي ويُراجع بعد تحليل التباين المناخي والتربوي وتوافر المواقع والبيانات.</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المنطقة المرشحة</w:t>
            </w:r>
          </w:p>
        </w:tc>
        <w:tc>
          <w:tcPr>
            <w:tcW w:type="dxa" w:w="3289"/>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صفة عامة</w:t>
            </w:r>
          </w:p>
        </w:tc>
        <w:tc>
          <w:tcPr>
            <w:tcW w:type="dxa" w:w="3289"/>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هدف الاختبار</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سهل الغاب</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أكثر رطوبة نسبياً وترب عميقة</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الرشح والصرف والصعود الشعري عند ملاءمة الموقع.</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سلمية</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شبه جافة وأمطار متذبذبة</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الري التكميلي والري الناقص.</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ريف دمشق/الغوطة</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زراعة مروية وضغط موارد</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الجدولة ومحدودية المياه.</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حوران</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تفاعل المطر والري التكميلي</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دمج الهطول مع القرار.</w:t>
            </w:r>
          </w:p>
        </w:tc>
      </w:tr>
      <w:tr>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الجزيرة/الحسكة</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حبوب واسعة وبيئة قارية</w:t>
            </w:r>
          </w:p>
        </w:tc>
        <w:tc>
          <w:tcPr>
            <w:tcW w:type="dxa" w:w="3289"/>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التطبيق المكاني واسع النطاق.</w:t>
            </w:r>
          </w:p>
        </w:tc>
      </w:tr>
    </w:tbl>
    <w:p/>
    <w:p>
      <w:pPr>
        <w:jc w:val="right"/>
        <w:bidi w:val="1"/>
        <w:spacing w:after="100" w:line="300" w:lineRule="auto"/>
      </w:pPr>
      <w:r>
        <w:rPr>
          <w:rFonts w:ascii="Noto Naskh Arabic" w:hAnsi="Noto Naskh Arabic" w:cs="Noto Naskh Arabic"/>
          <w:b w:val="0"/>
          <w:sz w:val="24"/>
        </w:rPr>
        <w:t>يُدرس لاحقاً إدخال موقع شديد الجفاف من حوض الفرات وقد يحل محل أحد المواقع وفق التحليل البيئي.</w:t>
      </w:r>
    </w:p>
    <w:p>
      <w:pPr>
        <w:jc w:val="right"/>
        <w:keepNext/>
        <w:bidi w:val="1"/>
        <w:spacing w:after="80" w:line="300" w:lineRule="auto" w:before="160"/>
        <w:keepNext/>
      </w:pPr>
      <w:r>
        <w:rPr>
          <w:rFonts w:ascii="Noto Naskh Arabic" w:hAnsi="Noto Naskh Arabic" w:cs="Noto Naskh Arabic"/>
          <w:b/>
          <w:color w:val="262626"/>
          <w:sz w:val="32"/>
        </w:rPr>
        <w:t>16. المعمارية التقنية المقترحة</w:t>
      </w:r>
    </w:p>
    <w:p>
      <w:pPr>
        <w:spacing w:before="60" w:after="100"/>
        <w:jc w:val="center"/>
      </w:pPr>
      <w:r>
        <w:rPr>
          <w:rFonts w:ascii="Cambria Math" w:hAnsi="Cambria Math" w:cs="Cambria Math"/>
          <w:b w:val="0"/>
          <w:sz w:val="23"/>
        </w:rPr>
        <w:t>UI (HTML/Blazor) → Scientific Core (C-Sharp/.NET) → Data Services → GIS/External Sources</w:t>
      </w:r>
    </w:p>
    <w:p>
      <w:pPr>
        <w:jc w:val="right"/>
        <w:bidi w:val="1"/>
        <w:spacing w:after="100" w:line="300" w:lineRule="auto"/>
      </w:pPr>
      <w:r>
        <w:rPr>
          <w:rFonts w:ascii="Noto Naskh Arabic" w:hAnsi="Noto Naskh Arabic" w:cs="Noto Naskh Arabic"/>
          <w:b w:val="0"/>
          <w:sz w:val="24"/>
        </w:rPr>
        <w:t>اسم عمل مقترح للمحرك العلمي: GCSAR.Irrigation.Core. وحدات مبدئية: Evapotranspiration، ClimateTemplateImport، ClimateQualityControl، ClimateApproval، ClimateTimeSeriesViewer، ThermalTimeEngine، CropPhenology، SoilWaterBalance، IrrigationScheduler، WaterStress، FieldPoint، DailyWaterState، DataQuality، SpatialOutputs، MapRegionSelector، AdministrativeLayers.</w:t>
      </w:r>
    </w:p>
    <w:p>
      <w:pPr>
        <w:jc w:val="right"/>
        <w:bidi w:val="1"/>
        <w:spacing w:after="100" w:line="300" w:lineRule="auto"/>
      </w:pPr>
      <w:r>
        <w:rPr>
          <w:rFonts w:ascii="Noto Naskh Arabic" w:hAnsi="Noto Naskh Arabic" w:cs="Noto Naskh Arabic"/>
          <w:b w:val="0"/>
          <w:sz w:val="24"/>
        </w:rPr>
        <w:t>تُحافظ الواجهة على إمكانية استخدام Leaflet أو مكوّن خرائط مكافئ عبر JavaScript interoperability داخل Blazor. وتُفصل واجهات الاتصال بـ NASA POWER وWaPOR عن المعادلات العلمية حتى يمكن تغيير المصدر دون تغيير جوهر الحساب.</w:t>
      </w:r>
    </w:p>
    <w:p>
      <w:pPr>
        <w:pStyle w:val="Heading2"/>
      </w:pPr>
      <w:r>
        <w:t>16.1 مدير تنزيل NASA POWER</w:t>
      </w:r>
    </w:p>
    <w:p>
      <w:r>
        <w:t>يُعتمد مدير تنزيل NASA POWER كطبقة خدمة مستقلة بين الواجهة والمصدر الخارجي. يختار المستخدم النطاق والفترة والبارامترات مرة واحدة، بينما تتولى المنصة بناء الطلبات، تنفيذها، فحص الاستجابات، ودمجها قبل إدخال البيانات إلى مسار QC والمعاينة البصرية.</w:t>
      </w:r>
    </w:p>
    <w:p>
      <w:r>
        <w:t>في نمط Point، تستفيد المنصة من سماح POWER بطلب عدة بارامترات في الطلب الواحد (حتى الحد الرسمي الحالي). ويُستخدم هذا النمط للحقل أو المحطة أو نقطة المعايرة.</w:t>
      </w:r>
    </w:p>
    <w:p>
      <w:r>
        <w:t>في نمط Regional، وبسبب القيد الرسمي الحالي الذي يسمح ببارامتر واحد فقط لكل طلب إقليمي، تنشئ المنصة طلباً مستقلاً لكل بارامتر مختار وتنفذه بصورة متتابعة/مضبوطة، ثم تدمج النتائج بالمفتاح المركب: Latitude + Longitude + Date.</w:t>
      </w:r>
    </w:p>
    <w:p>
      <w:r>
        <w:t>الحزمة القياسية الأولية المقترحة: T2M_MAX، T2M_MIN، T2M، T2MDEW، RH2M، ALLSKY_SFC_SW_DWN، WS2M، PS، PRECTOTCORR. تُحوّل قيمة ALLSKY_SFC_SW_DWN إلى MJ m⁻² day⁻¹ عند الحاجة، وتُحفظ الوحدات الأصلية والتحويلات في سجل المصدر.</w:t>
      </w:r>
    </w:p>
    <w:p>
      <w:r>
        <w:t>قبل اعتماد الناتج الإقليمي يجب التحقق من تطابق مفاتيح المكان والزمان بين البارامترات، والإبلاغ عن أي اختلاف في عدد الخلايا أو التواريخ. لا يُدمج اختلاف الشبكة بصمت؛ أي إعادة أخذ عينات مستقبلية يجب أن تكون موثقة.</w:t>
      </w:r>
    </w:p>
    <w:p>
      <w:r>
        <w:t>النسخة HTML المحلية مخصصة للاختبار وقد تتأثر بقيود CORS وحجم الذاكرة في الفترات الإقليمية الطويلة. في بنية .NET النهائية تُنقل هذه الوظيفة إلى خدمة خلفية تتولى Request → Retry → Download → Validate → Merge → Cache، مع إمكانية تقسيم الفترات الطويلة واستئناف التنزيل دون تكرار البيانات.</w:t>
      </w:r>
    </w:p>
    <w:p>
      <w:r>
        <w:t>تسلسل التشغيل المعتمد: اختيار المصدر والنطاق → اختيار الفترة والبارامترات → معاينة خطة الطلبات → تنزيل ومراقبة تقدم كل بارامتر → دمج مكاني-زمني → QC → المعاينة البصرية → حساب ET₀/المقارنة → اعتماد البيانات.</w:t>
      </w:r>
    </w:p>
    <w:p>
      <w:pPr>
        <w:jc w:val="right"/>
        <w:keepNext/>
        <w:bidi w:val="1"/>
        <w:spacing w:after="80" w:line="300" w:lineRule="auto" w:before="160"/>
        <w:keepNext/>
      </w:pPr>
      <w:r>
        <w:rPr>
          <w:rFonts w:ascii="Noto Naskh Arabic" w:hAnsi="Noto Naskh Arabic" w:cs="Noto Naskh Arabic"/>
          <w:b/>
          <w:color w:val="262626"/>
          <w:sz w:val="32"/>
        </w:rPr>
        <w:t>17. القرارات المفتوحة للإصدارات التالية</w:t>
      </w:r>
    </w:p>
    <w:p>
      <w:pPr>
        <w:ind w:left="0"/>
        <w:jc w:val="right"/>
        <w:bidi w:val="1"/>
        <w:spacing w:after="90" w:line="300" w:lineRule="auto"/>
      </w:pPr>
      <w:r>
        <w:rPr>
          <w:rFonts w:ascii="Noto Naskh Arabic" w:hAnsi="Noto Naskh Arabic" w:cs="Noto Naskh Arabic"/>
          <w:b w:val="0"/>
          <w:sz w:val="23"/>
        </w:rPr>
        <w:t>• استكمال إصدار قالب Excel القياسي بعد اختبار الاستيراد الفعلي، وتحديد خرائط مطابقة ملفات المستخدم القديمة إلى أسماء الأعمدة القياسية.</w:t>
      </w:r>
    </w:p>
    <w:p>
      <w:pPr>
        <w:ind w:left="0"/>
        <w:jc w:val="right"/>
        <w:bidi w:val="1"/>
        <w:spacing w:after="90" w:line="300" w:lineRule="auto"/>
      </w:pPr>
      <w:r>
        <w:rPr>
          <w:rFonts w:ascii="Noto Naskh Arabic" w:hAnsi="Noto Naskh Arabic" w:cs="Noto Naskh Arabic"/>
          <w:b w:val="0"/>
          <w:sz w:val="23"/>
        </w:rPr>
        <w:t>• قواعد FAO-56 لتقدير المتغيرات المناخية المفقودة قبل اللجوء إلى مصدر شبكي خارجي، وترتيبها حسب الأثر على ET₀.</w:t>
      </w:r>
    </w:p>
    <w:p>
      <w:pPr>
        <w:ind w:left="0"/>
        <w:jc w:val="right"/>
        <w:bidi w:val="1"/>
        <w:spacing w:after="90" w:line="300" w:lineRule="auto"/>
      </w:pPr>
      <w:r>
        <w:t>• اختبار مدير NASA POWER عملياً عبر Point وRegional، وتثبيت التخزين المؤقت والاستئناف واستراتيجية الأرشيف الطويل في خدمة .NET الخلفية.</w:t>
      </w:r>
    </w:p>
    <w:p>
      <w:pPr>
        <w:ind w:left="0"/>
        <w:jc w:val="right"/>
        <w:bidi w:val="1"/>
        <w:spacing w:after="90" w:line="300" w:lineRule="auto"/>
      </w:pPr>
      <w:r>
        <w:rPr>
          <w:rFonts w:ascii="Noto Naskh Arabic" w:hAnsi="Noto Naskh Arabic" w:cs="Noto Naskh Arabic"/>
          <w:b w:val="0"/>
          <w:sz w:val="23"/>
        </w:rPr>
        <w:t>• بروتوكول تقييم NASA POWER في سورية، وفترة المقارنة الدنيا، وصيغة درجة الثقة.</w:t>
      </w:r>
    </w:p>
    <w:p>
      <w:pPr>
        <w:ind w:left="0"/>
        <w:jc w:val="right"/>
        <w:bidi w:val="1"/>
        <w:spacing w:after="90" w:line="300" w:lineRule="auto"/>
      </w:pPr>
      <w:r>
        <w:rPr>
          <w:rFonts w:ascii="Noto Naskh Arabic" w:hAnsi="Noto Naskh Arabic" w:cs="Noto Naskh Arabic"/>
          <w:b w:val="0"/>
          <w:sz w:val="23"/>
        </w:rPr>
        <w:t>• المطر: الجريان السطحي، الرشح العميق، والصعود الشعري وفق مستويات توافر البيانات.</w:t>
      </w:r>
    </w:p>
    <w:p>
      <w:pPr>
        <w:ind w:left="0"/>
        <w:jc w:val="right"/>
        <w:bidi w:val="1"/>
        <w:spacing w:after="90" w:line="300" w:lineRule="auto"/>
      </w:pPr>
      <w:r>
        <w:rPr>
          <w:rFonts w:ascii="Noto Naskh Arabic" w:hAnsi="Noto Naskh Arabic" w:cs="Noto Naskh Arabic"/>
          <w:b w:val="0"/>
          <w:sz w:val="23"/>
        </w:rPr>
        <w:t>• جداول Kc/Kcb، p، Zr للمحاصيل السورية ومسار المعايرة المحلية.</w:t>
      </w:r>
    </w:p>
    <w:p>
      <w:pPr>
        <w:ind w:left="0"/>
        <w:jc w:val="right"/>
        <w:bidi w:val="1"/>
        <w:spacing w:after="90" w:line="300" w:lineRule="auto"/>
      </w:pPr>
      <w:r>
        <w:rPr>
          <w:rFonts w:ascii="Noto Naskh Arabic" w:hAnsi="Noto Naskh Arabic" w:cs="Noto Naskh Arabic"/>
          <w:b w:val="0"/>
          <w:sz w:val="23"/>
        </w:rPr>
        <w:t>• تحديد Tbase/Tupper ونقاط GDD للأطوار لكل محصول وصنف، ثم بناء مسارات مستقلة للآفات وتوقع الغلة بحسب المراجع والتجارب المحلية.</w:t>
      </w:r>
    </w:p>
    <w:p>
      <w:pPr>
        <w:ind w:left="0"/>
        <w:jc w:val="right"/>
        <w:bidi w:val="1"/>
        <w:spacing w:after="90" w:line="300" w:lineRule="auto"/>
      </w:pPr>
      <w:r>
        <w:rPr>
          <w:rFonts w:ascii="Noto Naskh Arabic" w:hAnsi="Noto Naskh Arabic" w:cs="Noto Naskh Arabic"/>
          <w:b w:val="0"/>
          <w:sz w:val="23"/>
        </w:rPr>
        <w:t>• خوارزمية أولوية الحقول تحت محدودية المياه وربطها بحساسية الأطوار الفينولوجية.</w:t>
      </w:r>
    </w:p>
    <w:p>
      <w:pPr>
        <w:ind w:left="0"/>
        <w:jc w:val="right"/>
        <w:bidi w:val="1"/>
        <w:spacing w:after="90" w:line="300" w:lineRule="auto"/>
      </w:pPr>
      <w:r>
        <w:rPr>
          <w:rFonts w:ascii="Noto Naskh Arabic" w:hAnsi="Noto Naskh Arabic" w:cs="Noto Naskh Arabic"/>
          <w:b w:val="0"/>
          <w:sz w:val="23"/>
        </w:rPr>
        <w:t>• معيار الاستيفاء المكاني عند إنشاء سطح ET₀ وطني من نقاط المحطات، وشروط منع الاستيفاء غير الموثوق.</w:t>
      </w:r>
    </w:p>
    <w:p>
      <w:pPr>
        <w:ind w:left="0"/>
        <w:jc w:val="right"/>
        <w:bidi w:val="1"/>
        <w:spacing w:after="90" w:line="300" w:lineRule="auto"/>
      </w:pPr>
      <w:r>
        <w:rPr>
          <w:rFonts w:ascii="Noto Naskh Arabic" w:hAnsi="Noto Naskh Arabic" w:cs="Noto Naskh Arabic"/>
          <w:b w:val="0"/>
          <w:sz w:val="23"/>
        </w:rPr>
        <w:t>• إدراج طبقة حدود المحافظات السورية ADM1 الدقيقة من مصدر GIS مفتوح وموثق، وربط اختيار المحافظة بتصفية النقاط والحقول وتقارير المنطقة.</w:t>
      </w:r>
    </w:p>
    <w:p>
      <w:pPr>
        <w:ind w:left="0"/>
        <w:jc w:val="right"/>
        <w:bidi w:val="1"/>
        <w:spacing w:after="90" w:line="300" w:lineRule="auto"/>
      </w:pPr>
      <w:r>
        <w:rPr>
          <w:rFonts w:ascii="Noto Naskh Arabic" w:hAnsi="Noto Naskh Arabic" w:cs="Noto Naskh Arabic"/>
          <w:b w:val="0"/>
          <w:sz w:val="23"/>
        </w:rPr>
        <w:t>• اختيار قاعدة البيانات المكانية النهائية بعد النموذج الأولي: GeoPackage ثم PostgreSQL/PostGIS عند الحاجة متعددة المستخدمين.</w:t>
      </w:r>
    </w:p>
    <w:p>
      <w:pPr>
        <w:jc w:val="right"/>
        <w:keepNext/>
        <w:bidi w:val="1"/>
        <w:spacing w:after="80" w:line="300" w:lineRule="auto" w:before="160"/>
        <w:keepNext/>
      </w:pPr>
      <w:r>
        <w:t>18. المراجع الأساسية الموثوقة — إصدار 0.7</w:t>
      </w:r>
    </w:p>
    <w:p>
      <w:pPr>
        <w:spacing w:after="80"/>
        <w:jc w:val="left"/>
      </w:pPr>
      <w:r>
        <w:rPr>
          <w:rFonts w:ascii="Arimo" w:hAnsi="Arimo" w:cs="Arimo"/>
          <w:b w:val="0"/>
          <w:sz w:val="21"/>
        </w:rPr>
        <w:t>[1] Allen, R.G.; Pereira, L.S.; Raes, D.; Smith, M. (1998). Crop Evapotranspiration: Guidelines for Computing Crop Water Requirements. FAO Irrigation and Drainage Paper 56. FAO, Rome.</w:t>
      </w:r>
    </w:p>
    <w:p>
      <w:pPr>
        <w:spacing w:after="80"/>
        <w:jc w:val="left"/>
      </w:pPr>
      <w:r>
        <w:rPr>
          <w:rFonts w:ascii="Arimo" w:hAnsi="Arimo" w:cs="Arimo"/>
          <w:b w:val="0"/>
          <w:sz w:val="21"/>
        </w:rPr>
        <w:t>[2] FAO. Chapter 2 — FAO Penman–Monteith equation; official FAO-56 online text: https://www.fao.org/4/X0490E/x0490e06.htm</w:t>
      </w:r>
    </w:p>
    <w:p>
      <w:pPr>
        <w:spacing w:after="80"/>
        <w:jc w:val="left"/>
      </w:pPr>
      <w:r>
        <w:rPr>
          <w:rFonts w:ascii="Arimo" w:hAnsi="Arimo" w:cs="Arimo"/>
          <w:b w:val="0"/>
          <w:sz w:val="21"/>
        </w:rPr>
        <w:t>[3] FAO. Part A — Reference evapotranspiration (ET₀), meteorological data and missing-data procedures: https://www.fao.org/4/x0490e/x0490e05.htm</w:t>
      </w:r>
    </w:p>
    <w:p>
      <w:pPr>
        <w:spacing w:after="80"/>
        <w:jc w:val="left"/>
      </w:pPr>
      <w:r>
        <w:rPr>
          <w:rFonts w:ascii="Arimo" w:hAnsi="Arimo" w:cs="Arimo"/>
          <w:b w:val="0"/>
          <w:sz w:val="21"/>
        </w:rPr>
        <w:t>[4] FAO. ETo Calculator and Reference Manual; implementation of FAO Penman–Monteith and climatic-data handling.</w:t>
      </w:r>
    </w:p>
    <w:p>
      <w:pPr>
        <w:spacing w:after="80"/>
        <w:jc w:val="left"/>
      </w:pPr>
      <w:r>
        <w:rPr>
          <w:rFonts w:ascii="Arimo" w:hAnsi="Arimo" w:cs="Arimo"/>
          <w:b w:val="0"/>
          <w:sz w:val="21"/>
        </w:rPr>
        <w:t>[5] NASA POWER. Daily API documentation: https://power.larc.nasa.gov/docs/services/api/temporal/daily/</w:t>
      </w:r>
    </w:p>
    <w:p>
      <w:pPr>
        <w:spacing w:after="80"/>
        <w:jc w:val="left"/>
      </w:pPr>
      <w:r>
        <w:rPr>
          <w:rFonts w:ascii="Arimo" w:hAnsi="Arimo" w:cs="Arimo"/>
          <w:b w:val="0"/>
          <w:sz w:val="21"/>
        </w:rPr>
        <w:t>[6] NASA POWER. Methodology — Data Sources; CERES/SRB solar products and MERRA-2/GEOS meteorology: https://power.larc.nasa.gov/docs/methodology/data/sources/</w:t>
      </w:r>
    </w:p>
    <w:p>
      <w:pPr>
        <w:spacing w:after="80"/>
        <w:jc w:val="left"/>
      </w:pPr>
      <w:r>
        <w:rPr>
          <w:rFonts w:ascii="Arimo" w:hAnsi="Arimo" w:cs="Arimo"/>
          <w:b w:val="0"/>
          <w:sz w:val="21"/>
        </w:rPr>
        <w:t>[7] NASA POWER. Meteorological Data Overview and assessment methods (correlation, bias, RMSE): https://power.larc.nasa.gov/docs/methodology/meteorology/</w:t>
      </w:r>
    </w:p>
    <w:p>
      <w:pPr>
        <w:spacing w:after="80"/>
        <w:jc w:val="left"/>
      </w:pPr>
      <w:r>
        <w:rPr>
          <w:rFonts w:ascii="Arimo" w:hAnsi="Arimo" w:cs="Arimo"/>
          <w:b w:val="0"/>
          <w:sz w:val="21"/>
        </w:rPr>
        <w:t>[8] FAO WaPOR v3 / pyWaPOR documentation and reference evapotranspiration/actual ET products.</w:t>
      </w:r>
    </w:p>
    <w:p>
      <w:pPr>
        <w:spacing w:after="80"/>
        <w:jc w:val="left"/>
      </w:pPr>
      <w:r>
        <w:rPr>
          <w:rFonts w:ascii="Arimo" w:hAnsi="Arimo" w:cs="Arimo"/>
          <w:b w:val="0"/>
          <w:sz w:val="21"/>
        </w:rPr>
        <w:t>[9] Israel Meteorological Service (IMS). Evapotranspiration forecast explanation: FAO-56 Penman–Monteith, station data, 1-km ET maps and short-range forecasts: https://ims.gov.il/en/EvaporationExplanation</w:t>
      </w:r>
    </w:p>
    <w:p>
      <w:pPr>
        <w:spacing w:after="80"/>
        <w:jc w:val="left"/>
      </w:pPr>
      <w:r>
        <w:rPr>
          <w:rFonts w:ascii="Arimo" w:hAnsi="Arimo" w:cs="Arimo"/>
          <w:b w:val="0"/>
          <w:sz w:val="21"/>
        </w:rPr>
        <w:t>[10] Zadoks, J.C.; Chang, T.T.; Konzak, C.F. (1974). A decimal code for the growth stages of cereals. Weed Research 14: 415–421.</w:t>
      </w:r>
    </w:p>
    <w:p>
      <w:pPr>
        <w:spacing w:after="80"/>
        <w:jc w:val="left"/>
      </w:pPr>
      <w:r>
        <w:rPr>
          <w:rFonts w:ascii="Arimo" w:hAnsi="Arimo" w:cs="Arimo"/>
          <w:b w:val="0"/>
          <w:sz w:val="21"/>
        </w:rPr>
        <w:t>[11] Leaflet official documentation for interactive web mapping: https://leafletjs.com/</w:t>
      </w:r>
    </w:p>
    <w:p>
      <w:pPr>
        <w:spacing w:after="80"/>
        <w:jc w:val="left"/>
      </w:pPr>
      <w:r>
        <w:rPr>
          <w:rFonts w:ascii="Arimo" w:hAnsi="Arimo" w:cs="Arimo"/>
          <w:b w:val="0"/>
          <w:sz w:val="21"/>
        </w:rPr>
        <w:t>[12] Microsoft Learn. ASP.NET Core Blazor / Blazor Hybrid official documentation for .NET web and desktop integration.</w:t>
      </w:r>
    </w:p>
    <w:p>
      <w:pPr>
        <w:spacing w:after="80"/>
        <w:jc w:val="left"/>
      </w:pPr>
      <w:r>
        <w:rPr>
          <w:rFonts w:ascii="Arimo" w:hAnsi="Arimo" w:cs="Arimo"/>
          <w:b w:val="0"/>
          <w:sz w:val="21"/>
        </w:rPr>
        <w:t>[13] McMaster, G.S.; Wilhelm, W.W. (1997). Growing degree-days: one equation, two interpretations. Agricultural and Forest Meteorology 87: 291–300.</w:t>
      </w:r>
    </w:p>
    <w:p>
      <w:pPr>
        <w:spacing w:after="80"/>
        <w:jc w:val="left"/>
      </w:pPr>
      <w:r>
        <w:rPr>
          <w:rFonts w:ascii="Arimo" w:hAnsi="Arimo" w:cs="Arimo"/>
          <w:b w:val="0"/>
          <w:sz w:val="21"/>
        </w:rPr>
        <w:t>[14] Penn State Extension. Understanding Growing Degree Days — calculation and use for crop and pest development: https://extension.psu.edu/understanding-growing-degree-days</w:t>
      </w:r>
    </w:p>
    <w:p>
      <w:pPr>
        <w:spacing w:after="80"/>
        <w:jc w:val="left"/>
      </w:pPr>
      <w:r>
        <w:rPr>
          <w:rFonts w:ascii="Arimo" w:hAnsi="Arimo" w:cs="Arimo"/>
          <w:b w:val="0"/>
          <w:sz w:val="21"/>
        </w:rPr>
        <w:t>[15] Natural Earth. Admin 0 country boundaries; public-domain map data used for the national Syria outline in Prototype v0.2: https://www.naturalearthdata.com/</w:t>
      </w:r>
    </w:p>
    <w:p>
      <w:pPr>
        <w:spacing w:after="80"/>
        <w:jc w:val="left"/>
      </w:pPr>
      <w:r>
        <w:rPr>
          <w:rFonts w:ascii="Arimo" w:hAnsi="Arimo" w:cs="Arimo"/>
          <w:b w:val="0"/>
          <w:sz w:val="21"/>
        </w:rPr>
        <w:t>[16] geoBoundaries. Open administrative boundary API; Syria ADM1 provides 14 governorate units and documented licensing/source metadata: https://www.geoboundaries.org/api/current/gbOpen/SYR/ADM1/</w:t>
      </w:r>
    </w:p>
    <w:p>
      <w:r>
        <w:t>[17] NASA POWER. API tutorial and multi-point download guidance: https://power.larc.nasa.gov/docs/tutorials/service-data-request/api/</w:t>
      </w:r>
    </w:p>
    <w:p>
      <w:pPr>
        <w:jc w:val="right"/>
        <w:keepNext/>
        <w:bidi w:val="1"/>
        <w:spacing w:after="80" w:line="300" w:lineRule="auto" w:before="160"/>
        <w:keepNext/>
      </w:pPr>
      <w:r>
        <w:rPr>
          <w:rFonts w:ascii="Noto Naskh Arabic" w:hAnsi="Noto Naskh Arabic" w:cs="Noto Naskh Arabic"/>
          <w:b/>
          <w:color w:val="262626"/>
          <w:sz w:val="32"/>
        </w:rPr>
        <w:t>19. سجل الإصدارات</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الإصدار</w:t>
            </w:r>
          </w:p>
        </w:tc>
        <w:tc>
          <w:tcPr>
            <w:tcW w:type="dxa" w:w="2466"/>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التاريخ</w:t>
            </w:r>
          </w:p>
        </w:tc>
        <w:tc>
          <w:tcPr>
            <w:tcW w:type="dxa" w:w="2466"/>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أهم الإضافات</w:t>
            </w:r>
          </w:p>
        </w:tc>
        <w:tc>
          <w:tcPr>
            <w:tcW w:type="dxa" w:w="2466"/>
            <w:vAlign w:val="center"/>
            <w:shd w:fill="D9E2F3"/>
            <w:tcMar>
              <w:top w:w="90" w:type="dxa"/>
              <w:start w:w="90" w:type="dxa"/>
              <w:bottom w:w="90" w:type="dxa"/>
              <w:end w:w="90" w:type="dxa"/>
            </w:tcMar>
          </w:tcPr>
          <w:p>
            <w:pPr>
              <w:jc w:val="center"/>
              <w:bidi w:val="1"/>
              <w:spacing w:after="90" w:line="300" w:lineRule="auto"/>
            </w:pPr>
            <w:r>
              <w:rPr>
                <w:rFonts w:ascii="Noto Naskh Arabic" w:hAnsi="Noto Naskh Arabic" w:cs="Noto Naskh Arabic"/>
                <w:b/>
                <w:sz w:val="21"/>
              </w:rPr>
              <w:t>الحالة</w:t>
            </w:r>
          </w:p>
        </w:tc>
      </w:tr>
      <w:tr>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0.1</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16/10/2026</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الرؤية، الموازنة الأساسية، الفينولوجيا، المسار النقطي، WaPOR، مناطق التحقق، تطور الفكرة.</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وثيقة أولية</w:t>
            </w:r>
          </w:p>
        </w:tc>
      </w:tr>
      <w:tr>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0.2</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16/10/2026</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سجل اليوم الواحد، ترتيب الحساب اليومي، المصدر والجودة، معالجة تغير عمق الجذور والطبقات.</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وثيقة محدثة</w:t>
            </w:r>
          </w:p>
        </w:tc>
      </w:tr>
      <w:tr>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0.3</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16/10/2026</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مراجعة التسلسل والمنهجية والمراجع؛ تثبيت FAO-56 ET₀، Excel كمصدر أول، NASA POWER كبديل، تقييم الثقة، وخريطة سورية لقيم ET₀.</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وثيقة منهجية محدثة</w:t>
            </w:r>
          </w:p>
        </w:tc>
      </w:tr>
      <w:tr>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0.4</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16/10/2026</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دورة قالب المناخ: تنزيل/رفع/QC/حساب/مقارنة/اعتماد؛ بطاقة التراكم الحراري؛ ومحرك المسارات الحرارية المستقلة للمحصول والآفات والغلة.</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وثيقة منهجية محدثة</w:t>
            </w:r>
          </w:p>
        </w:tc>
      </w:tr>
      <w:tr>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0.5</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16/10/2026</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تحديث الخريطة إلى حد وطني فعلي لسورية؛ اختيار المحافظات والمناطق البيئية؛ وتثبيت إرفاق أحدث دليل داخل كل حزمة ZIP للمنصة.</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وثيقة منهجية محدثة</w:t>
            </w:r>
          </w:p>
        </w:tc>
      </w:tr>
      <w:tr>
        <w:tc>
          <w:tcPr>
            <w:tcW w:type="dxa" w:w="2466"/>
            <w:vAlign w:val="center"/>
            <w:tcMar>
              <w:top w:w="90" w:type="dxa"/>
              <w:start w:w="90" w:type="dxa"/>
              <w:bottom w:w="90" w:type="dxa"/>
              <w:end w:w="90" w:type="dxa"/>
            </w:tcMar>
          </w:tcPr>
          <w:p>
            <w:r>
              <w:t>0.6</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16/10/2026</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إضافة المعاينة الزمنية البصرية قبل اعتماد المناخ؛ تبديل المتغيرات؛ التجميع اليومي/الشهري؛ إحصاءات Min/Mean/Max والمفقود؛ وجعل تأكيد المراجعة شرطاً للاعتماد.</w:t>
            </w:r>
          </w:p>
        </w:tc>
        <w:tc>
          <w:tcPr>
            <w:tcW w:type="dxa" w:w="2466"/>
            <w:vAlign w:val="center"/>
            <w:tcMar>
              <w:top w:w="90" w:type="dxa"/>
              <w:start w:w="90" w:type="dxa"/>
              <w:bottom w:w="90" w:type="dxa"/>
              <w:end w:w="90" w:type="dxa"/>
            </w:tcMar>
          </w:tcPr>
          <w:p>
            <w:pPr>
              <w:jc w:val="right"/>
              <w:bidi w:val="1"/>
              <w:spacing w:after="90" w:line="300" w:lineRule="auto"/>
            </w:pPr>
            <w:r>
              <w:rPr>
                <w:rFonts w:ascii="Noto Naskh Arabic" w:hAnsi="Noto Naskh Arabic" w:cs="Noto Naskh Arabic"/>
                <w:b w:val="0"/>
                <w:sz w:val="21"/>
              </w:rPr>
              <w:t>وثيقة منهجية محدثة</w:t>
            </w:r>
          </w:p>
        </w:tc>
      </w:tr>
      <w:tr>
        <w:tc>
          <w:tcPr>
            <w:tcW w:type="dxa" w:w="2466"/>
          </w:tcPr>
          <w:p>
            <w:r>
              <w:t>0.7</w:t>
            </w:r>
          </w:p>
        </w:tc>
        <w:tc>
          <w:tcPr>
            <w:tcW w:type="dxa" w:w="2466"/>
          </w:tcPr>
          <w:p>
            <w:r>
              <w:t>16/10/2026</w:t>
            </w:r>
          </w:p>
        </w:tc>
        <w:tc>
          <w:tcPr>
            <w:tcW w:type="dxa" w:w="2466"/>
          </w:tcPr>
          <w:p>
            <w:r>
              <w:t>مدير NASA POWER: Point متعدد البارامترات، Regional متعدد الطلبات، الدمج المكاني-الزمني، تقدم التحميل وفحص الاتساق قبل QC.</w:t>
            </w:r>
          </w:p>
        </w:tc>
        <w:tc>
          <w:tcPr>
            <w:tcW w:type="dxa" w:w="2466"/>
          </w:tcPr>
          <w:p>
            <w:r>
              <w:t>وثيقة محدثة</w:t>
            </w:r>
          </w:p>
        </w:tc>
      </w:tr>
    </w:tbl>
    <w:sectPr w:rsidR="00FC693F" w:rsidRPr="0006063C" w:rsidSect="00034616">
      <w:headerReference w:type="default" r:id="rId9"/>
      <w:footerReference w:type="default" r:id="rId10"/>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spacing w:after="90" w:line="300" w:lineRule="auto"/>
    </w:pPr>
    <w:r>
      <w:rPr>
        <w:rFonts w:ascii="Noto Naskh Arabic" w:hAnsi="Noto Naskh Arabic" w:cs="Noto Naskh Arabic"/>
        <w:b w:val="0"/>
        <w:sz w:val="18"/>
      </w:rPr>
      <w:t>وثيقة عمل حية — 16 تشرين الأول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spacing w:after="90" w:line="300" w:lineRule="auto"/>
    </w:pPr>
    <w:r>
      <w:rPr>
        <w:rFonts w:ascii="Noto Naskh Arabic" w:hAnsi="Noto Naskh Arabic" w:cs="Noto Naskh Arabic"/>
        <w:b w:val="0"/>
        <w:sz w:val="18"/>
      </w:rPr>
      <w:t>الدليل التشغيلي والمنهجي للمنصة السورية لإدارة وجدولة الري — إصدار 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cs="Noto Naskh Arab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