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vue-cli3配置自适应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remUnit: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eastAsia="zh-CN" w:bidi="ar"/>
        </w:rPr>
        <w:t>正确为</w:t>
      </w:r>
      <w:bookmarkStart w:id="0" w:name="_GoBack"/>
      <w:bookmarkEnd w:id="0"/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转换为rem的基准px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ilvl w:val="0"/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instrText xml:space="preserve"> HYPERLINK "https://www.cnblogs.com/520BigBear/p/11262164.html"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t>小程序更新发布之后线上还是之前的老版本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微信小程序每次发布更新后线上还是之前的老版本，</w:t>
      </w:r>
      <w:r>
        <w:rPr>
          <w:rStyle w:val="6"/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要删除后重新打开才会显示新版本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  <w:t>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"https://www.jianshu.com/p/9d679e5f8072"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https://www.jianshu.com/p/9d679e5f8072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line-height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实现如下的布局：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.content-item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inline-flex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flex-direction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margin-bottom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capture-catch:touchmove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rPr>
          <w:rFonts w:hint="eastAsia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rPr>
          <w:rFonts w:hint="eastAsia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/>
        </w:rPr>
      </w:pPr>
      <w:r>
        <w:rPr>
          <w:rFonts w:hint="default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.arrow.active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smallfooterAn;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animation-duration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animation-timing-function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ease-in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animation-iteration-count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/*动画执行多少次的参数*/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animation-fill-mode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forwards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animation-delay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@keyframes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smallfooterAn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-webkit-box-orient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vertical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-webkit-line-clamp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overflow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hidden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word-break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break-all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word-wrap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break-word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5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1EE5683B"/>
    <w:rsid w:val="20174615"/>
    <w:rsid w:val="20AC4726"/>
    <w:rsid w:val="23B1785A"/>
    <w:rsid w:val="28940584"/>
    <w:rsid w:val="29FA6117"/>
    <w:rsid w:val="39DF24F0"/>
    <w:rsid w:val="3BA83870"/>
    <w:rsid w:val="3FBB0897"/>
    <w:rsid w:val="557C1B57"/>
    <w:rsid w:val="5AE756E5"/>
    <w:rsid w:val="5EC34823"/>
    <w:rsid w:val="5EF7D8D4"/>
    <w:rsid w:val="6CDDF053"/>
    <w:rsid w:val="6FFF379A"/>
    <w:rsid w:val="6FFFF563"/>
    <w:rsid w:val="70BD6CEA"/>
    <w:rsid w:val="7BBC9864"/>
    <w:rsid w:val="7CFBAE93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7FA697C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2019-06-24T14:52:00Z</dcterms:created>
  <dc:creator>EDZ</dc:creator>
  <cp:lastModifiedBy>hejiawei</cp:lastModifiedBy>
  <dcterms:modified xsi:type="dcterms:W3CDTF">2019-12-17T12:01:40Z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