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64C73">
      <w:pPr>
        <w:spacing w:before="0" w:after="160" w:line="288" w:lineRule="auto"/>
        <w:jc w:val="left"/>
      </w:pPr>
      <w:r>
        <w:rPr>
          <w:rFonts w:hint="eastAsia"/>
          <w:b/>
          <w:color w:val="123A63"/>
          <w:sz w:val="40"/>
        </w:rPr>
        <w:t>Final Experimental Report for Preliminary Screening: YOLO-Based Dental Caries Detection Implementation</w:t>
      </w:r>
    </w:p>
    <w:p w14:paraId="5840D8BF">
      <w:pPr>
        <w:rPr>
          <w:rFonts w:hint="default" w:eastAsia="宋体"/>
          <w:lang w:val="en-US" w:eastAsia="zh-CN"/>
        </w:rPr>
      </w:pPr>
      <w:r>
        <w:rPr>
          <w:rFonts w:hint="eastAsia" w:eastAsia="宋体"/>
          <w:lang w:val="en-US" w:eastAsia="zh-CN"/>
        </w:rPr>
        <w:t xml:space="preserve">Github Repositories: </w:t>
      </w:r>
      <w:bookmarkStart w:id="0" w:name="_GoBack"/>
      <w:bookmarkEnd w:id="0"/>
      <w:r>
        <w:rPr>
          <w:rFonts w:hint="eastAsia" w:eastAsia="宋体"/>
          <w:lang w:val="en-US" w:eastAsia="zh-CN"/>
        </w:rPr>
        <w:t>https://github.com/hejingxi6/Caries-Detection-Implementation</w:t>
      </w:r>
    </w:p>
    <w:tbl>
      <w:tblPr>
        <w:tblStyle w:val="32"/>
        <w:tblW w:w="0" w:type="auto"/>
        <w:jc w:val="center"/>
        <w:tblLayout w:type="autofit"/>
        <w:tblCellMar>
          <w:top w:w="0" w:type="dxa"/>
          <w:left w:w="108" w:type="dxa"/>
          <w:bottom w:w="0" w:type="dxa"/>
          <w:right w:w="108" w:type="dxa"/>
        </w:tblCellMar>
      </w:tblPr>
      <w:tblGrid>
        <w:gridCol w:w="10200"/>
      </w:tblGrid>
      <w:tr w14:paraId="6AF0BB79">
        <w:tblPrEx>
          <w:tblCellMar>
            <w:top w:w="0" w:type="dxa"/>
            <w:left w:w="108" w:type="dxa"/>
            <w:bottom w:w="0" w:type="dxa"/>
            <w:right w:w="108" w:type="dxa"/>
          </w:tblCellMar>
        </w:tblPrEx>
        <w:trPr>
          <w:jc w:val="center"/>
        </w:trPr>
        <w:tc>
          <w:tcPr>
            <w:tcW w:w="10200" w:type="dxa"/>
            <w:shd w:val="clear" w:color="auto" w:fill="DCEAF7"/>
          </w:tcPr>
          <w:p w14:paraId="6590A12E">
            <w:r>
              <w:t>Executive Summary</w:t>
            </w:r>
          </w:p>
        </w:tc>
      </w:tr>
    </w:tbl>
    <w:p w14:paraId="1A80DFD5"/>
    <w:p w14:paraId="7A18E024">
      <w:pPr>
        <w:spacing w:before="0" w:after="100" w:line="288" w:lineRule="auto"/>
        <w:ind w:firstLine="440" w:firstLineChars="200"/>
        <w:jc w:val="left"/>
      </w:pPr>
      <w:r>
        <w:t>An end-to-end YOLO-based dental caries detection pipeline was implemented for the preliminary screening task and then improved through three controlled optimization rounds. The main contribution of this work is a traceable engineering process: starting from a basic baseline, the detector was strengthened through threshold sweeping, imbalance-oriented training changes, and literature-guided design decisions.</w:t>
      </w:r>
    </w:p>
    <w:p w14:paraId="350A9E5A">
      <w:pPr>
        <w:spacing w:before="0" w:after="100" w:line="288" w:lineRule="auto"/>
        <w:ind w:firstLine="440" w:firstLineChars="200"/>
        <w:jc w:val="left"/>
      </w:pPr>
      <w:r>
        <w:t>The strongest retained operating point in the available evidence is Round 2 sweep for mAP@0.5 (0.595) and recall (0.592), while Round 3 sweep gives the best mAP@0.5:0.95 (0.425) and the highest precision (0.677). Compared with the initial baseline (mAP@0.5 = 0.312, mAP@0.5:0.95 = 0.216), this means the project achieved clear measurable improvement rather than only narrative progress.</w:t>
      </w:r>
    </w:p>
    <w:p w14:paraId="60FBD4BC">
      <w:pPr>
        <w:spacing w:before="0" w:after="160" w:line="288" w:lineRule="auto"/>
        <w:jc w:val="left"/>
      </w:pPr>
    </w:p>
    <w:tbl>
      <w:tblPr>
        <w:tblStyle w:val="32"/>
        <w:tblW w:w="0" w:type="auto"/>
        <w:jc w:val="center"/>
        <w:tblLayout w:type="autofit"/>
        <w:tblCellMar>
          <w:top w:w="0" w:type="dxa"/>
          <w:left w:w="108" w:type="dxa"/>
          <w:bottom w:w="0" w:type="dxa"/>
          <w:right w:w="108" w:type="dxa"/>
        </w:tblCellMar>
      </w:tblPr>
      <w:tblGrid>
        <w:gridCol w:w="10200"/>
      </w:tblGrid>
      <w:tr w14:paraId="3831595B">
        <w:tblPrEx>
          <w:tblCellMar>
            <w:top w:w="0" w:type="dxa"/>
            <w:left w:w="108" w:type="dxa"/>
            <w:bottom w:w="0" w:type="dxa"/>
            <w:right w:w="108" w:type="dxa"/>
          </w:tblCellMar>
        </w:tblPrEx>
        <w:trPr>
          <w:jc w:val="center"/>
        </w:trPr>
        <w:tc>
          <w:tcPr>
            <w:tcW w:w="10200" w:type="dxa"/>
            <w:shd w:val="clear" w:color="auto" w:fill="DCEAF7"/>
          </w:tcPr>
          <w:p w14:paraId="1919EC8C">
            <w:r>
              <w:t>1. Task and Reporting Basis</w:t>
            </w:r>
          </w:p>
        </w:tc>
      </w:tr>
    </w:tbl>
    <w:p w14:paraId="07A77F2F"/>
    <w:p w14:paraId="5B2C0CDA">
      <w:pPr>
        <w:spacing w:before="0" w:after="80" w:line="288" w:lineRule="auto"/>
        <w:ind w:firstLine="440" w:firstLineChars="200"/>
        <w:jc w:val="left"/>
      </w:pPr>
      <w:r>
        <w:t>The preliminary-screening task was to complete a basic implementation of deep-learning-based dental caries detection within a short timeline and prepare for a follow-up technical discussion. This report therefore focuses on the completed pipeline, the retained experimental results from each round, and the technical interpretation of those results.</w:t>
      </w:r>
    </w:p>
    <w:p w14:paraId="5C547649">
      <w:pPr>
        <w:spacing w:before="0" w:after="80" w:line="288" w:lineRule="auto"/>
        <w:jc w:val="left"/>
      </w:pPr>
    </w:p>
    <w:p w14:paraId="513433F3">
      <w:pPr>
        <w:spacing w:before="0" w:after="120" w:line="288" w:lineRule="auto"/>
        <w:jc w:val="left"/>
      </w:pPr>
    </w:p>
    <w:p w14:paraId="173D0CBE"/>
    <w:tbl>
      <w:tblPr>
        <w:tblStyle w:val="32"/>
        <w:tblW w:w="0" w:type="auto"/>
        <w:jc w:val="center"/>
        <w:tblLayout w:type="autofit"/>
        <w:tblCellMar>
          <w:top w:w="0" w:type="dxa"/>
          <w:left w:w="108" w:type="dxa"/>
          <w:bottom w:w="0" w:type="dxa"/>
          <w:right w:w="108" w:type="dxa"/>
        </w:tblCellMar>
      </w:tblPr>
      <w:tblGrid>
        <w:gridCol w:w="10200"/>
      </w:tblGrid>
      <w:tr w14:paraId="4804C250">
        <w:tblPrEx>
          <w:tblCellMar>
            <w:top w:w="0" w:type="dxa"/>
            <w:left w:w="108" w:type="dxa"/>
            <w:bottom w:w="0" w:type="dxa"/>
            <w:right w:w="108" w:type="dxa"/>
          </w:tblCellMar>
        </w:tblPrEx>
        <w:trPr>
          <w:jc w:val="center"/>
        </w:trPr>
        <w:tc>
          <w:tcPr>
            <w:tcW w:w="10200" w:type="dxa"/>
            <w:shd w:val="clear" w:color="auto" w:fill="DCEAF7"/>
          </w:tcPr>
          <w:p w14:paraId="05C12F8F">
            <w:r>
              <w:t>2. Experimental Design Across Rounds</w:t>
            </w:r>
          </w:p>
        </w:tc>
      </w:tr>
    </w:tbl>
    <w:p w14:paraId="5C0D4906"/>
    <w:p w14:paraId="2AE4394C">
      <w:pPr>
        <w:spacing w:before="0" w:after="100" w:line="288" w:lineRule="auto"/>
        <w:ind w:firstLine="440" w:firstLineChars="200"/>
        <w:jc w:val="left"/>
      </w:pPr>
      <w:r>
        <w:t>To keep the comparison meaningful, the project followed one consistent evaluation logic: the same validation split was reused across rounds, final model quality was read from retained validation outputs, and each round also included a threshold sweep to separate raw training result from the selected deployable operating point. This is important because threshold choice, input size, and class imbalance can materially change detector performance even when the model family remains the same.</w:t>
      </w:r>
    </w:p>
    <w:p w14:paraId="7F9D59D3">
      <w:pPr>
        <w:spacing w:before="0" w:after="100" w:line="288" w:lineRule="auto"/>
        <w:jc w:val="left"/>
      </w:pPr>
    </w:p>
    <w:p w14:paraId="673C71E9">
      <w:pPr>
        <w:spacing w:before="0" w:after="100" w:line="288" w:lineRule="auto"/>
        <w:jc w:val="left"/>
      </w:pPr>
    </w:p>
    <w:p w14:paraId="47F9CFE1">
      <w:pPr>
        <w:spacing w:before="0" w:after="100" w:line="288" w:lineRule="auto"/>
        <w:jc w:val="left"/>
      </w:pPr>
    </w:p>
    <w:tbl>
      <w:tblPr>
        <w:tblStyle w:val="32"/>
        <w:tblW w:w="0" w:type="auto"/>
        <w:jc w:val="center"/>
        <w:tblLayout w:type="fixed"/>
        <w:tblCellMar>
          <w:top w:w="0" w:type="dxa"/>
          <w:left w:w="108" w:type="dxa"/>
          <w:bottom w:w="0" w:type="dxa"/>
          <w:right w:w="108" w:type="dxa"/>
        </w:tblCellMar>
      </w:tblPr>
      <w:tblGrid>
        <w:gridCol w:w="2040"/>
        <w:gridCol w:w="2040"/>
        <w:gridCol w:w="2040"/>
        <w:gridCol w:w="2040"/>
        <w:gridCol w:w="2040"/>
      </w:tblGrid>
      <w:tr w14:paraId="24475B99">
        <w:tblPrEx>
          <w:tblCellMar>
            <w:top w:w="0" w:type="dxa"/>
            <w:left w:w="108" w:type="dxa"/>
            <w:bottom w:w="0" w:type="dxa"/>
            <w:right w:w="108" w:type="dxa"/>
          </w:tblCellMar>
        </w:tblPrEx>
        <w:trPr>
          <w:jc w:val="center"/>
        </w:trPr>
        <w:tc>
          <w:tcPr>
            <w:tcW w:w="1247" w:type="dxa"/>
            <w:shd w:val="clear" w:color="auto" w:fill="2F6C9E"/>
            <w:tcMar>
              <w:top w:w="90" w:type="dxa"/>
              <w:left w:w="90" w:type="dxa"/>
              <w:bottom w:w="90" w:type="dxa"/>
              <w:right w:w="90" w:type="dxa"/>
            </w:tcMar>
            <w:vAlign w:val="center"/>
          </w:tcPr>
          <w:p w14:paraId="3A99D396">
            <w:pPr>
              <w:jc w:val="center"/>
            </w:pPr>
            <w:r>
              <w:rPr>
                <w:b/>
                <w:color w:val="FFFFFF"/>
                <w:sz w:val="18"/>
              </w:rPr>
              <w:t>Round</w:t>
            </w:r>
          </w:p>
        </w:tc>
        <w:tc>
          <w:tcPr>
            <w:tcW w:w="2268" w:type="dxa"/>
            <w:shd w:val="clear" w:color="auto" w:fill="2F6C9E"/>
            <w:tcMar>
              <w:top w:w="90" w:type="dxa"/>
              <w:left w:w="90" w:type="dxa"/>
              <w:bottom w:w="90" w:type="dxa"/>
              <w:right w:w="90" w:type="dxa"/>
            </w:tcMar>
            <w:vAlign w:val="center"/>
          </w:tcPr>
          <w:p w14:paraId="67C5C81A">
            <w:pPr>
              <w:jc w:val="center"/>
            </w:pPr>
            <w:r>
              <w:rPr>
                <w:b/>
                <w:color w:val="FFFFFF"/>
                <w:sz w:val="18"/>
              </w:rPr>
              <w:t>Run name / evidence</w:t>
            </w:r>
          </w:p>
        </w:tc>
        <w:tc>
          <w:tcPr>
            <w:tcW w:w="2721" w:type="dxa"/>
            <w:shd w:val="clear" w:color="auto" w:fill="2F6C9E"/>
            <w:tcMar>
              <w:top w:w="90" w:type="dxa"/>
              <w:left w:w="90" w:type="dxa"/>
              <w:bottom w:w="90" w:type="dxa"/>
              <w:right w:w="90" w:type="dxa"/>
            </w:tcMar>
            <w:vAlign w:val="center"/>
          </w:tcPr>
          <w:p w14:paraId="02A756CB">
            <w:pPr>
              <w:jc w:val="center"/>
            </w:pPr>
            <w:r>
              <w:rPr>
                <w:b/>
                <w:color w:val="FFFFFF"/>
                <w:sz w:val="18"/>
              </w:rPr>
              <w:t>Main change</w:t>
            </w:r>
          </w:p>
        </w:tc>
        <w:tc>
          <w:tcPr>
            <w:tcW w:w="1757" w:type="dxa"/>
            <w:shd w:val="clear" w:color="auto" w:fill="2F6C9E"/>
            <w:tcMar>
              <w:top w:w="90" w:type="dxa"/>
              <w:left w:w="90" w:type="dxa"/>
              <w:bottom w:w="90" w:type="dxa"/>
              <w:right w:w="90" w:type="dxa"/>
            </w:tcMar>
            <w:vAlign w:val="center"/>
          </w:tcPr>
          <w:p w14:paraId="1F73AEDA">
            <w:pPr>
              <w:jc w:val="center"/>
            </w:pPr>
            <w:r>
              <w:rPr>
                <w:b/>
                <w:color w:val="FFFFFF"/>
                <w:sz w:val="18"/>
              </w:rPr>
              <w:t>Time cost</w:t>
            </w:r>
          </w:p>
        </w:tc>
        <w:tc>
          <w:tcPr>
            <w:tcW w:w="2551" w:type="dxa"/>
            <w:shd w:val="clear" w:color="auto" w:fill="2F6C9E"/>
            <w:tcMar>
              <w:top w:w="90" w:type="dxa"/>
              <w:left w:w="90" w:type="dxa"/>
              <w:bottom w:w="90" w:type="dxa"/>
              <w:right w:w="90" w:type="dxa"/>
            </w:tcMar>
            <w:vAlign w:val="center"/>
          </w:tcPr>
          <w:p w14:paraId="6D8DAD98">
            <w:pPr>
              <w:jc w:val="center"/>
            </w:pPr>
            <w:r>
              <w:rPr>
                <w:b/>
                <w:color w:val="FFFFFF"/>
                <w:sz w:val="18"/>
              </w:rPr>
              <w:t>Reason for trying it</w:t>
            </w:r>
          </w:p>
        </w:tc>
      </w:tr>
      <w:tr w14:paraId="005B38A3">
        <w:tblPrEx>
          <w:tblCellMar>
            <w:top w:w="0" w:type="dxa"/>
            <w:left w:w="108" w:type="dxa"/>
            <w:bottom w:w="0" w:type="dxa"/>
            <w:right w:w="108" w:type="dxa"/>
          </w:tblCellMar>
        </w:tblPrEx>
        <w:trPr>
          <w:jc w:val="center"/>
        </w:trPr>
        <w:tc>
          <w:tcPr>
            <w:tcW w:w="2040" w:type="dxa"/>
            <w:tcMar>
              <w:top w:w="90" w:type="dxa"/>
              <w:left w:w="90" w:type="dxa"/>
              <w:bottom w:w="90" w:type="dxa"/>
              <w:right w:w="90" w:type="dxa"/>
            </w:tcMar>
            <w:vAlign w:val="center"/>
          </w:tcPr>
          <w:p w14:paraId="36BF2EDE">
            <w:pPr>
              <w:jc w:val="center"/>
            </w:pPr>
            <w:r>
              <w:rPr>
                <w:b w:val="0"/>
                <w:color w:val="000000"/>
                <w:sz w:val="18"/>
              </w:rPr>
              <w:t>Initial baseline</w:t>
            </w:r>
          </w:p>
        </w:tc>
        <w:tc>
          <w:tcPr>
            <w:tcW w:w="2040" w:type="dxa"/>
            <w:tcMar>
              <w:top w:w="90" w:type="dxa"/>
              <w:left w:w="90" w:type="dxa"/>
              <w:bottom w:w="90" w:type="dxa"/>
              <w:right w:w="90" w:type="dxa"/>
            </w:tcMar>
            <w:vAlign w:val="center"/>
          </w:tcPr>
          <w:p w14:paraId="5B00E87B">
            <w:r>
              <w:t>baseline run</w:t>
            </w:r>
          </w:p>
        </w:tc>
        <w:tc>
          <w:tcPr>
            <w:tcW w:w="2040" w:type="dxa"/>
            <w:tcMar>
              <w:top w:w="90" w:type="dxa"/>
              <w:left w:w="90" w:type="dxa"/>
              <w:bottom w:w="90" w:type="dxa"/>
              <w:right w:w="90" w:type="dxa"/>
            </w:tcMar>
            <w:vAlign w:val="center"/>
          </w:tcPr>
          <w:p w14:paraId="063BFFE9">
            <w:pPr>
              <w:jc w:val="left"/>
            </w:pPr>
            <w:r>
              <w:rPr>
                <w:b w:val="0"/>
                <w:color w:val="000000"/>
                <w:sz w:val="18"/>
              </w:rPr>
              <w:t>Basic YOLOv8 sanity pipeline</w:t>
            </w:r>
          </w:p>
        </w:tc>
        <w:tc>
          <w:tcPr>
            <w:tcW w:w="2040" w:type="dxa"/>
            <w:tcMar>
              <w:top w:w="90" w:type="dxa"/>
              <w:left w:w="90" w:type="dxa"/>
              <w:bottom w:w="90" w:type="dxa"/>
              <w:right w:w="90" w:type="dxa"/>
            </w:tcMar>
            <w:vAlign w:val="center"/>
          </w:tcPr>
          <w:p w14:paraId="5B58AF9C">
            <w:r>
              <w:t>reference stage</w:t>
            </w:r>
          </w:p>
        </w:tc>
        <w:tc>
          <w:tcPr>
            <w:tcW w:w="2040" w:type="dxa"/>
            <w:tcMar>
              <w:top w:w="90" w:type="dxa"/>
              <w:left w:w="90" w:type="dxa"/>
              <w:bottom w:w="90" w:type="dxa"/>
              <w:right w:w="90" w:type="dxa"/>
            </w:tcMar>
            <w:vAlign w:val="center"/>
          </w:tcPr>
          <w:p w14:paraId="06D68685">
            <w:r>
              <w:t>Establish the initial YOLOv8 detector for later comparison</w:t>
            </w:r>
          </w:p>
        </w:tc>
      </w:tr>
      <w:tr w14:paraId="156B33F9">
        <w:tblPrEx>
          <w:tblCellMar>
            <w:top w:w="0" w:type="dxa"/>
            <w:left w:w="108" w:type="dxa"/>
            <w:bottom w:w="0" w:type="dxa"/>
            <w:right w:w="108" w:type="dxa"/>
          </w:tblCellMar>
        </w:tblPrEx>
        <w:trPr>
          <w:jc w:val="center"/>
        </w:trPr>
        <w:tc>
          <w:tcPr>
            <w:tcW w:w="2040" w:type="dxa"/>
            <w:shd w:val="clear" w:color="auto" w:fill="F8FBFE"/>
            <w:tcMar>
              <w:top w:w="90" w:type="dxa"/>
              <w:left w:w="90" w:type="dxa"/>
              <w:bottom w:w="90" w:type="dxa"/>
              <w:right w:w="90" w:type="dxa"/>
            </w:tcMar>
            <w:vAlign w:val="center"/>
          </w:tcPr>
          <w:p w14:paraId="34279010">
            <w:pPr>
              <w:jc w:val="center"/>
            </w:pPr>
            <w:r>
              <w:rPr>
                <w:b w:val="0"/>
                <w:color w:val="000000"/>
                <w:sz w:val="18"/>
              </w:rPr>
              <w:t>Round 1</w:t>
            </w:r>
          </w:p>
        </w:tc>
        <w:tc>
          <w:tcPr>
            <w:tcW w:w="2040" w:type="dxa"/>
            <w:shd w:val="clear" w:color="auto" w:fill="F8FBFE"/>
            <w:tcMar>
              <w:top w:w="90" w:type="dxa"/>
              <w:left w:w="90" w:type="dxa"/>
              <w:bottom w:w="90" w:type="dxa"/>
              <w:right w:w="90" w:type="dxa"/>
            </w:tcMar>
            <w:vAlign w:val="center"/>
          </w:tcPr>
          <w:p w14:paraId="58ABF076">
            <w:pPr>
              <w:jc w:val="left"/>
            </w:pPr>
            <w:r>
              <w:rPr>
                <w:b w:val="0"/>
                <w:color w:val="000000"/>
                <w:sz w:val="18"/>
              </w:rPr>
              <w:t>fast_stage1_fix</w:t>
            </w:r>
          </w:p>
        </w:tc>
        <w:tc>
          <w:tcPr>
            <w:tcW w:w="2040" w:type="dxa"/>
            <w:shd w:val="clear" w:color="auto" w:fill="F8FBFE"/>
            <w:tcMar>
              <w:top w:w="90" w:type="dxa"/>
              <w:left w:w="90" w:type="dxa"/>
              <w:bottom w:w="90" w:type="dxa"/>
              <w:right w:w="90" w:type="dxa"/>
            </w:tcMar>
            <w:vAlign w:val="center"/>
          </w:tcPr>
          <w:p w14:paraId="23C91C79">
            <w:pPr>
              <w:jc w:val="left"/>
            </w:pPr>
            <w:r>
              <w:rPr>
                <w:b w:val="0"/>
                <w:color w:val="000000"/>
                <w:sz w:val="18"/>
              </w:rPr>
              <w:t>Stabilized first full training run + threshold sweep</w:t>
            </w:r>
          </w:p>
        </w:tc>
        <w:tc>
          <w:tcPr>
            <w:tcW w:w="2040" w:type="dxa"/>
            <w:shd w:val="clear" w:color="auto" w:fill="F8FBFE"/>
            <w:tcMar>
              <w:top w:w="90" w:type="dxa"/>
              <w:left w:w="90" w:type="dxa"/>
              <w:bottom w:w="90" w:type="dxa"/>
              <w:right w:w="90" w:type="dxa"/>
            </w:tcMar>
            <w:vAlign w:val="center"/>
          </w:tcPr>
          <w:p w14:paraId="6F07214B">
            <w:pPr>
              <w:jc w:val="center"/>
            </w:pPr>
            <w:r>
              <w:rPr>
                <w:b w:val="0"/>
                <w:color w:val="000000"/>
                <w:sz w:val="18"/>
              </w:rPr>
              <w:t>40 epochs; fast first comparison</w:t>
            </w:r>
          </w:p>
        </w:tc>
        <w:tc>
          <w:tcPr>
            <w:tcW w:w="2040" w:type="dxa"/>
            <w:shd w:val="clear" w:color="auto" w:fill="F8FBFE"/>
            <w:tcMar>
              <w:top w:w="90" w:type="dxa"/>
              <w:left w:w="90" w:type="dxa"/>
              <w:bottom w:w="90" w:type="dxa"/>
              <w:right w:w="90" w:type="dxa"/>
            </w:tcMar>
            <w:vAlign w:val="center"/>
          </w:tcPr>
          <w:p w14:paraId="2137E320">
            <w:pPr>
              <w:jc w:val="left"/>
            </w:pPr>
            <w:r>
              <w:rPr>
                <w:b w:val="0"/>
                <w:color w:val="000000"/>
                <w:sz w:val="18"/>
              </w:rPr>
              <w:t>Establish a reproducible first detector and identify the best validation threshold</w:t>
            </w:r>
          </w:p>
        </w:tc>
      </w:tr>
      <w:tr w14:paraId="7A46B416">
        <w:tblPrEx>
          <w:tblCellMar>
            <w:top w:w="0" w:type="dxa"/>
            <w:left w:w="108" w:type="dxa"/>
            <w:bottom w:w="0" w:type="dxa"/>
            <w:right w:w="108" w:type="dxa"/>
          </w:tblCellMar>
        </w:tblPrEx>
        <w:trPr>
          <w:jc w:val="center"/>
        </w:trPr>
        <w:tc>
          <w:tcPr>
            <w:tcW w:w="2040" w:type="dxa"/>
            <w:tcMar>
              <w:top w:w="90" w:type="dxa"/>
              <w:left w:w="90" w:type="dxa"/>
              <w:bottom w:w="90" w:type="dxa"/>
              <w:right w:w="90" w:type="dxa"/>
            </w:tcMar>
            <w:vAlign w:val="center"/>
          </w:tcPr>
          <w:p w14:paraId="2E655905">
            <w:pPr>
              <w:jc w:val="center"/>
            </w:pPr>
            <w:r>
              <w:rPr>
                <w:b w:val="0"/>
                <w:color w:val="000000"/>
                <w:sz w:val="18"/>
              </w:rPr>
              <w:t>Round 2</w:t>
            </w:r>
          </w:p>
        </w:tc>
        <w:tc>
          <w:tcPr>
            <w:tcW w:w="2040" w:type="dxa"/>
            <w:tcMar>
              <w:top w:w="90" w:type="dxa"/>
              <w:left w:w="90" w:type="dxa"/>
              <w:bottom w:w="90" w:type="dxa"/>
              <w:right w:w="90" w:type="dxa"/>
            </w:tcMar>
            <w:vAlign w:val="center"/>
          </w:tcPr>
          <w:p w14:paraId="0BA0F697">
            <w:pPr>
              <w:jc w:val="left"/>
            </w:pPr>
            <w:r>
              <w:rPr>
                <w:b w:val="0"/>
                <w:color w:val="000000"/>
                <w:sz w:val="18"/>
              </w:rPr>
              <w:t>rebalance_imgsz768</w:t>
            </w:r>
          </w:p>
        </w:tc>
        <w:tc>
          <w:tcPr>
            <w:tcW w:w="2040" w:type="dxa"/>
            <w:tcMar>
              <w:top w:w="90" w:type="dxa"/>
              <w:left w:w="90" w:type="dxa"/>
              <w:bottom w:w="90" w:type="dxa"/>
              <w:right w:w="90" w:type="dxa"/>
            </w:tcMar>
            <w:vAlign w:val="center"/>
          </w:tcPr>
          <w:p w14:paraId="52D904C2">
            <w:pPr>
              <w:jc w:val="left"/>
            </w:pPr>
            <w:r>
              <w:rPr>
                <w:b w:val="0"/>
                <w:color w:val="000000"/>
                <w:sz w:val="18"/>
              </w:rPr>
              <w:t>Rebalanced training list / minority-class exposure + 768 input + sweep</w:t>
            </w:r>
          </w:p>
        </w:tc>
        <w:tc>
          <w:tcPr>
            <w:tcW w:w="2040" w:type="dxa"/>
            <w:tcMar>
              <w:top w:w="90" w:type="dxa"/>
              <w:left w:w="90" w:type="dxa"/>
              <w:bottom w:w="90" w:type="dxa"/>
              <w:right w:w="90" w:type="dxa"/>
            </w:tcMar>
            <w:vAlign w:val="center"/>
          </w:tcPr>
          <w:p w14:paraId="473D7FA8">
            <w:pPr>
              <w:jc w:val="center"/>
            </w:pPr>
            <w:r>
              <w:rPr>
                <w:b w:val="0"/>
                <w:color w:val="000000"/>
                <w:sz w:val="18"/>
              </w:rPr>
              <w:t>51 epochs completed</w:t>
            </w:r>
          </w:p>
        </w:tc>
        <w:tc>
          <w:tcPr>
            <w:tcW w:w="2040" w:type="dxa"/>
            <w:tcMar>
              <w:top w:w="90" w:type="dxa"/>
              <w:left w:w="90" w:type="dxa"/>
              <w:bottom w:w="90" w:type="dxa"/>
              <w:right w:w="90" w:type="dxa"/>
            </w:tcMar>
            <w:vAlign w:val="center"/>
          </w:tcPr>
          <w:p w14:paraId="52953BA2">
            <w:pPr>
              <w:jc w:val="left"/>
            </w:pPr>
            <w:r>
              <w:rPr>
                <w:b w:val="0"/>
                <w:color w:val="000000"/>
                <w:sz w:val="18"/>
              </w:rPr>
              <w:t>Address clear class imbalance and recover more lesion recall</w:t>
            </w:r>
          </w:p>
        </w:tc>
      </w:tr>
      <w:tr w14:paraId="74FCF093">
        <w:tblPrEx>
          <w:tblCellMar>
            <w:top w:w="0" w:type="dxa"/>
            <w:left w:w="108" w:type="dxa"/>
            <w:bottom w:w="0" w:type="dxa"/>
            <w:right w:w="108" w:type="dxa"/>
          </w:tblCellMar>
        </w:tblPrEx>
        <w:trPr>
          <w:jc w:val="center"/>
        </w:trPr>
        <w:tc>
          <w:tcPr>
            <w:tcW w:w="2040" w:type="dxa"/>
            <w:shd w:val="clear" w:color="auto" w:fill="F8FBFE"/>
            <w:tcMar>
              <w:top w:w="90" w:type="dxa"/>
              <w:left w:w="90" w:type="dxa"/>
              <w:bottom w:w="90" w:type="dxa"/>
              <w:right w:w="90" w:type="dxa"/>
            </w:tcMar>
            <w:vAlign w:val="center"/>
          </w:tcPr>
          <w:p w14:paraId="75312CC8">
            <w:pPr>
              <w:jc w:val="center"/>
            </w:pPr>
            <w:r>
              <w:rPr>
                <w:b w:val="0"/>
                <w:color w:val="000000"/>
                <w:sz w:val="18"/>
              </w:rPr>
              <w:t>Round 3</w:t>
            </w:r>
          </w:p>
        </w:tc>
        <w:tc>
          <w:tcPr>
            <w:tcW w:w="2040" w:type="dxa"/>
            <w:shd w:val="clear" w:color="auto" w:fill="F8FBFE"/>
            <w:tcMar>
              <w:top w:w="90" w:type="dxa"/>
              <w:left w:w="90" w:type="dxa"/>
              <w:bottom w:w="90" w:type="dxa"/>
              <w:right w:w="90" w:type="dxa"/>
            </w:tcMar>
            <w:vAlign w:val="center"/>
          </w:tcPr>
          <w:p w14:paraId="4E0AF147">
            <w:pPr>
              <w:jc w:val="left"/>
            </w:pPr>
            <w:r>
              <w:rPr>
                <w:b w:val="0"/>
                <w:color w:val="000000"/>
                <w:sz w:val="18"/>
              </w:rPr>
              <w:t>lesionmix_imgsz960_e80</w:t>
            </w:r>
          </w:p>
        </w:tc>
        <w:tc>
          <w:tcPr>
            <w:tcW w:w="2040" w:type="dxa"/>
            <w:shd w:val="clear" w:color="auto" w:fill="F8FBFE"/>
            <w:tcMar>
              <w:top w:w="90" w:type="dxa"/>
              <w:left w:w="90" w:type="dxa"/>
              <w:bottom w:w="90" w:type="dxa"/>
              <w:right w:w="90" w:type="dxa"/>
            </w:tcMar>
            <w:vAlign w:val="center"/>
          </w:tcPr>
          <w:p w14:paraId="3349BF7D">
            <w:pPr>
              <w:jc w:val="left"/>
            </w:pPr>
            <w:r>
              <w:rPr>
                <w:b w:val="0"/>
                <w:color w:val="000000"/>
                <w:sz w:val="18"/>
              </w:rPr>
              <w:t>Lesion-mix style augmented training set + higher resolution (960) + sweep</w:t>
            </w:r>
          </w:p>
        </w:tc>
        <w:tc>
          <w:tcPr>
            <w:tcW w:w="2040" w:type="dxa"/>
            <w:shd w:val="clear" w:color="auto" w:fill="F8FBFE"/>
            <w:tcMar>
              <w:top w:w="90" w:type="dxa"/>
              <w:left w:w="90" w:type="dxa"/>
              <w:bottom w:w="90" w:type="dxa"/>
              <w:right w:w="90" w:type="dxa"/>
            </w:tcMar>
            <w:vAlign w:val="center"/>
          </w:tcPr>
          <w:p w14:paraId="084D9211">
            <w:pPr>
              <w:jc w:val="center"/>
            </w:pPr>
            <w:r>
              <w:rPr>
                <w:b w:val="0"/>
                <w:color w:val="000000"/>
                <w:sz w:val="18"/>
              </w:rPr>
              <w:t>69 epochs completed</w:t>
            </w:r>
          </w:p>
        </w:tc>
        <w:tc>
          <w:tcPr>
            <w:tcW w:w="2040" w:type="dxa"/>
            <w:shd w:val="clear" w:color="auto" w:fill="F8FBFE"/>
            <w:tcMar>
              <w:top w:w="90" w:type="dxa"/>
              <w:left w:w="90" w:type="dxa"/>
              <w:bottom w:w="90" w:type="dxa"/>
              <w:right w:w="90" w:type="dxa"/>
            </w:tcMar>
            <w:vAlign w:val="center"/>
          </w:tcPr>
          <w:p w14:paraId="5AFDE3CF">
            <w:pPr>
              <w:jc w:val="left"/>
            </w:pPr>
            <w:r>
              <w:rPr>
                <w:b w:val="0"/>
                <w:color w:val="000000"/>
                <w:sz w:val="18"/>
              </w:rPr>
              <w:t>Push lesion visibility and class exposure further while improving localization quality</w:t>
            </w:r>
          </w:p>
        </w:tc>
      </w:tr>
    </w:tbl>
    <w:p w14:paraId="20017877"/>
    <w:p w14:paraId="163F041B">
      <w:pPr>
        <w:spacing w:before="0" w:after="160" w:line="288" w:lineRule="auto"/>
        <w:ind w:firstLine="440" w:firstLineChars="200"/>
        <w:jc w:val="left"/>
      </w:pPr>
      <w:r>
        <w:t>Round 3 did not outperform the earlier rounds on every metric. Instead, it traded some recall for stronger precision and the best mAP@0.5:0.95. For that reason, the analysis separates coarse detection strength (mAP@0.5) from stricter localization quality (mAP@0.5:0.95), and interprets the selected operating point in relation to the screening objective.</w:t>
      </w:r>
    </w:p>
    <w:tbl>
      <w:tblPr>
        <w:tblStyle w:val="32"/>
        <w:tblW w:w="0" w:type="auto"/>
        <w:jc w:val="center"/>
        <w:tblLayout w:type="autofit"/>
        <w:tblCellMar>
          <w:top w:w="0" w:type="dxa"/>
          <w:left w:w="108" w:type="dxa"/>
          <w:bottom w:w="0" w:type="dxa"/>
          <w:right w:w="108" w:type="dxa"/>
        </w:tblCellMar>
      </w:tblPr>
      <w:tblGrid>
        <w:gridCol w:w="10200"/>
      </w:tblGrid>
      <w:tr w14:paraId="02D35B69">
        <w:tblPrEx>
          <w:tblCellMar>
            <w:top w:w="0" w:type="dxa"/>
            <w:left w:w="108" w:type="dxa"/>
            <w:bottom w:w="0" w:type="dxa"/>
            <w:right w:w="108" w:type="dxa"/>
          </w:tblCellMar>
        </w:tblPrEx>
        <w:trPr>
          <w:jc w:val="center"/>
        </w:trPr>
        <w:tc>
          <w:tcPr>
            <w:tcW w:w="10200" w:type="dxa"/>
            <w:shd w:val="clear" w:color="auto" w:fill="DCEAF7"/>
          </w:tcPr>
          <w:p w14:paraId="642372D9">
            <w:r>
              <w:t>3. Quantitative Results</w:t>
            </w:r>
          </w:p>
        </w:tc>
      </w:tr>
    </w:tbl>
    <w:p w14:paraId="6849FA5F"/>
    <w:p w14:paraId="6426D096"/>
    <w:p w14:paraId="375B18D9">
      <w:pPr>
        <w:spacing w:before="0" w:after="100" w:line="288" w:lineRule="auto"/>
        <w:ind w:firstLine="440" w:firstLineChars="200"/>
        <w:jc w:val="left"/>
        <w:rPr>
          <w:rFonts w:hint="default" w:eastAsia="宋体"/>
          <w:lang w:val="en-US" w:eastAsia="zh-CN"/>
        </w:rPr>
      </w:pPr>
      <w:r>
        <w:rPr>
          <w:rFonts w:hint="default" w:eastAsia="宋体"/>
          <w:lang w:val="en-US" w:eastAsia="zh-CN"/>
        </w:rPr>
        <w:t>Table 1 reports the strongest retained metrics from the available experimental evidence. The comparison is deliberately split into training result and sweep-best result because deployment quality depends on the operating threshold rather than on the raw training default alone. Here, mAP@0.5 means mean Average Precision at an IoU threshold of 0.5, while mAP@0.5:0.95 refers to the average AP computed across IoU thresholds from 0.5 to 0.95.</w:t>
      </w:r>
    </w:p>
    <w:tbl>
      <w:tblPr>
        <w:tblStyle w:val="32"/>
        <w:tblW w:w="0" w:type="auto"/>
        <w:jc w:val="center"/>
        <w:tblLayout w:type="fixed"/>
        <w:tblCellMar>
          <w:top w:w="0" w:type="dxa"/>
          <w:left w:w="108" w:type="dxa"/>
          <w:bottom w:w="0" w:type="dxa"/>
          <w:right w:w="108" w:type="dxa"/>
        </w:tblCellMar>
      </w:tblPr>
      <w:tblGrid>
        <w:gridCol w:w="1457"/>
        <w:gridCol w:w="1457"/>
        <w:gridCol w:w="1457"/>
        <w:gridCol w:w="1457"/>
        <w:gridCol w:w="1457"/>
        <w:gridCol w:w="1457"/>
        <w:gridCol w:w="1457"/>
      </w:tblGrid>
      <w:tr w14:paraId="1792273A">
        <w:tblPrEx>
          <w:tblCellMar>
            <w:top w:w="0" w:type="dxa"/>
            <w:left w:w="108" w:type="dxa"/>
            <w:bottom w:w="0" w:type="dxa"/>
            <w:right w:w="108" w:type="dxa"/>
          </w:tblCellMar>
        </w:tblPrEx>
        <w:trPr>
          <w:jc w:val="center"/>
        </w:trPr>
        <w:tc>
          <w:tcPr>
            <w:tcW w:w="1757" w:type="dxa"/>
            <w:shd w:val="clear" w:color="auto" w:fill="2F6C9E"/>
            <w:tcMar>
              <w:top w:w="90" w:type="dxa"/>
              <w:left w:w="90" w:type="dxa"/>
              <w:bottom w:w="90" w:type="dxa"/>
              <w:right w:w="90" w:type="dxa"/>
            </w:tcMar>
            <w:vAlign w:val="center"/>
          </w:tcPr>
          <w:p w14:paraId="3B8557BE">
            <w:pPr>
              <w:jc w:val="center"/>
              <w:rPr>
                <w:sz w:val="24"/>
                <w:szCs w:val="24"/>
              </w:rPr>
            </w:pPr>
            <w:r>
              <w:rPr>
                <w:b/>
                <w:color w:val="FFFFFF"/>
                <w:sz w:val="24"/>
                <w:szCs w:val="24"/>
              </w:rPr>
              <w:t>Stage</w:t>
            </w:r>
          </w:p>
        </w:tc>
        <w:tc>
          <w:tcPr>
            <w:tcW w:w="1304" w:type="dxa"/>
            <w:shd w:val="clear" w:color="auto" w:fill="2F6C9E"/>
            <w:tcMar>
              <w:top w:w="90" w:type="dxa"/>
              <w:left w:w="90" w:type="dxa"/>
              <w:bottom w:w="90" w:type="dxa"/>
              <w:right w:w="90" w:type="dxa"/>
            </w:tcMar>
            <w:vAlign w:val="center"/>
          </w:tcPr>
          <w:p w14:paraId="57906DA8">
            <w:pPr>
              <w:jc w:val="center"/>
              <w:rPr>
                <w:sz w:val="24"/>
                <w:szCs w:val="24"/>
              </w:rPr>
            </w:pPr>
            <w:r>
              <w:rPr>
                <w:b/>
                <w:color w:val="FFFFFF"/>
                <w:sz w:val="24"/>
                <w:szCs w:val="24"/>
              </w:rPr>
              <w:t>Variant</w:t>
            </w:r>
          </w:p>
        </w:tc>
        <w:tc>
          <w:tcPr>
            <w:tcW w:w="1134" w:type="dxa"/>
            <w:shd w:val="clear" w:color="auto" w:fill="2F6C9E"/>
            <w:tcMar>
              <w:top w:w="90" w:type="dxa"/>
              <w:left w:w="90" w:type="dxa"/>
              <w:bottom w:w="90" w:type="dxa"/>
              <w:right w:w="90" w:type="dxa"/>
            </w:tcMar>
            <w:vAlign w:val="center"/>
          </w:tcPr>
          <w:p w14:paraId="1F85BD66">
            <w:pPr>
              <w:jc w:val="center"/>
              <w:rPr>
                <w:sz w:val="24"/>
                <w:szCs w:val="24"/>
              </w:rPr>
            </w:pPr>
            <w:r>
              <w:rPr>
                <w:b/>
                <w:color w:val="FFFFFF"/>
                <w:sz w:val="24"/>
                <w:szCs w:val="24"/>
              </w:rPr>
              <w:t>Precision</w:t>
            </w:r>
          </w:p>
        </w:tc>
        <w:tc>
          <w:tcPr>
            <w:tcW w:w="1134" w:type="dxa"/>
            <w:shd w:val="clear" w:color="auto" w:fill="2F6C9E"/>
            <w:tcMar>
              <w:top w:w="90" w:type="dxa"/>
              <w:left w:w="90" w:type="dxa"/>
              <w:bottom w:w="90" w:type="dxa"/>
              <w:right w:w="90" w:type="dxa"/>
            </w:tcMar>
            <w:vAlign w:val="center"/>
          </w:tcPr>
          <w:p w14:paraId="2FA0E660">
            <w:pPr>
              <w:jc w:val="center"/>
              <w:rPr>
                <w:sz w:val="24"/>
                <w:szCs w:val="24"/>
              </w:rPr>
            </w:pPr>
            <w:r>
              <w:rPr>
                <w:b/>
                <w:color w:val="FFFFFF"/>
                <w:sz w:val="24"/>
                <w:szCs w:val="24"/>
              </w:rPr>
              <w:t>Recall</w:t>
            </w:r>
          </w:p>
        </w:tc>
        <w:tc>
          <w:tcPr>
            <w:tcW w:w="1247" w:type="dxa"/>
            <w:shd w:val="clear" w:color="auto" w:fill="2F6C9E"/>
            <w:tcMar>
              <w:top w:w="90" w:type="dxa"/>
              <w:left w:w="90" w:type="dxa"/>
              <w:bottom w:w="90" w:type="dxa"/>
              <w:right w:w="90" w:type="dxa"/>
            </w:tcMar>
            <w:vAlign w:val="center"/>
          </w:tcPr>
          <w:p w14:paraId="208DEF6F">
            <w:pPr>
              <w:jc w:val="center"/>
              <w:rPr>
                <w:sz w:val="24"/>
                <w:szCs w:val="24"/>
              </w:rPr>
            </w:pPr>
            <w:r>
              <w:rPr>
                <w:b/>
                <w:color w:val="FFFFFF"/>
                <w:sz w:val="24"/>
                <w:szCs w:val="24"/>
              </w:rPr>
              <w:t>mAP@0.5</w:t>
            </w:r>
          </w:p>
        </w:tc>
        <w:tc>
          <w:tcPr>
            <w:tcW w:w="1361" w:type="dxa"/>
            <w:shd w:val="clear" w:color="auto" w:fill="2F6C9E"/>
            <w:tcMar>
              <w:top w:w="90" w:type="dxa"/>
              <w:left w:w="90" w:type="dxa"/>
              <w:bottom w:w="90" w:type="dxa"/>
              <w:right w:w="90" w:type="dxa"/>
            </w:tcMar>
            <w:vAlign w:val="center"/>
          </w:tcPr>
          <w:p w14:paraId="4444477C">
            <w:pPr>
              <w:jc w:val="center"/>
              <w:rPr>
                <w:sz w:val="24"/>
                <w:szCs w:val="24"/>
              </w:rPr>
            </w:pPr>
            <w:r>
              <w:rPr>
                <w:b/>
                <w:color w:val="FFFFFF"/>
                <w:sz w:val="24"/>
                <w:szCs w:val="24"/>
              </w:rPr>
              <w:t>mAP@0.5:0.95</w:t>
            </w:r>
          </w:p>
        </w:tc>
        <w:tc>
          <w:tcPr>
            <w:tcW w:w="2324" w:type="dxa"/>
            <w:shd w:val="clear" w:color="auto" w:fill="2F6C9E"/>
            <w:tcMar>
              <w:top w:w="90" w:type="dxa"/>
              <w:left w:w="90" w:type="dxa"/>
              <w:bottom w:w="90" w:type="dxa"/>
              <w:right w:w="90" w:type="dxa"/>
            </w:tcMar>
            <w:vAlign w:val="center"/>
          </w:tcPr>
          <w:p w14:paraId="042FD69B">
            <w:pPr>
              <w:jc w:val="center"/>
              <w:rPr>
                <w:sz w:val="24"/>
                <w:szCs w:val="24"/>
              </w:rPr>
            </w:pPr>
            <w:r>
              <w:rPr>
                <w:b/>
                <w:color w:val="FFFFFF"/>
                <w:sz w:val="24"/>
                <w:szCs w:val="24"/>
              </w:rPr>
              <w:t>Notes</w:t>
            </w:r>
          </w:p>
        </w:tc>
      </w:tr>
      <w:tr w14:paraId="16FD2837">
        <w:tblPrEx>
          <w:tblCellMar>
            <w:top w:w="0" w:type="dxa"/>
            <w:left w:w="108" w:type="dxa"/>
            <w:bottom w:w="0" w:type="dxa"/>
            <w:right w:w="108" w:type="dxa"/>
          </w:tblCellMar>
        </w:tblPrEx>
        <w:trPr>
          <w:jc w:val="center"/>
        </w:trPr>
        <w:tc>
          <w:tcPr>
            <w:tcW w:w="1457" w:type="dxa"/>
            <w:shd w:val="clear" w:color="auto" w:fill="FFF3E8"/>
            <w:tcMar>
              <w:top w:w="90" w:type="dxa"/>
              <w:left w:w="90" w:type="dxa"/>
              <w:bottom w:w="90" w:type="dxa"/>
              <w:right w:w="90" w:type="dxa"/>
            </w:tcMar>
            <w:vAlign w:val="center"/>
          </w:tcPr>
          <w:p w14:paraId="0191A7EE">
            <w:pPr>
              <w:jc w:val="left"/>
              <w:rPr>
                <w:sz w:val="24"/>
                <w:szCs w:val="24"/>
              </w:rPr>
            </w:pPr>
            <w:r>
              <w:rPr>
                <w:b w:val="0"/>
                <w:color w:val="000000"/>
                <w:sz w:val="24"/>
                <w:szCs w:val="24"/>
              </w:rPr>
              <w:t>Initial baseline</w:t>
            </w:r>
          </w:p>
        </w:tc>
        <w:tc>
          <w:tcPr>
            <w:tcW w:w="1457" w:type="dxa"/>
            <w:shd w:val="clear" w:color="auto" w:fill="FFF3E8"/>
            <w:tcMar>
              <w:top w:w="90" w:type="dxa"/>
              <w:left w:w="90" w:type="dxa"/>
              <w:bottom w:w="90" w:type="dxa"/>
              <w:right w:w="90" w:type="dxa"/>
            </w:tcMar>
            <w:vAlign w:val="center"/>
          </w:tcPr>
          <w:p w14:paraId="1CCE360E">
            <w:pPr>
              <w:rPr>
                <w:sz w:val="24"/>
                <w:szCs w:val="24"/>
              </w:rPr>
            </w:pPr>
            <w:r>
              <w:rPr>
                <w:sz w:val="24"/>
                <w:szCs w:val="24"/>
              </w:rPr>
              <w:t>baseline</w:t>
            </w:r>
          </w:p>
        </w:tc>
        <w:tc>
          <w:tcPr>
            <w:tcW w:w="1457" w:type="dxa"/>
            <w:shd w:val="clear" w:color="auto" w:fill="FFF3E8"/>
            <w:tcMar>
              <w:top w:w="90" w:type="dxa"/>
              <w:left w:w="90" w:type="dxa"/>
              <w:bottom w:w="90" w:type="dxa"/>
              <w:right w:w="90" w:type="dxa"/>
            </w:tcMar>
            <w:vAlign w:val="center"/>
          </w:tcPr>
          <w:p w14:paraId="7A4AC1E5">
            <w:pPr>
              <w:jc w:val="center"/>
              <w:rPr>
                <w:sz w:val="24"/>
                <w:szCs w:val="24"/>
              </w:rPr>
            </w:pPr>
            <w:r>
              <w:rPr>
                <w:b w:val="0"/>
                <w:color w:val="000000"/>
                <w:sz w:val="24"/>
                <w:szCs w:val="24"/>
              </w:rPr>
              <w:t>0.331</w:t>
            </w:r>
          </w:p>
        </w:tc>
        <w:tc>
          <w:tcPr>
            <w:tcW w:w="1457" w:type="dxa"/>
            <w:shd w:val="clear" w:color="auto" w:fill="FFF3E8"/>
            <w:tcMar>
              <w:top w:w="90" w:type="dxa"/>
              <w:left w:w="90" w:type="dxa"/>
              <w:bottom w:w="90" w:type="dxa"/>
              <w:right w:w="90" w:type="dxa"/>
            </w:tcMar>
            <w:vAlign w:val="center"/>
          </w:tcPr>
          <w:p w14:paraId="5DF7D916">
            <w:pPr>
              <w:jc w:val="center"/>
              <w:rPr>
                <w:sz w:val="24"/>
                <w:szCs w:val="24"/>
              </w:rPr>
            </w:pPr>
            <w:r>
              <w:rPr>
                <w:b w:val="0"/>
                <w:color w:val="000000"/>
                <w:sz w:val="24"/>
                <w:szCs w:val="24"/>
              </w:rPr>
              <w:t>0.362</w:t>
            </w:r>
          </w:p>
        </w:tc>
        <w:tc>
          <w:tcPr>
            <w:tcW w:w="1457" w:type="dxa"/>
            <w:shd w:val="clear" w:color="auto" w:fill="FFF3E8"/>
            <w:tcMar>
              <w:top w:w="90" w:type="dxa"/>
              <w:left w:w="90" w:type="dxa"/>
              <w:bottom w:w="90" w:type="dxa"/>
              <w:right w:w="90" w:type="dxa"/>
            </w:tcMar>
            <w:vAlign w:val="center"/>
          </w:tcPr>
          <w:p w14:paraId="7E558969">
            <w:pPr>
              <w:jc w:val="center"/>
              <w:rPr>
                <w:sz w:val="24"/>
                <w:szCs w:val="24"/>
              </w:rPr>
            </w:pPr>
            <w:r>
              <w:rPr>
                <w:b w:val="0"/>
                <w:color w:val="000000"/>
                <w:sz w:val="24"/>
                <w:szCs w:val="24"/>
              </w:rPr>
              <w:t>0.312</w:t>
            </w:r>
          </w:p>
        </w:tc>
        <w:tc>
          <w:tcPr>
            <w:tcW w:w="1457" w:type="dxa"/>
            <w:shd w:val="clear" w:color="auto" w:fill="FFF3E8"/>
            <w:tcMar>
              <w:top w:w="90" w:type="dxa"/>
              <w:left w:w="90" w:type="dxa"/>
              <w:bottom w:w="90" w:type="dxa"/>
              <w:right w:w="90" w:type="dxa"/>
            </w:tcMar>
            <w:vAlign w:val="center"/>
          </w:tcPr>
          <w:p w14:paraId="6A014B35">
            <w:pPr>
              <w:jc w:val="center"/>
              <w:rPr>
                <w:sz w:val="24"/>
                <w:szCs w:val="24"/>
              </w:rPr>
            </w:pPr>
            <w:r>
              <w:rPr>
                <w:b w:val="0"/>
                <w:color w:val="000000"/>
                <w:sz w:val="24"/>
                <w:szCs w:val="24"/>
              </w:rPr>
              <w:t>0.216</w:t>
            </w:r>
          </w:p>
        </w:tc>
        <w:tc>
          <w:tcPr>
            <w:tcW w:w="1457" w:type="dxa"/>
            <w:shd w:val="clear" w:color="auto" w:fill="FFF3E8"/>
            <w:tcMar>
              <w:top w:w="90" w:type="dxa"/>
              <w:left w:w="90" w:type="dxa"/>
              <w:bottom w:w="90" w:type="dxa"/>
              <w:right w:w="90" w:type="dxa"/>
            </w:tcMar>
            <w:vAlign w:val="center"/>
          </w:tcPr>
          <w:p w14:paraId="3224DB2C">
            <w:pPr>
              <w:rPr>
                <w:sz w:val="24"/>
                <w:szCs w:val="24"/>
              </w:rPr>
            </w:pPr>
            <w:r>
              <w:rPr>
                <w:sz w:val="24"/>
                <w:szCs w:val="24"/>
              </w:rPr>
              <w:t>Initial retained baseline result</w:t>
            </w:r>
          </w:p>
        </w:tc>
      </w:tr>
      <w:tr w14:paraId="0D9B80EB">
        <w:tblPrEx>
          <w:tblCellMar>
            <w:top w:w="0" w:type="dxa"/>
            <w:left w:w="108" w:type="dxa"/>
            <w:bottom w:w="0" w:type="dxa"/>
            <w:right w:w="108" w:type="dxa"/>
          </w:tblCellMar>
        </w:tblPrEx>
        <w:trPr>
          <w:jc w:val="center"/>
        </w:trPr>
        <w:tc>
          <w:tcPr>
            <w:tcW w:w="1457" w:type="dxa"/>
            <w:tcMar>
              <w:top w:w="90" w:type="dxa"/>
              <w:left w:w="90" w:type="dxa"/>
              <w:bottom w:w="90" w:type="dxa"/>
              <w:right w:w="90" w:type="dxa"/>
            </w:tcMar>
            <w:vAlign w:val="center"/>
          </w:tcPr>
          <w:p w14:paraId="1842DCD7">
            <w:pPr>
              <w:jc w:val="left"/>
              <w:rPr>
                <w:sz w:val="24"/>
                <w:szCs w:val="24"/>
              </w:rPr>
            </w:pPr>
            <w:r>
              <w:rPr>
                <w:b w:val="0"/>
                <w:color w:val="000000"/>
                <w:sz w:val="24"/>
                <w:szCs w:val="24"/>
              </w:rPr>
              <w:t>Round 1</w:t>
            </w:r>
          </w:p>
        </w:tc>
        <w:tc>
          <w:tcPr>
            <w:tcW w:w="1457" w:type="dxa"/>
            <w:tcMar>
              <w:top w:w="90" w:type="dxa"/>
              <w:left w:w="90" w:type="dxa"/>
              <w:bottom w:w="90" w:type="dxa"/>
              <w:right w:w="90" w:type="dxa"/>
            </w:tcMar>
            <w:vAlign w:val="center"/>
          </w:tcPr>
          <w:p w14:paraId="4D95AA5C">
            <w:pPr>
              <w:jc w:val="left"/>
              <w:rPr>
                <w:sz w:val="24"/>
                <w:szCs w:val="24"/>
              </w:rPr>
            </w:pPr>
            <w:r>
              <w:rPr>
                <w:b w:val="0"/>
                <w:color w:val="000000"/>
                <w:sz w:val="24"/>
                <w:szCs w:val="24"/>
              </w:rPr>
              <w:t>train</w:t>
            </w:r>
          </w:p>
        </w:tc>
        <w:tc>
          <w:tcPr>
            <w:tcW w:w="1457" w:type="dxa"/>
            <w:tcMar>
              <w:top w:w="90" w:type="dxa"/>
              <w:left w:w="90" w:type="dxa"/>
              <w:bottom w:w="90" w:type="dxa"/>
              <w:right w:w="90" w:type="dxa"/>
            </w:tcMar>
            <w:vAlign w:val="center"/>
          </w:tcPr>
          <w:p w14:paraId="3F166B28">
            <w:pPr>
              <w:jc w:val="center"/>
              <w:rPr>
                <w:sz w:val="24"/>
                <w:szCs w:val="24"/>
              </w:rPr>
            </w:pPr>
            <w:r>
              <w:rPr>
                <w:b w:val="0"/>
                <w:color w:val="000000"/>
                <w:sz w:val="24"/>
                <w:szCs w:val="24"/>
              </w:rPr>
              <w:t>0.491</w:t>
            </w:r>
          </w:p>
        </w:tc>
        <w:tc>
          <w:tcPr>
            <w:tcW w:w="1457" w:type="dxa"/>
            <w:tcMar>
              <w:top w:w="90" w:type="dxa"/>
              <w:left w:w="90" w:type="dxa"/>
              <w:bottom w:w="90" w:type="dxa"/>
              <w:right w:w="90" w:type="dxa"/>
            </w:tcMar>
            <w:vAlign w:val="center"/>
          </w:tcPr>
          <w:p w14:paraId="7D04C170">
            <w:pPr>
              <w:jc w:val="center"/>
              <w:rPr>
                <w:sz w:val="24"/>
                <w:szCs w:val="24"/>
              </w:rPr>
            </w:pPr>
            <w:r>
              <w:rPr>
                <w:b w:val="0"/>
                <w:color w:val="000000"/>
                <w:sz w:val="24"/>
                <w:szCs w:val="24"/>
              </w:rPr>
              <w:t>0.533</w:t>
            </w:r>
          </w:p>
        </w:tc>
        <w:tc>
          <w:tcPr>
            <w:tcW w:w="1457" w:type="dxa"/>
            <w:tcMar>
              <w:top w:w="90" w:type="dxa"/>
              <w:left w:w="90" w:type="dxa"/>
              <w:bottom w:w="90" w:type="dxa"/>
              <w:right w:w="90" w:type="dxa"/>
            </w:tcMar>
            <w:vAlign w:val="center"/>
          </w:tcPr>
          <w:p w14:paraId="1ECE3683">
            <w:pPr>
              <w:jc w:val="center"/>
              <w:rPr>
                <w:sz w:val="24"/>
                <w:szCs w:val="24"/>
              </w:rPr>
            </w:pPr>
            <w:r>
              <w:rPr>
                <w:b w:val="0"/>
                <w:color w:val="000000"/>
                <w:sz w:val="24"/>
                <w:szCs w:val="24"/>
              </w:rPr>
              <w:t>0.505</w:t>
            </w:r>
          </w:p>
        </w:tc>
        <w:tc>
          <w:tcPr>
            <w:tcW w:w="1457" w:type="dxa"/>
            <w:tcMar>
              <w:top w:w="90" w:type="dxa"/>
              <w:left w:w="90" w:type="dxa"/>
              <w:bottom w:w="90" w:type="dxa"/>
              <w:right w:w="90" w:type="dxa"/>
            </w:tcMar>
            <w:vAlign w:val="center"/>
          </w:tcPr>
          <w:p w14:paraId="56F0BA8C">
            <w:pPr>
              <w:jc w:val="center"/>
              <w:rPr>
                <w:sz w:val="24"/>
                <w:szCs w:val="24"/>
              </w:rPr>
            </w:pPr>
            <w:r>
              <w:rPr>
                <w:b w:val="0"/>
                <w:color w:val="000000"/>
                <w:sz w:val="24"/>
                <w:szCs w:val="24"/>
              </w:rPr>
              <w:t>0.343</w:t>
            </w:r>
          </w:p>
        </w:tc>
        <w:tc>
          <w:tcPr>
            <w:tcW w:w="1457" w:type="dxa"/>
            <w:tcMar>
              <w:top w:w="90" w:type="dxa"/>
              <w:left w:w="90" w:type="dxa"/>
              <w:bottom w:w="90" w:type="dxa"/>
              <w:right w:w="90" w:type="dxa"/>
            </w:tcMar>
            <w:vAlign w:val="center"/>
          </w:tcPr>
          <w:p w14:paraId="46C7C85A">
            <w:pPr>
              <w:jc w:val="left"/>
              <w:rPr>
                <w:sz w:val="24"/>
                <w:szCs w:val="24"/>
              </w:rPr>
            </w:pPr>
            <w:r>
              <w:rPr>
                <w:b w:val="0"/>
                <w:color w:val="000000"/>
                <w:sz w:val="24"/>
                <w:szCs w:val="24"/>
              </w:rPr>
              <w:t>First stable full training result</w:t>
            </w:r>
          </w:p>
        </w:tc>
      </w:tr>
      <w:tr w14:paraId="302E8AF3">
        <w:tblPrEx>
          <w:tblCellMar>
            <w:top w:w="0" w:type="dxa"/>
            <w:left w:w="108" w:type="dxa"/>
            <w:bottom w:w="0" w:type="dxa"/>
            <w:right w:w="108" w:type="dxa"/>
          </w:tblCellMar>
        </w:tblPrEx>
        <w:trPr>
          <w:jc w:val="center"/>
        </w:trPr>
        <w:tc>
          <w:tcPr>
            <w:tcW w:w="1457" w:type="dxa"/>
            <w:shd w:val="clear" w:color="auto" w:fill="EEF7EF"/>
            <w:tcMar>
              <w:top w:w="90" w:type="dxa"/>
              <w:left w:w="90" w:type="dxa"/>
              <w:bottom w:w="90" w:type="dxa"/>
              <w:right w:w="90" w:type="dxa"/>
            </w:tcMar>
            <w:vAlign w:val="center"/>
          </w:tcPr>
          <w:p w14:paraId="713E00A8">
            <w:pPr>
              <w:jc w:val="left"/>
              <w:rPr>
                <w:sz w:val="24"/>
                <w:szCs w:val="24"/>
              </w:rPr>
            </w:pPr>
            <w:r>
              <w:rPr>
                <w:b w:val="0"/>
                <w:color w:val="000000"/>
                <w:sz w:val="24"/>
                <w:szCs w:val="24"/>
              </w:rPr>
              <w:t>Round 1</w:t>
            </w:r>
          </w:p>
        </w:tc>
        <w:tc>
          <w:tcPr>
            <w:tcW w:w="1457" w:type="dxa"/>
            <w:shd w:val="clear" w:color="auto" w:fill="EEF7EF"/>
            <w:tcMar>
              <w:top w:w="90" w:type="dxa"/>
              <w:left w:w="90" w:type="dxa"/>
              <w:bottom w:w="90" w:type="dxa"/>
              <w:right w:w="90" w:type="dxa"/>
            </w:tcMar>
            <w:vAlign w:val="center"/>
          </w:tcPr>
          <w:p w14:paraId="4DFB1584">
            <w:pPr>
              <w:jc w:val="left"/>
              <w:rPr>
                <w:sz w:val="24"/>
                <w:szCs w:val="24"/>
              </w:rPr>
            </w:pPr>
            <w:r>
              <w:rPr>
                <w:b w:val="0"/>
                <w:color w:val="000000"/>
                <w:sz w:val="24"/>
                <w:szCs w:val="24"/>
              </w:rPr>
              <w:t>sweep-best</w:t>
            </w:r>
          </w:p>
        </w:tc>
        <w:tc>
          <w:tcPr>
            <w:tcW w:w="1457" w:type="dxa"/>
            <w:shd w:val="clear" w:color="auto" w:fill="EEF7EF"/>
            <w:tcMar>
              <w:top w:w="90" w:type="dxa"/>
              <w:left w:w="90" w:type="dxa"/>
              <w:bottom w:w="90" w:type="dxa"/>
              <w:right w:w="90" w:type="dxa"/>
            </w:tcMar>
            <w:vAlign w:val="center"/>
          </w:tcPr>
          <w:p w14:paraId="0FEEDB0F">
            <w:pPr>
              <w:jc w:val="center"/>
              <w:rPr>
                <w:sz w:val="24"/>
                <w:szCs w:val="24"/>
              </w:rPr>
            </w:pPr>
            <w:r>
              <w:rPr>
                <w:b w:val="0"/>
                <w:color w:val="000000"/>
                <w:sz w:val="24"/>
                <w:szCs w:val="24"/>
              </w:rPr>
              <w:t>0.653</w:t>
            </w:r>
          </w:p>
        </w:tc>
        <w:tc>
          <w:tcPr>
            <w:tcW w:w="1457" w:type="dxa"/>
            <w:shd w:val="clear" w:color="auto" w:fill="EEF7EF"/>
            <w:tcMar>
              <w:top w:w="90" w:type="dxa"/>
              <w:left w:w="90" w:type="dxa"/>
              <w:bottom w:w="90" w:type="dxa"/>
              <w:right w:w="90" w:type="dxa"/>
            </w:tcMar>
            <w:vAlign w:val="center"/>
          </w:tcPr>
          <w:p w14:paraId="6103EEFE">
            <w:pPr>
              <w:jc w:val="center"/>
              <w:rPr>
                <w:sz w:val="24"/>
                <w:szCs w:val="24"/>
              </w:rPr>
            </w:pPr>
            <w:r>
              <w:rPr>
                <w:b w:val="0"/>
                <w:color w:val="000000"/>
                <w:sz w:val="24"/>
                <w:szCs w:val="24"/>
              </w:rPr>
              <w:t>0.470</w:t>
            </w:r>
          </w:p>
        </w:tc>
        <w:tc>
          <w:tcPr>
            <w:tcW w:w="1457" w:type="dxa"/>
            <w:shd w:val="clear" w:color="auto" w:fill="EEF7EF"/>
            <w:tcMar>
              <w:top w:w="90" w:type="dxa"/>
              <w:left w:w="90" w:type="dxa"/>
              <w:bottom w:w="90" w:type="dxa"/>
              <w:right w:w="90" w:type="dxa"/>
            </w:tcMar>
            <w:vAlign w:val="center"/>
          </w:tcPr>
          <w:p w14:paraId="1FB887B7">
            <w:pPr>
              <w:jc w:val="center"/>
              <w:rPr>
                <w:sz w:val="24"/>
                <w:szCs w:val="24"/>
              </w:rPr>
            </w:pPr>
            <w:r>
              <w:rPr>
                <w:b w:val="0"/>
                <w:color w:val="000000"/>
                <w:sz w:val="24"/>
                <w:szCs w:val="24"/>
              </w:rPr>
              <w:t>0.562</w:t>
            </w:r>
          </w:p>
        </w:tc>
        <w:tc>
          <w:tcPr>
            <w:tcW w:w="1457" w:type="dxa"/>
            <w:shd w:val="clear" w:color="auto" w:fill="EEF7EF"/>
            <w:tcMar>
              <w:top w:w="90" w:type="dxa"/>
              <w:left w:w="90" w:type="dxa"/>
              <w:bottom w:w="90" w:type="dxa"/>
              <w:right w:w="90" w:type="dxa"/>
            </w:tcMar>
            <w:vAlign w:val="center"/>
          </w:tcPr>
          <w:p w14:paraId="56B26294">
            <w:pPr>
              <w:jc w:val="center"/>
              <w:rPr>
                <w:sz w:val="24"/>
                <w:szCs w:val="24"/>
              </w:rPr>
            </w:pPr>
            <w:r>
              <w:rPr>
                <w:b w:val="0"/>
                <w:color w:val="000000"/>
                <w:sz w:val="24"/>
                <w:szCs w:val="24"/>
              </w:rPr>
              <w:t>0.402</w:t>
            </w:r>
          </w:p>
        </w:tc>
        <w:tc>
          <w:tcPr>
            <w:tcW w:w="1457" w:type="dxa"/>
            <w:shd w:val="clear" w:color="auto" w:fill="EEF7EF"/>
            <w:tcMar>
              <w:top w:w="90" w:type="dxa"/>
              <w:left w:w="90" w:type="dxa"/>
              <w:bottom w:w="90" w:type="dxa"/>
              <w:right w:w="90" w:type="dxa"/>
            </w:tcMar>
            <w:vAlign w:val="center"/>
          </w:tcPr>
          <w:p w14:paraId="6BD9AA18">
            <w:pPr>
              <w:jc w:val="left"/>
              <w:rPr>
                <w:sz w:val="24"/>
                <w:szCs w:val="24"/>
              </w:rPr>
            </w:pPr>
            <w:r>
              <w:rPr>
                <w:b w:val="0"/>
                <w:color w:val="000000"/>
                <w:sz w:val="24"/>
                <w:szCs w:val="24"/>
              </w:rPr>
              <w:t>Best row: conf 0.25, IoU 0.50</w:t>
            </w:r>
          </w:p>
        </w:tc>
      </w:tr>
      <w:tr w14:paraId="6084B0FD">
        <w:tblPrEx>
          <w:tblCellMar>
            <w:top w:w="0" w:type="dxa"/>
            <w:left w:w="108" w:type="dxa"/>
            <w:bottom w:w="0" w:type="dxa"/>
            <w:right w:w="108" w:type="dxa"/>
          </w:tblCellMar>
        </w:tblPrEx>
        <w:trPr>
          <w:jc w:val="center"/>
        </w:trPr>
        <w:tc>
          <w:tcPr>
            <w:tcW w:w="1457" w:type="dxa"/>
            <w:tcMar>
              <w:top w:w="90" w:type="dxa"/>
              <w:left w:w="90" w:type="dxa"/>
              <w:bottom w:w="90" w:type="dxa"/>
              <w:right w:w="90" w:type="dxa"/>
            </w:tcMar>
            <w:vAlign w:val="center"/>
          </w:tcPr>
          <w:p w14:paraId="5BB1C85A">
            <w:pPr>
              <w:jc w:val="left"/>
              <w:rPr>
                <w:sz w:val="24"/>
                <w:szCs w:val="24"/>
              </w:rPr>
            </w:pPr>
            <w:r>
              <w:rPr>
                <w:b w:val="0"/>
                <w:color w:val="000000"/>
                <w:sz w:val="24"/>
                <w:szCs w:val="24"/>
              </w:rPr>
              <w:t>Round 2</w:t>
            </w:r>
          </w:p>
        </w:tc>
        <w:tc>
          <w:tcPr>
            <w:tcW w:w="1457" w:type="dxa"/>
            <w:tcMar>
              <w:top w:w="90" w:type="dxa"/>
              <w:left w:w="90" w:type="dxa"/>
              <w:bottom w:w="90" w:type="dxa"/>
              <w:right w:w="90" w:type="dxa"/>
            </w:tcMar>
            <w:vAlign w:val="center"/>
          </w:tcPr>
          <w:p w14:paraId="7F495923">
            <w:pPr>
              <w:jc w:val="left"/>
              <w:rPr>
                <w:sz w:val="24"/>
                <w:szCs w:val="24"/>
              </w:rPr>
            </w:pPr>
            <w:r>
              <w:rPr>
                <w:b w:val="0"/>
                <w:color w:val="000000"/>
                <w:sz w:val="24"/>
                <w:szCs w:val="24"/>
              </w:rPr>
              <w:t>train</w:t>
            </w:r>
          </w:p>
        </w:tc>
        <w:tc>
          <w:tcPr>
            <w:tcW w:w="1457" w:type="dxa"/>
            <w:tcMar>
              <w:top w:w="90" w:type="dxa"/>
              <w:left w:w="90" w:type="dxa"/>
              <w:bottom w:w="90" w:type="dxa"/>
              <w:right w:w="90" w:type="dxa"/>
            </w:tcMar>
            <w:vAlign w:val="center"/>
          </w:tcPr>
          <w:p w14:paraId="0CA3353B">
            <w:pPr>
              <w:jc w:val="center"/>
              <w:rPr>
                <w:sz w:val="24"/>
                <w:szCs w:val="24"/>
              </w:rPr>
            </w:pPr>
            <w:r>
              <w:rPr>
                <w:b w:val="0"/>
                <w:color w:val="000000"/>
                <w:sz w:val="24"/>
                <w:szCs w:val="24"/>
              </w:rPr>
              <w:t>0.570</w:t>
            </w:r>
          </w:p>
        </w:tc>
        <w:tc>
          <w:tcPr>
            <w:tcW w:w="1457" w:type="dxa"/>
            <w:tcMar>
              <w:top w:w="90" w:type="dxa"/>
              <w:left w:w="90" w:type="dxa"/>
              <w:bottom w:w="90" w:type="dxa"/>
              <w:right w:w="90" w:type="dxa"/>
            </w:tcMar>
            <w:vAlign w:val="center"/>
          </w:tcPr>
          <w:p w14:paraId="3DC0C375">
            <w:pPr>
              <w:jc w:val="center"/>
              <w:rPr>
                <w:sz w:val="24"/>
                <w:szCs w:val="24"/>
              </w:rPr>
            </w:pPr>
            <w:r>
              <w:rPr>
                <w:b w:val="0"/>
                <w:color w:val="000000"/>
                <w:sz w:val="24"/>
                <w:szCs w:val="24"/>
              </w:rPr>
              <w:t>0.589</w:t>
            </w:r>
          </w:p>
        </w:tc>
        <w:tc>
          <w:tcPr>
            <w:tcW w:w="1457" w:type="dxa"/>
            <w:tcMar>
              <w:top w:w="90" w:type="dxa"/>
              <w:left w:w="90" w:type="dxa"/>
              <w:bottom w:w="90" w:type="dxa"/>
              <w:right w:w="90" w:type="dxa"/>
            </w:tcMar>
            <w:vAlign w:val="center"/>
          </w:tcPr>
          <w:p w14:paraId="6A4087EF">
            <w:pPr>
              <w:jc w:val="center"/>
              <w:rPr>
                <w:sz w:val="24"/>
                <w:szCs w:val="24"/>
              </w:rPr>
            </w:pPr>
            <w:r>
              <w:rPr>
                <w:b w:val="0"/>
                <w:color w:val="000000"/>
                <w:sz w:val="24"/>
                <w:szCs w:val="24"/>
              </w:rPr>
              <w:t>0.540</w:t>
            </w:r>
          </w:p>
        </w:tc>
        <w:tc>
          <w:tcPr>
            <w:tcW w:w="1457" w:type="dxa"/>
            <w:tcMar>
              <w:top w:w="90" w:type="dxa"/>
              <w:left w:w="90" w:type="dxa"/>
              <w:bottom w:w="90" w:type="dxa"/>
              <w:right w:w="90" w:type="dxa"/>
            </w:tcMar>
            <w:vAlign w:val="center"/>
          </w:tcPr>
          <w:p w14:paraId="509A8DB7">
            <w:pPr>
              <w:jc w:val="center"/>
              <w:rPr>
                <w:sz w:val="24"/>
                <w:szCs w:val="24"/>
              </w:rPr>
            </w:pPr>
            <w:r>
              <w:rPr>
                <w:b w:val="0"/>
                <w:color w:val="000000"/>
                <w:sz w:val="24"/>
                <w:szCs w:val="24"/>
              </w:rPr>
              <w:t>0.358</w:t>
            </w:r>
          </w:p>
        </w:tc>
        <w:tc>
          <w:tcPr>
            <w:tcW w:w="1457" w:type="dxa"/>
            <w:tcMar>
              <w:top w:w="90" w:type="dxa"/>
              <w:left w:w="90" w:type="dxa"/>
              <w:bottom w:w="90" w:type="dxa"/>
              <w:right w:w="90" w:type="dxa"/>
            </w:tcMar>
            <w:vAlign w:val="center"/>
          </w:tcPr>
          <w:p w14:paraId="6587A5CE">
            <w:pPr>
              <w:jc w:val="left"/>
              <w:rPr>
                <w:sz w:val="24"/>
                <w:szCs w:val="24"/>
              </w:rPr>
            </w:pPr>
            <w:r>
              <w:rPr>
                <w:b w:val="0"/>
                <w:color w:val="000000"/>
                <w:sz w:val="24"/>
                <w:szCs w:val="24"/>
              </w:rPr>
              <w:t>Rebalanced training clearly lifted recall</w:t>
            </w:r>
          </w:p>
        </w:tc>
      </w:tr>
      <w:tr w14:paraId="10E92ED3">
        <w:tblPrEx>
          <w:tblCellMar>
            <w:top w:w="0" w:type="dxa"/>
            <w:left w:w="108" w:type="dxa"/>
            <w:bottom w:w="0" w:type="dxa"/>
            <w:right w:w="108" w:type="dxa"/>
          </w:tblCellMar>
        </w:tblPrEx>
        <w:trPr>
          <w:jc w:val="center"/>
        </w:trPr>
        <w:tc>
          <w:tcPr>
            <w:tcW w:w="1457" w:type="dxa"/>
            <w:shd w:val="clear" w:color="auto" w:fill="EEF7EF"/>
            <w:tcMar>
              <w:top w:w="90" w:type="dxa"/>
              <w:left w:w="90" w:type="dxa"/>
              <w:bottom w:w="90" w:type="dxa"/>
              <w:right w:w="90" w:type="dxa"/>
            </w:tcMar>
            <w:vAlign w:val="center"/>
          </w:tcPr>
          <w:p w14:paraId="45AA1B85">
            <w:pPr>
              <w:jc w:val="left"/>
              <w:rPr>
                <w:sz w:val="24"/>
                <w:szCs w:val="24"/>
              </w:rPr>
            </w:pPr>
            <w:r>
              <w:rPr>
                <w:b w:val="0"/>
                <w:color w:val="000000"/>
                <w:sz w:val="24"/>
                <w:szCs w:val="24"/>
              </w:rPr>
              <w:t>Round 2</w:t>
            </w:r>
          </w:p>
        </w:tc>
        <w:tc>
          <w:tcPr>
            <w:tcW w:w="1457" w:type="dxa"/>
            <w:shd w:val="clear" w:color="auto" w:fill="EEF7EF"/>
            <w:tcMar>
              <w:top w:w="90" w:type="dxa"/>
              <w:left w:w="90" w:type="dxa"/>
              <w:bottom w:w="90" w:type="dxa"/>
              <w:right w:w="90" w:type="dxa"/>
            </w:tcMar>
            <w:vAlign w:val="center"/>
          </w:tcPr>
          <w:p w14:paraId="3D55E544">
            <w:pPr>
              <w:jc w:val="left"/>
              <w:rPr>
                <w:sz w:val="24"/>
                <w:szCs w:val="24"/>
              </w:rPr>
            </w:pPr>
            <w:r>
              <w:rPr>
                <w:b w:val="0"/>
                <w:color w:val="000000"/>
                <w:sz w:val="24"/>
                <w:szCs w:val="24"/>
              </w:rPr>
              <w:t>sweep-best</w:t>
            </w:r>
          </w:p>
        </w:tc>
        <w:tc>
          <w:tcPr>
            <w:tcW w:w="1457" w:type="dxa"/>
            <w:shd w:val="clear" w:color="auto" w:fill="EEF7EF"/>
            <w:tcMar>
              <w:top w:w="90" w:type="dxa"/>
              <w:left w:w="90" w:type="dxa"/>
              <w:bottom w:w="90" w:type="dxa"/>
              <w:right w:w="90" w:type="dxa"/>
            </w:tcMar>
            <w:vAlign w:val="center"/>
          </w:tcPr>
          <w:p w14:paraId="4B660848">
            <w:pPr>
              <w:jc w:val="center"/>
              <w:rPr>
                <w:sz w:val="24"/>
                <w:szCs w:val="24"/>
              </w:rPr>
            </w:pPr>
            <w:r>
              <w:rPr>
                <w:b w:val="0"/>
                <w:color w:val="000000"/>
                <w:sz w:val="24"/>
                <w:szCs w:val="24"/>
              </w:rPr>
              <w:t>0.590</w:t>
            </w:r>
          </w:p>
        </w:tc>
        <w:tc>
          <w:tcPr>
            <w:tcW w:w="1457" w:type="dxa"/>
            <w:shd w:val="clear" w:color="auto" w:fill="EEF7EF"/>
            <w:tcMar>
              <w:top w:w="90" w:type="dxa"/>
              <w:left w:w="90" w:type="dxa"/>
              <w:bottom w:w="90" w:type="dxa"/>
              <w:right w:w="90" w:type="dxa"/>
            </w:tcMar>
            <w:vAlign w:val="center"/>
          </w:tcPr>
          <w:p w14:paraId="0B9D83A1">
            <w:pPr>
              <w:jc w:val="center"/>
              <w:rPr>
                <w:sz w:val="24"/>
                <w:szCs w:val="24"/>
              </w:rPr>
            </w:pPr>
            <w:r>
              <w:rPr>
                <w:b w:val="0"/>
                <w:color w:val="000000"/>
                <w:sz w:val="24"/>
                <w:szCs w:val="24"/>
              </w:rPr>
              <w:t>0.592</w:t>
            </w:r>
          </w:p>
        </w:tc>
        <w:tc>
          <w:tcPr>
            <w:tcW w:w="1457" w:type="dxa"/>
            <w:shd w:val="clear" w:color="auto" w:fill="EEF7EF"/>
            <w:tcMar>
              <w:top w:w="90" w:type="dxa"/>
              <w:left w:w="90" w:type="dxa"/>
              <w:bottom w:w="90" w:type="dxa"/>
              <w:right w:w="90" w:type="dxa"/>
            </w:tcMar>
            <w:vAlign w:val="center"/>
          </w:tcPr>
          <w:p w14:paraId="54B42F55">
            <w:pPr>
              <w:jc w:val="center"/>
              <w:rPr>
                <w:sz w:val="24"/>
                <w:szCs w:val="24"/>
              </w:rPr>
            </w:pPr>
            <w:r>
              <w:rPr>
                <w:b w:val="0"/>
                <w:color w:val="000000"/>
                <w:sz w:val="24"/>
                <w:szCs w:val="24"/>
              </w:rPr>
              <w:t>0.595</w:t>
            </w:r>
          </w:p>
        </w:tc>
        <w:tc>
          <w:tcPr>
            <w:tcW w:w="1457" w:type="dxa"/>
            <w:shd w:val="clear" w:color="auto" w:fill="EEF7EF"/>
            <w:tcMar>
              <w:top w:w="90" w:type="dxa"/>
              <w:left w:w="90" w:type="dxa"/>
              <w:bottom w:w="90" w:type="dxa"/>
              <w:right w:w="90" w:type="dxa"/>
            </w:tcMar>
            <w:vAlign w:val="center"/>
          </w:tcPr>
          <w:p w14:paraId="308A308B">
            <w:pPr>
              <w:jc w:val="center"/>
              <w:rPr>
                <w:sz w:val="24"/>
                <w:szCs w:val="24"/>
              </w:rPr>
            </w:pPr>
            <w:r>
              <w:rPr>
                <w:b w:val="0"/>
                <w:color w:val="000000"/>
                <w:sz w:val="24"/>
                <w:szCs w:val="24"/>
              </w:rPr>
              <w:t>0.403</w:t>
            </w:r>
          </w:p>
        </w:tc>
        <w:tc>
          <w:tcPr>
            <w:tcW w:w="1457" w:type="dxa"/>
            <w:shd w:val="clear" w:color="auto" w:fill="EEF7EF"/>
            <w:tcMar>
              <w:top w:w="90" w:type="dxa"/>
              <w:left w:w="90" w:type="dxa"/>
              <w:bottom w:w="90" w:type="dxa"/>
              <w:right w:w="90" w:type="dxa"/>
            </w:tcMar>
            <w:vAlign w:val="center"/>
          </w:tcPr>
          <w:p w14:paraId="0F7D038F">
            <w:pPr>
              <w:jc w:val="left"/>
              <w:rPr>
                <w:sz w:val="24"/>
                <w:szCs w:val="24"/>
              </w:rPr>
            </w:pPr>
            <w:r>
              <w:rPr>
                <w:b w:val="0"/>
                <w:color w:val="000000"/>
                <w:sz w:val="24"/>
                <w:szCs w:val="24"/>
              </w:rPr>
              <w:t>Best row: conf 0.15, IoU 0.50</w:t>
            </w:r>
          </w:p>
        </w:tc>
      </w:tr>
      <w:tr w14:paraId="05458B51">
        <w:tblPrEx>
          <w:tblCellMar>
            <w:top w:w="0" w:type="dxa"/>
            <w:left w:w="108" w:type="dxa"/>
            <w:bottom w:w="0" w:type="dxa"/>
            <w:right w:w="108" w:type="dxa"/>
          </w:tblCellMar>
        </w:tblPrEx>
        <w:trPr>
          <w:jc w:val="center"/>
        </w:trPr>
        <w:tc>
          <w:tcPr>
            <w:tcW w:w="1457" w:type="dxa"/>
            <w:tcMar>
              <w:top w:w="90" w:type="dxa"/>
              <w:left w:w="90" w:type="dxa"/>
              <w:bottom w:w="90" w:type="dxa"/>
              <w:right w:w="90" w:type="dxa"/>
            </w:tcMar>
            <w:vAlign w:val="center"/>
          </w:tcPr>
          <w:p w14:paraId="1B633417">
            <w:pPr>
              <w:jc w:val="left"/>
              <w:rPr>
                <w:sz w:val="24"/>
                <w:szCs w:val="24"/>
              </w:rPr>
            </w:pPr>
            <w:r>
              <w:rPr>
                <w:b w:val="0"/>
                <w:color w:val="000000"/>
                <w:sz w:val="24"/>
                <w:szCs w:val="24"/>
              </w:rPr>
              <w:t>Round 3</w:t>
            </w:r>
          </w:p>
        </w:tc>
        <w:tc>
          <w:tcPr>
            <w:tcW w:w="1457" w:type="dxa"/>
            <w:tcMar>
              <w:top w:w="90" w:type="dxa"/>
              <w:left w:w="90" w:type="dxa"/>
              <w:bottom w:w="90" w:type="dxa"/>
              <w:right w:w="90" w:type="dxa"/>
            </w:tcMar>
            <w:vAlign w:val="center"/>
          </w:tcPr>
          <w:p w14:paraId="62EFDA75">
            <w:pPr>
              <w:jc w:val="left"/>
              <w:rPr>
                <w:sz w:val="24"/>
                <w:szCs w:val="24"/>
              </w:rPr>
            </w:pPr>
            <w:r>
              <w:rPr>
                <w:b w:val="0"/>
                <w:color w:val="000000"/>
                <w:sz w:val="24"/>
                <w:szCs w:val="24"/>
              </w:rPr>
              <w:t>train</w:t>
            </w:r>
          </w:p>
        </w:tc>
        <w:tc>
          <w:tcPr>
            <w:tcW w:w="1457" w:type="dxa"/>
            <w:tcMar>
              <w:top w:w="90" w:type="dxa"/>
              <w:left w:w="90" w:type="dxa"/>
              <w:bottom w:w="90" w:type="dxa"/>
              <w:right w:w="90" w:type="dxa"/>
            </w:tcMar>
            <w:vAlign w:val="center"/>
          </w:tcPr>
          <w:p w14:paraId="47024830">
            <w:pPr>
              <w:jc w:val="center"/>
              <w:rPr>
                <w:sz w:val="24"/>
                <w:szCs w:val="24"/>
              </w:rPr>
            </w:pPr>
            <w:r>
              <w:rPr>
                <w:b w:val="0"/>
                <w:color w:val="000000"/>
                <w:sz w:val="24"/>
                <w:szCs w:val="24"/>
              </w:rPr>
              <w:t>0.613</w:t>
            </w:r>
          </w:p>
        </w:tc>
        <w:tc>
          <w:tcPr>
            <w:tcW w:w="1457" w:type="dxa"/>
            <w:tcMar>
              <w:top w:w="90" w:type="dxa"/>
              <w:left w:w="90" w:type="dxa"/>
              <w:bottom w:w="90" w:type="dxa"/>
              <w:right w:w="90" w:type="dxa"/>
            </w:tcMar>
            <w:vAlign w:val="center"/>
          </w:tcPr>
          <w:p w14:paraId="1C18A8CD">
            <w:pPr>
              <w:jc w:val="center"/>
              <w:rPr>
                <w:sz w:val="24"/>
                <w:szCs w:val="24"/>
              </w:rPr>
            </w:pPr>
            <w:r>
              <w:rPr>
                <w:b w:val="0"/>
                <w:color w:val="000000"/>
                <w:sz w:val="24"/>
                <w:szCs w:val="24"/>
              </w:rPr>
              <w:t>0.545</w:t>
            </w:r>
          </w:p>
        </w:tc>
        <w:tc>
          <w:tcPr>
            <w:tcW w:w="1457" w:type="dxa"/>
            <w:tcMar>
              <w:top w:w="90" w:type="dxa"/>
              <w:left w:w="90" w:type="dxa"/>
              <w:bottom w:w="90" w:type="dxa"/>
              <w:right w:w="90" w:type="dxa"/>
            </w:tcMar>
            <w:vAlign w:val="center"/>
          </w:tcPr>
          <w:p w14:paraId="29135ABF">
            <w:pPr>
              <w:jc w:val="center"/>
              <w:rPr>
                <w:sz w:val="24"/>
                <w:szCs w:val="24"/>
              </w:rPr>
            </w:pPr>
            <w:r>
              <w:rPr>
                <w:b w:val="0"/>
                <w:color w:val="000000"/>
                <w:sz w:val="24"/>
                <w:szCs w:val="24"/>
              </w:rPr>
              <w:t>0.523</w:t>
            </w:r>
          </w:p>
        </w:tc>
        <w:tc>
          <w:tcPr>
            <w:tcW w:w="1457" w:type="dxa"/>
            <w:tcMar>
              <w:top w:w="90" w:type="dxa"/>
              <w:left w:w="90" w:type="dxa"/>
              <w:bottom w:w="90" w:type="dxa"/>
              <w:right w:w="90" w:type="dxa"/>
            </w:tcMar>
            <w:vAlign w:val="center"/>
          </w:tcPr>
          <w:p w14:paraId="4603DF13">
            <w:pPr>
              <w:jc w:val="center"/>
              <w:rPr>
                <w:sz w:val="24"/>
                <w:szCs w:val="24"/>
              </w:rPr>
            </w:pPr>
            <w:r>
              <w:rPr>
                <w:b w:val="0"/>
                <w:color w:val="000000"/>
                <w:sz w:val="24"/>
                <w:szCs w:val="24"/>
              </w:rPr>
              <w:t>0.365</w:t>
            </w:r>
          </w:p>
        </w:tc>
        <w:tc>
          <w:tcPr>
            <w:tcW w:w="1457" w:type="dxa"/>
            <w:tcMar>
              <w:top w:w="90" w:type="dxa"/>
              <w:left w:w="90" w:type="dxa"/>
              <w:bottom w:w="90" w:type="dxa"/>
              <w:right w:w="90" w:type="dxa"/>
            </w:tcMar>
            <w:vAlign w:val="center"/>
          </w:tcPr>
          <w:p w14:paraId="32D9A7CE">
            <w:pPr>
              <w:jc w:val="left"/>
              <w:rPr>
                <w:sz w:val="24"/>
                <w:szCs w:val="24"/>
              </w:rPr>
            </w:pPr>
            <w:r>
              <w:rPr>
                <w:b w:val="0"/>
                <w:color w:val="000000"/>
                <w:sz w:val="24"/>
                <w:szCs w:val="24"/>
              </w:rPr>
              <w:t>Higher precision, slightly lower mAP@0.5</w:t>
            </w:r>
          </w:p>
        </w:tc>
      </w:tr>
      <w:tr w14:paraId="6E305000">
        <w:tblPrEx>
          <w:tblCellMar>
            <w:top w:w="0" w:type="dxa"/>
            <w:left w:w="108" w:type="dxa"/>
            <w:bottom w:w="0" w:type="dxa"/>
            <w:right w:w="108" w:type="dxa"/>
          </w:tblCellMar>
        </w:tblPrEx>
        <w:trPr>
          <w:jc w:val="center"/>
        </w:trPr>
        <w:tc>
          <w:tcPr>
            <w:tcW w:w="1457" w:type="dxa"/>
            <w:shd w:val="clear" w:color="auto" w:fill="EEF7EF"/>
            <w:tcMar>
              <w:top w:w="90" w:type="dxa"/>
              <w:left w:w="90" w:type="dxa"/>
              <w:bottom w:w="90" w:type="dxa"/>
              <w:right w:w="90" w:type="dxa"/>
            </w:tcMar>
            <w:vAlign w:val="center"/>
          </w:tcPr>
          <w:p w14:paraId="317C6BA1">
            <w:pPr>
              <w:jc w:val="left"/>
              <w:rPr>
                <w:sz w:val="24"/>
                <w:szCs w:val="24"/>
              </w:rPr>
            </w:pPr>
            <w:r>
              <w:rPr>
                <w:b w:val="0"/>
                <w:color w:val="000000"/>
                <w:sz w:val="24"/>
                <w:szCs w:val="24"/>
              </w:rPr>
              <w:t>Round 3</w:t>
            </w:r>
          </w:p>
        </w:tc>
        <w:tc>
          <w:tcPr>
            <w:tcW w:w="1457" w:type="dxa"/>
            <w:shd w:val="clear" w:color="auto" w:fill="EEF7EF"/>
            <w:tcMar>
              <w:top w:w="90" w:type="dxa"/>
              <w:left w:w="90" w:type="dxa"/>
              <w:bottom w:w="90" w:type="dxa"/>
              <w:right w:w="90" w:type="dxa"/>
            </w:tcMar>
            <w:vAlign w:val="center"/>
          </w:tcPr>
          <w:p w14:paraId="716B7E33">
            <w:pPr>
              <w:jc w:val="left"/>
              <w:rPr>
                <w:sz w:val="24"/>
                <w:szCs w:val="24"/>
              </w:rPr>
            </w:pPr>
            <w:r>
              <w:rPr>
                <w:b w:val="0"/>
                <w:color w:val="000000"/>
                <w:sz w:val="24"/>
                <w:szCs w:val="24"/>
              </w:rPr>
              <w:t>sweep-best</w:t>
            </w:r>
          </w:p>
        </w:tc>
        <w:tc>
          <w:tcPr>
            <w:tcW w:w="1457" w:type="dxa"/>
            <w:shd w:val="clear" w:color="auto" w:fill="EEF7EF"/>
            <w:tcMar>
              <w:top w:w="90" w:type="dxa"/>
              <w:left w:w="90" w:type="dxa"/>
              <w:bottom w:w="90" w:type="dxa"/>
              <w:right w:w="90" w:type="dxa"/>
            </w:tcMar>
            <w:vAlign w:val="center"/>
          </w:tcPr>
          <w:p w14:paraId="4513CEB2">
            <w:pPr>
              <w:jc w:val="center"/>
              <w:rPr>
                <w:sz w:val="24"/>
                <w:szCs w:val="24"/>
              </w:rPr>
            </w:pPr>
            <w:r>
              <w:rPr>
                <w:b w:val="0"/>
                <w:color w:val="000000"/>
                <w:sz w:val="24"/>
                <w:szCs w:val="24"/>
              </w:rPr>
              <w:t>0.677</w:t>
            </w:r>
          </w:p>
        </w:tc>
        <w:tc>
          <w:tcPr>
            <w:tcW w:w="1457" w:type="dxa"/>
            <w:shd w:val="clear" w:color="auto" w:fill="EEF7EF"/>
            <w:tcMar>
              <w:top w:w="90" w:type="dxa"/>
              <w:left w:w="90" w:type="dxa"/>
              <w:bottom w:w="90" w:type="dxa"/>
              <w:right w:w="90" w:type="dxa"/>
            </w:tcMar>
            <w:vAlign w:val="center"/>
          </w:tcPr>
          <w:p w14:paraId="62EA4018">
            <w:pPr>
              <w:jc w:val="center"/>
              <w:rPr>
                <w:sz w:val="24"/>
                <w:szCs w:val="24"/>
              </w:rPr>
            </w:pPr>
            <w:r>
              <w:rPr>
                <w:b w:val="0"/>
                <w:color w:val="000000"/>
                <w:sz w:val="24"/>
                <w:szCs w:val="24"/>
              </w:rPr>
              <w:t>0.491</w:t>
            </w:r>
          </w:p>
        </w:tc>
        <w:tc>
          <w:tcPr>
            <w:tcW w:w="1457" w:type="dxa"/>
            <w:shd w:val="clear" w:color="auto" w:fill="EEF7EF"/>
            <w:tcMar>
              <w:top w:w="90" w:type="dxa"/>
              <w:left w:w="90" w:type="dxa"/>
              <w:bottom w:w="90" w:type="dxa"/>
              <w:right w:w="90" w:type="dxa"/>
            </w:tcMar>
            <w:vAlign w:val="center"/>
          </w:tcPr>
          <w:p w14:paraId="7CAFF8E2">
            <w:pPr>
              <w:jc w:val="center"/>
              <w:rPr>
                <w:sz w:val="24"/>
                <w:szCs w:val="24"/>
              </w:rPr>
            </w:pPr>
            <w:r>
              <w:rPr>
                <w:b w:val="0"/>
                <w:color w:val="000000"/>
                <w:sz w:val="24"/>
                <w:szCs w:val="24"/>
              </w:rPr>
              <w:t>0.577</w:t>
            </w:r>
          </w:p>
        </w:tc>
        <w:tc>
          <w:tcPr>
            <w:tcW w:w="1457" w:type="dxa"/>
            <w:shd w:val="clear" w:color="auto" w:fill="EEF7EF"/>
            <w:tcMar>
              <w:top w:w="90" w:type="dxa"/>
              <w:left w:w="90" w:type="dxa"/>
              <w:bottom w:w="90" w:type="dxa"/>
              <w:right w:w="90" w:type="dxa"/>
            </w:tcMar>
            <w:vAlign w:val="center"/>
          </w:tcPr>
          <w:p w14:paraId="78E26CBE">
            <w:pPr>
              <w:jc w:val="center"/>
              <w:rPr>
                <w:sz w:val="24"/>
                <w:szCs w:val="24"/>
              </w:rPr>
            </w:pPr>
            <w:r>
              <w:rPr>
                <w:b w:val="0"/>
                <w:color w:val="000000"/>
                <w:sz w:val="24"/>
                <w:szCs w:val="24"/>
              </w:rPr>
              <w:t>0.425</w:t>
            </w:r>
          </w:p>
        </w:tc>
        <w:tc>
          <w:tcPr>
            <w:tcW w:w="1457" w:type="dxa"/>
            <w:shd w:val="clear" w:color="auto" w:fill="EEF7EF"/>
            <w:tcMar>
              <w:top w:w="90" w:type="dxa"/>
              <w:left w:w="90" w:type="dxa"/>
              <w:bottom w:w="90" w:type="dxa"/>
              <w:right w:w="90" w:type="dxa"/>
            </w:tcMar>
            <w:vAlign w:val="center"/>
          </w:tcPr>
          <w:p w14:paraId="1E2BE5A9">
            <w:pPr>
              <w:jc w:val="left"/>
              <w:rPr>
                <w:sz w:val="24"/>
                <w:szCs w:val="24"/>
              </w:rPr>
            </w:pPr>
            <w:r>
              <w:rPr>
                <w:b w:val="0"/>
                <w:color w:val="000000"/>
                <w:sz w:val="24"/>
                <w:szCs w:val="24"/>
              </w:rPr>
              <w:t>Best row: conf 0.30, IoU 0.50</w:t>
            </w:r>
          </w:p>
        </w:tc>
      </w:tr>
    </w:tbl>
    <w:p w14:paraId="3CCDC73F"/>
    <w:p w14:paraId="46D7A45A">
      <w:pPr>
        <w:spacing w:before="0" w:after="120" w:line="288" w:lineRule="auto"/>
        <w:ind w:firstLine="440" w:firstLineChars="200"/>
        <w:jc w:val="left"/>
      </w:pPr>
      <w:r>
        <w:t>Compared with the initial baseline, the best available mAP@0.5 rose from 0.312 to 0.595 in the Round 2 sweep, while the best available mAP@0.5:0.95 rose from 0.216 to 0.425 in the Round 3 sweep. In practical terms, the project achieved clear improvement in both coarse detection and stricter localization, although the minority lesion classes remain challenging.</w:t>
      </w:r>
    </w:p>
    <w:p w14:paraId="678DBE01">
      <w:r>
        <w:drawing>
          <wp:inline distT="0" distB="0" distL="114300" distR="114300">
            <wp:extent cx="6047740" cy="2724150"/>
            <wp:effectExtent l="0" t="0" r="1016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48000" cy="2724508"/>
                    </a:xfrm>
                    <a:prstGeom prst="rect">
                      <a:avLst/>
                    </a:prstGeom>
                  </pic:spPr>
                </pic:pic>
              </a:graphicData>
            </a:graphic>
          </wp:inline>
        </w:drawing>
      </w:r>
    </w:p>
    <w:p w14:paraId="10252F5E">
      <w:pPr>
        <w:spacing w:before="0" w:after="80" w:line="288" w:lineRule="auto"/>
        <w:jc w:val="center"/>
      </w:pPr>
      <w:r>
        <w:t>Figure 1. Overall performance across the baseline and the three optimization rounds.</w:t>
      </w:r>
    </w:p>
    <w:p w14:paraId="10800BF5">
      <w:r>
        <w:drawing>
          <wp:inline distT="0" distB="0" distL="114300" distR="114300">
            <wp:extent cx="4967605" cy="2741930"/>
            <wp:effectExtent l="0" t="0" r="1079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968000" cy="2742470"/>
                    </a:xfrm>
                    <a:prstGeom prst="rect">
                      <a:avLst/>
                    </a:prstGeom>
                  </pic:spPr>
                </pic:pic>
              </a:graphicData>
            </a:graphic>
          </wp:inline>
        </w:drawing>
      </w:r>
    </w:p>
    <w:p w14:paraId="169999AA">
      <w:pPr>
        <w:spacing w:before="0" w:after="160" w:line="288" w:lineRule="auto"/>
        <w:jc w:val="center"/>
      </w:pPr>
      <w:r>
        <w:rPr>
          <w:b w:val="0"/>
          <w:color w:val="6B7280"/>
          <w:sz w:val="17"/>
        </w:rPr>
        <w:t>Figure 2. Best validation operating point selected by threshold sweep in each completed round.</w:t>
      </w:r>
    </w:p>
    <w:tbl>
      <w:tblPr>
        <w:tblStyle w:val="32"/>
        <w:tblW w:w="0" w:type="auto"/>
        <w:jc w:val="center"/>
        <w:tblLayout w:type="autofit"/>
        <w:tblCellMar>
          <w:top w:w="0" w:type="dxa"/>
          <w:left w:w="108" w:type="dxa"/>
          <w:bottom w:w="0" w:type="dxa"/>
          <w:right w:w="108" w:type="dxa"/>
        </w:tblCellMar>
      </w:tblPr>
      <w:tblGrid>
        <w:gridCol w:w="10200"/>
      </w:tblGrid>
      <w:tr w14:paraId="6E75CBBC">
        <w:tblPrEx>
          <w:tblCellMar>
            <w:top w:w="0" w:type="dxa"/>
            <w:left w:w="108" w:type="dxa"/>
            <w:bottom w:w="0" w:type="dxa"/>
            <w:right w:w="108" w:type="dxa"/>
          </w:tblCellMar>
        </w:tblPrEx>
        <w:trPr>
          <w:jc w:val="center"/>
        </w:trPr>
        <w:tc>
          <w:tcPr>
            <w:tcW w:w="10200" w:type="dxa"/>
            <w:shd w:val="clear" w:color="auto" w:fill="DCEAF7"/>
          </w:tcPr>
          <w:p w14:paraId="7B0CB03D">
            <w:r>
              <w:t>4. Class-Wise Analysis</w:t>
            </w:r>
          </w:p>
        </w:tc>
      </w:tr>
    </w:tbl>
    <w:p w14:paraId="487B83FC"/>
    <w:p w14:paraId="3063F406">
      <w:pPr>
        <w:spacing w:before="0" w:after="100" w:line="288" w:lineRule="auto"/>
        <w:ind w:firstLine="400" w:firstLineChars="200"/>
        <w:jc w:val="left"/>
      </w:pPr>
      <w:r>
        <w:rPr>
          <w:b w:val="0"/>
          <w:color w:val="1F1F1F"/>
          <w:sz w:val="20"/>
        </w:rPr>
        <w:t>The model family consistently detects the Tooth class far more reliably than lesion classes. This is not surprising: Tooth has the largest number of visible instances, the clearest visual structure, and the most stable geometry. The three lesion classes are harder for different reasons: Caries is small and easily absorbed into background; Cavity is visually variable; Crack has extremely few examples and therefore unstable learning.</w:t>
      </w:r>
    </w:p>
    <w:tbl>
      <w:tblPr>
        <w:tblStyle w:val="32"/>
        <w:tblW w:w="0" w:type="auto"/>
        <w:jc w:val="center"/>
        <w:tblLayout w:type="fixed"/>
        <w:tblCellMar>
          <w:top w:w="0" w:type="dxa"/>
          <w:left w:w="108" w:type="dxa"/>
          <w:bottom w:w="0" w:type="dxa"/>
          <w:right w:w="108" w:type="dxa"/>
        </w:tblCellMar>
      </w:tblPr>
      <w:tblGrid>
        <w:gridCol w:w="2040"/>
        <w:gridCol w:w="2040"/>
        <w:gridCol w:w="2040"/>
        <w:gridCol w:w="2040"/>
        <w:gridCol w:w="2040"/>
      </w:tblGrid>
      <w:tr w14:paraId="3ED062C8">
        <w:tblPrEx>
          <w:tblCellMar>
            <w:top w:w="0" w:type="dxa"/>
            <w:left w:w="108" w:type="dxa"/>
            <w:bottom w:w="0" w:type="dxa"/>
            <w:right w:w="108" w:type="dxa"/>
          </w:tblCellMar>
        </w:tblPrEx>
        <w:trPr>
          <w:jc w:val="center"/>
        </w:trPr>
        <w:tc>
          <w:tcPr>
            <w:tcW w:w="1757" w:type="dxa"/>
            <w:shd w:val="clear" w:color="auto" w:fill="2F6C9E"/>
            <w:tcMar>
              <w:top w:w="90" w:type="dxa"/>
              <w:left w:w="90" w:type="dxa"/>
              <w:bottom w:w="90" w:type="dxa"/>
              <w:right w:w="90" w:type="dxa"/>
            </w:tcMar>
            <w:vAlign w:val="center"/>
          </w:tcPr>
          <w:p w14:paraId="3F7AC109">
            <w:pPr>
              <w:jc w:val="center"/>
            </w:pPr>
            <w:r>
              <w:rPr>
                <w:b/>
                <w:color w:val="FFFFFF"/>
                <w:sz w:val="18"/>
              </w:rPr>
              <w:t>Class</w:t>
            </w:r>
          </w:p>
        </w:tc>
        <w:tc>
          <w:tcPr>
            <w:tcW w:w="1701" w:type="dxa"/>
            <w:shd w:val="clear" w:color="auto" w:fill="2F6C9E"/>
            <w:tcMar>
              <w:top w:w="90" w:type="dxa"/>
              <w:left w:w="90" w:type="dxa"/>
              <w:bottom w:w="90" w:type="dxa"/>
              <w:right w:w="90" w:type="dxa"/>
            </w:tcMar>
            <w:vAlign w:val="center"/>
          </w:tcPr>
          <w:p w14:paraId="0E920629">
            <w:pPr>
              <w:jc w:val="center"/>
            </w:pPr>
            <w:r>
              <w:rPr>
                <w:b/>
                <w:color w:val="FFFFFF"/>
                <w:sz w:val="18"/>
              </w:rPr>
              <w:t>Round 1 mAP@0.5</w:t>
            </w:r>
          </w:p>
        </w:tc>
        <w:tc>
          <w:tcPr>
            <w:tcW w:w="1701" w:type="dxa"/>
            <w:shd w:val="clear" w:color="auto" w:fill="2F6C9E"/>
            <w:tcMar>
              <w:top w:w="90" w:type="dxa"/>
              <w:left w:w="90" w:type="dxa"/>
              <w:bottom w:w="90" w:type="dxa"/>
              <w:right w:w="90" w:type="dxa"/>
            </w:tcMar>
            <w:vAlign w:val="center"/>
          </w:tcPr>
          <w:p w14:paraId="45053089">
            <w:pPr>
              <w:jc w:val="center"/>
            </w:pPr>
            <w:r>
              <w:rPr>
                <w:b/>
                <w:color w:val="FFFFFF"/>
                <w:sz w:val="18"/>
              </w:rPr>
              <w:t>Round 2 mAP@0.5</w:t>
            </w:r>
          </w:p>
        </w:tc>
        <w:tc>
          <w:tcPr>
            <w:tcW w:w="1701" w:type="dxa"/>
            <w:shd w:val="clear" w:color="auto" w:fill="2F6C9E"/>
            <w:tcMar>
              <w:top w:w="90" w:type="dxa"/>
              <w:left w:w="90" w:type="dxa"/>
              <w:bottom w:w="90" w:type="dxa"/>
              <w:right w:w="90" w:type="dxa"/>
            </w:tcMar>
            <w:vAlign w:val="center"/>
          </w:tcPr>
          <w:p w14:paraId="076A71B8">
            <w:pPr>
              <w:jc w:val="center"/>
            </w:pPr>
            <w:r>
              <w:rPr>
                <w:b/>
                <w:color w:val="FFFFFF"/>
                <w:sz w:val="18"/>
              </w:rPr>
              <w:t>Round 3 mAP@0.5</w:t>
            </w:r>
          </w:p>
        </w:tc>
        <w:tc>
          <w:tcPr>
            <w:tcW w:w="2381" w:type="dxa"/>
            <w:shd w:val="clear" w:color="auto" w:fill="2F6C9E"/>
            <w:tcMar>
              <w:top w:w="90" w:type="dxa"/>
              <w:left w:w="90" w:type="dxa"/>
              <w:bottom w:w="90" w:type="dxa"/>
              <w:right w:w="90" w:type="dxa"/>
            </w:tcMar>
            <w:vAlign w:val="center"/>
          </w:tcPr>
          <w:p w14:paraId="2A8CB9D0">
            <w:pPr>
              <w:jc w:val="center"/>
            </w:pPr>
            <w:r>
              <w:rPr>
                <w:b/>
                <w:color w:val="FFFFFF"/>
                <w:sz w:val="18"/>
              </w:rPr>
              <w:t>Interpretation</w:t>
            </w:r>
          </w:p>
        </w:tc>
      </w:tr>
      <w:tr w14:paraId="38FE50DD">
        <w:tblPrEx>
          <w:tblCellMar>
            <w:top w:w="0" w:type="dxa"/>
            <w:left w:w="108" w:type="dxa"/>
            <w:bottom w:w="0" w:type="dxa"/>
            <w:right w:w="108" w:type="dxa"/>
          </w:tblCellMar>
        </w:tblPrEx>
        <w:trPr>
          <w:jc w:val="center"/>
        </w:trPr>
        <w:tc>
          <w:tcPr>
            <w:tcW w:w="2040" w:type="dxa"/>
            <w:tcMar>
              <w:top w:w="90" w:type="dxa"/>
              <w:left w:w="90" w:type="dxa"/>
              <w:bottom w:w="90" w:type="dxa"/>
              <w:right w:w="90" w:type="dxa"/>
            </w:tcMar>
            <w:vAlign w:val="center"/>
          </w:tcPr>
          <w:p w14:paraId="38F2D983">
            <w:pPr>
              <w:jc w:val="left"/>
            </w:pPr>
            <w:r>
              <w:rPr>
                <w:b w:val="0"/>
                <w:color w:val="000000"/>
                <w:sz w:val="17"/>
              </w:rPr>
              <w:t>Caries</w:t>
            </w:r>
          </w:p>
        </w:tc>
        <w:tc>
          <w:tcPr>
            <w:tcW w:w="2040" w:type="dxa"/>
            <w:tcMar>
              <w:top w:w="90" w:type="dxa"/>
              <w:left w:w="90" w:type="dxa"/>
              <w:bottom w:w="90" w:type="dxa"/>
              <w:right w:w="90" w:type="dxa"/>
            </w:tcMar>
            <w:vAlign w:val="center"/>
          </w:tcPr>
          <w:p w14:paraId="4551F554">
            <w:pPr>
              <w:jc w:val="center"/>
            </w:pPr>
            <w:r>
              <w:rPr>
                <w:b w:val="0"/>
                <w:color w:val="000000"/>
                <w:sz w:val="17"/>
              </w:rPr>
              <w:t>0.322</w:t>
            </w:r>
          </w:p>
        </w:tc>
        <w:tc>
          <w:tcPr>
            <w:tcW w:w="2040" w:type="dxa"/>
            <w:tcMar>
              <w:top w:w="90" w:type="dxa"/>
              <w:left w:w="90" w:type="dxa"/>
              <w:bottom w:w="90" w:type="dxa"/>
              <w:right w:w="90" w:type="dxa"/>
            </w:tcMar>
            <w:vAlign w:val="center"/>
          </w:tcPr>
          <w:p w14:paraId="4DAF1C57">
            <w:pPr>
              <w:jc w:val="center"/>
            </w:pPr>
            <w:r>
              <w:rPr>
                <w:b w:val="0"/>
                <w:color w:val="000000"/>
                <w:sz w:val="17"/>
              </w:rPr>
              <w:t>0.342</w:t>
            </w:r>
          </w:p>
        </w:tc>
        <w:tc>
          <w:tcPr>
            <w:tcW w:w="2040" w:type="dxa"/>
            <w:tcMar>
              <w:top w:w="90" w:type="dxa"/>
              <w:left w:w="90" w:type="dxa"/>
              <w:bottom w:w="90" w:type="dxa"/>
              <w:right w:w="90" w:type="dxa"/>
            </w:tcMar>
            <w:vAlign w:val="center"/>
          </w:tcPr>
          <w:p w14:paraId="576D82CB">
            <w:pPr>
              <w:jc w:val="center"/>
            </w:pPr>
            <w:r>
              <w:rPr>
                <w:b w:val="0"/>
                <w:color w:val="000000"/>
                <w:sz w:val="17"/>
              </w:rPr>
              <w:t>0.345</w:t>
            </w:r>
          </w:p>
        </w:tc>
        <w:tc>
          <w:tcPr>
            <w:tcW w:w="2040" w:type="dxa"/>
            <w:tcMar>
              <w:top w:w="90" w:type="dxa"/>
              <w:left w:w="90" w:type="dxa"/>
              <w:bottom w:w="90" w:type="dxa"/>
              <w:right w:w="90" w:type="dxa"/>
            </w:tcMar>
            <w:vAlign w:val="center"/>
          </w:tcPr>
          <w:p w14:paraId="1F4C72F4">
            <w:pPr>
              <w:jc w:val="left"/>
            </w:pPr>
            <w:r>
              <w:rPr>
                <w:b w:val="0"/>
                <w:color w:val="000000"/>
                <w:sz w:val="17"/>
              </w:rPr>
              <w:t>Only modest improvement; still frequently confused with background and tooth-like patterns</w:t>
            </w:r>
          </w:p>
        </w:tc>
      </w:tr>
      <w:tr w14:paraId="7FFDA376">
        <w:tblPrEx>
          <w:tblCellMar>
            <w:top w:w="0" w:type="dxa"/>
            <w:left w:w="108" w:type="dxa"/>
            <w:bottom w:w="0" w:type="dxa"/>
            <w:right w:w="108" w:type="dxa"/>
          </w:tblCellMar>
        </w:tblPrEx>
        <w:trPr>
          <w:jc w:val="center"/>
        </w:trPr>
        <w:tc>
          <w:tcPr>
            <w:tcW w:w="2040" w:type="dxa"/>
            <w:tcMar>
              <w:top w:w="90" w:type="dxa"/>
              <w:left w:w="90" w:type="dxa"/>
              <w:bottom w:w="90" w:type="dxa"/>
              <w:right w:w="90" w:type="dxa"/>
            </w:tcMar>
            <w:vAlign w:val="center"/>
          </w:tcPr>
          <w:p w14:paraId="5CF55E45">
            <w:pPr>
              <w:jc w:val="left"/>
            </w:pPr>
            <w:r>
              <w:rPr>
                <w:b w:val="0"/>
                <w:color w:val="000000"/>
                <w:sz w:val="17"/>
              </w:rPr>
              <w:t>Cavity</w:t>
            </w:r>
          </w:p>
        </w:tc>
        <w:tc>
          <w:tcPr>
            <w:tcW w:w="2040" w:type="dxa"/>
            <w:tcMar>
              <w:top w:w="90" w:type="dxa"/>
              <w:left w:w="90" w:type="dxa"/>
              <w:bottom w:w="90" w:type="dxa"/>
              <w:right w:w="90" w:type="dxa"/>
            </w:tcMar>
            <w:vAlign w:val="center"/>
          </w:tcPr>
          <w:p w14:paraId="5DB5DA38">
            <w:pPr>
              <w:jc w:val="center"/>
            </w:pPr>
            <w:r>
              <w:rPr>
                <w:b w:val="0"/>
                <w:color w:val="000000"/>
                <w:sz w:val="17"/>
              </w:rPr>
              <w:t>0.429</w:t>
            </w:r>
          </w:p>
        </w:tc>
        <w:tc>
          <w:tcPr>
            <w:tcW w:w="2040" w:type="dxa"/>
            <w:tcMar>
              <w:top w:w="90" w:type="dxa"/>
              <w:left w:w="90" w:type="dxa"/>
              <w:bottom w:w="90" w:type="dxa"/>
              <w:right w:w="90" w:type="dxa"/>
            </w:tcMar>
            <w:vAlign w:val="center"/>
          </w:tcPr>
          <w:p w14:paraId="6F6798C9">
            <w:pPr>
              <w:jc w:val="center"/>
            </w:pPr>
            <w:r>
              <w:rPr>
                <w:b w:val="0"/>
                <w:color w:val="000000"/>
                <w:sz w:val="17"/>
              </w:rPr>
              <w:t>0.412</w:t>
            </w:r>
          </w:p>
        </w:tc>
        <w:tc>
          <w:tcPr>
            <w:tcW w:w="2040" w:type="dxa"/>
            <w:tcMar>
              <w:top w:w="90" w:type="dxa"/>
              <w:left w:w="90" w:type="dxa"/>
              <w:bottom w:w="90" w:type="dxa"/>
              <w:right w:w="90" w:type="dxa"/>
            </w:tcMar>
            <w:vAlign w:val="center"/>
          </w:tcPr>
          <w:p w14:paraId="1165AF48">
            <w:pPr>
              <w:jc w:val="center"/>
            </w:pPr>
            <w:r>
              <w:rPr>
                <w:b w:val="0"/>
                <w:color w:val="000000"/>
                <w:sz w:val="17"/>
              </w:rPr>
              <w:t>0.397</w:t>
            </w:r>
          </w:p>
        </w:tc>
        <w:tc>
          <w:tcPr>
            <w:tcW w:w="2040" w:type="dxa"/>
            <w:tcMar>
              <w:top w:w="90" w:type="dxa"/>
              <w:left w:w="90" w:type="dxa"/>
              <w:bottom w:w="90" w:type="dxa"/>
              <w:right w:w="90" w:type="dxa"/>
            </w:tcMar>
            <w:vAlign w:val="center"/>
          </w:tcPr>
          <w:p w14:paraId="12E1B8F3">
            <w:pPr>
              <w:jc w:val="left"/>
            </w:pPr>
            <w:r>
              <w:rPr>
                <w:b w:val="0"/>
                <w:color w:val="000000"/>
                <w:sz w:val="17"/>
              </w:rPr>
              <w:t>Reasonable but unstable; gains from rebalancing were not preserved under the later high-resolution lesion-mix setup</w:t>
            </w:r>
          </w:p>
        </w:tc>
      </w:tr>
      <w:tr w14:paraId="3E978E36">
        <w:tblPrEx>
          <w:tblCellMar>
            <w:top w:w="0" w:type="dxa"/>
            <w:left w:w="108" w:type="dxa"/>
            <w:bottom w:w="0" w:type="dxa"/>
            <w:right w:w="108" w:type="dxa"/>
          </w:tblCellMar>
        </w:tblPrEx>
        <w:trPr>
          <w:jc w:val="center"/>
        </w:trPr>
        <w:tc>
          <w:tcPr>
            <w:tcW w:w="2040" w:type="dxa"/>
            <w:tcMar>
              <w:top w:w="90" w:type="dxa"/>
              <w:left w:w="90" w:type="dxa"/>
              <w:bottom w:w="90" w:type="dxa"/>
              <w:right w:w="90" w:type="dxa"/>
            </w:tcMar>
            <w:vAlign w:val="center"/>
          </w:tcPr>
          <w:p w14:paraId="60B9EC72">
            <w:pPr>
              <w:jc w:val="left"/>
            </w:pPr>
            <w:r>
              <w:rPr>
                <w:b w:val="0"/>
                <w:color w:val="000000"/>
                <w:sz w:val="17"/>
              </w:rPr>
              <w:t>Crack</w:t>
            </w:r>
          </w:p>
        </w:tc>
        <w:tc>
          <w:tcPr>
            <w:tcW w:w="2040" w:type="dxa"/>
            <w:tcMar>
              <w:top w:w="90" w:type="dxa"/>
              <w:left w:w="90" w:type="dxa"/>
              <w:bottom w:w="90" w:type="dxa"/>
              <w:right w:w="90" w:type="dxa"/>
            </w:tcMar>
            <w:vAlign w:val="center"/>
          </w:tcPr>
          <w:p w14:paraId="390DF2DB">
            <w:pPr>
              <w:jc w:val="center"/>
            </w:pPr>
            <w:r>
              <w:rPr>
                <w:b w:val="0"/>
                <w:color w:val="000000"/>
                <w:sz w:val="17"/>
              </w:rPr>
              <w:t>0.299</w:t>
            </w:r>
          </w:p>
        </w:tc>
        <w:tc>
          <w:tcPr>
            <w:tcW w:w="2040" w:type="dxa"/>
            <w:tcMar>
              <w:top w:w="90" w:type="dxa"/>
              <w:left w:w="90" w:type="dxa"/>
              <w:bottom w:w="90" w:type="dxa"/>
              <w:right w:w="90" w:type="dxa"/>
            </w:tcMar>
            <w:vAlign w:val="center"/>
          </w:tcPr>
          <w:p w14:paraId="3E8EE84E">
            <w:pPr>
              <w:jc w:val="center"/>
            </w:pPr>
            <w:r>
              <w:rPr>
                <w:b w:val="0"/>
                <w:color w:val="000000"/>
                <w:sz w:val="17"/>
              </w:rPr>
              <w:t>0.437</w:t>
            </w:r>
          </w:p>
        </w:tc>
        <w:tc>
          <w:tcPr>
            <w:tcW w:w="2040" w:type="dxa"/>
            <w:tcMar>
              <w:top w:w="90" w:type="dxa"/>
              <w:left w:w="90" w:type="dxa"/>
              <w:bottom w:w="90" w:type="dxa"/>
              <w:right w:w="90" w:type="dxa"/>
            </w:tcMar>
            <w:vAlign w:val="center"/>
          </w:tcPr>
          <w:p w14:paraId="7C560639">
            <w:pPr>
              <w:jc w:val="center"/>
            </w:pPr>
            <w:r>
              <w:rPr>
                <w:b w:val="0"/>
                <w:color w:val="000000"/>
                <w:sz w:val="17"/>
              </w:rPr>
              <w:t>0.384</w:t>
            </w:r>
          </w:p>
        </w:tc>
        <w:tc>
          <w:tcPr>
            <w:tcW w:w="2040" w:type="dxa"/>
            <w:tcMar>
              <w:top w:w="90" w:type="dxa"/>
              <w:left w:w="90" w:type="dxa"/>
              <w:bottom w:w="90" w:type="dxa"/>
              <w:right w:w="90" w:type="dxa"/>
            </w:tcMar>
            <w:vAlign w:val="center"/>
          </w:tcPr>
          <w:p w14:paraId="37B4C6B8">
            <w:pPr>
              <w:jc w:val="left"/>
            </w:pPr>
            <w:r>
              <w:rPr>
                <w:b w:val="0"/>
                <w:color w:val="000000"/>
                <w:sz w:val="17"/>
              </w:rPr>
              <w:t>Strong jump in Round 2 suggests rebalancing mattered; later decline reflects tiny sample size and instability</w:t>
            </w:r>
          </w:p>
        </w:tc>
      </w:tr>
      <w:tr w14:paraId="638A287F">
        <w:tblPrEx>
          <w:tblCellMar>
            <w:top w:w="0" w:type="dxa"/>
            <w:left w:w="108" w:type="dxa"/>
            <w:bottom w:w="0" w:type="dxa"/>
            <w:right w:w="108" w:type="dxa"/>
          </w:tblCellMar>
        </w:tblPrEx>
        <w:trPr>
          <w:jc w:val="center"/>
        </w:trPr>
        <w:tc>
          <w:tcPr>
            <w:tcW w:w="2040" w:type="dxa"/>
            <w:tcMar>
              <w:top w:w="90" w:type="dxa"/>
              <w:left w:w="90" w:type="dxa"/>
              <w:bottom w:w="90" w:type="dxa"/>
              <w:right w:w="90" w:type="dxa"/>
            </w:tcMar>
            <w:vAlign w:val="center"/>
          </w:tcPr>
          <w:p w14:paraId="08FD8F0A">
            <w:pPr>
              <w:jc w:val="left"/>
            </w:pPr>
            <w:r>
              <w:rPr>
                <w:b w:val="0"/>
                <w:color w:val="000000"/>
                <w:sz w:val="17"/>
              </w:rPr>
              <w:t>Tooth</w:t>
            </w:r>
          </w:p>
        </w:tc>
        <w:tc>
          <w:tcPr>
            <w:tcW w:w="2040" w:type="dxa"/>
            <w:tcMar>
              <w:top w:w="90" w:type="dxa"/>
              <w:left w:w="90" w:type="dxa"/>
              <w:bottom w:w="90" w:type="dxa"/>
              <w:right w:w="90" w:type="dxa"/>
            </w:tcMar>
            <w:vAlign w:val="center"/>
          </w:tcPr>
          <w:p w14:paraId="366156C8">
            <w:pPr>
              <w:jc w:val="center"/>
            </w:pPr>
            <w:r>
              <w:rPr>
                <w:b w:val="0"/>
                <w:color w:val="000000"/>
                <w:sz w:val="17"/>
              </w:rPr>
              <w:t>0.976</w:t>
            </w:r>
          </w:p>
        </w:tc>
        <w:tc>
          <w:tcPr>
            <w:tcW w:w="2040" w:type="dxa"/>
            <w:tcMar>
              <w:top w:w="90" w:type="dxa"/>
              <w:left w:w="90" w:type="dxa"/>
              <w:bottom w:w="90" w:type="dxa"/>
              <w:right w:w="90" w:type="dxa"/>
            </w:tcMar>
            <w:vAlign w:val="center"/>
          </w:tcPr>
          <w:p w14:paraId="24AAEC74">
            <w:pPr>
              <w:jc w:val="center"/>
            </w:pPr>
            <w:r>
              <w:rPr>
                <w:b w:val="0"/>
                <w:color w:val="000000"/>
                <w:sz w:val="17"/>
              </w:rPr>
              <w:t>0.970</w:t>
            </w:r>
          </w:p>
        </w:tc>
        <w:tc>
          <w:tcPr>
            <w:tcW w:w="2040" w:type="dxa"/>
            <w:tcMar>
              <w:top w:w="90" w:type="dxa"/>
              <w:left w:w="90" w:type="dxa"/>
              <w:bottom w:w="90" w:type="dxa"/>
              <w:right w:w="90" w:type="dxa"/>
            </w:tcMar>
            <w:vAlign w:val="center"/>
          </w:tcPr>
          <w:p w14:paraId="65571DAA">
            <w:pPr>
              <w:jc w:val="center"/>
            </w:pPr>
            <w:r>
              <w:rPr>
                <w:b w:val="0"/>
                <w:color w:val="000000"/>
                <w:sz w:val="17"/>
              </w:rPr>
              <w:t>0.966</w:t>
            </w:r>
          </w:p>
        </w:tc>
        <w:tc>
          <w:tcPr>
            <w:tcW w:w="2040" w:type="dxa"/>
            <w:tcMar>
              <w:top w:w="90" w:type="dxa"/>
              <w:left w:w="90" w:type="dxa"/>
              <w:bottom w:w="90" w:type="dxa"/>
              <w:right w:w="90" w:type="dxa"/>
            </w:tcMar>
            <w:vAlign w:val="center"/>
          </w:tcPr>
          <w:p w14:paraId="1289799D">
            <w:pPr>
              <w:jc w:val="left"/>
            </w:pPr>
            <w:r>
              <w:rPr>
                <w:b w:val="0"/>
                <w:color w:val="000000"/>
                <w:sz w:val="17"/>
              </w:rPr>
              <w:t>Already near ceiling; this class is not the bottleneck</w:t>
            </w:r>
          </w:p>
        </w:tc>
      </w:tr>
    </w:tbl>
    <w:p w14:paraId="739BB0BC"/>
    <w:p w14:paraId="442D43F0">
      <w:r>
        <w:drawing>
          <wp:inline distT="0" distB="0" distL="114300" distR="114300">
            <wp:extent cx="5471795" cy="28562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72000" cy="2856514"/>
                    </a:xfrm>
                    <a:prstGeom prst="rect">
                      <a:avLst/>
                    </a:prstGeom>
                  </pic:spPr>
                </pic:pic>
              </a:graphicData>
            </a:graphic>
          </wp:inline>
        </w:drawing>
      </w:r>
    </w:p>
    <w:p w14:paraId="511E74DD">
      <w:pPr>
        <w:spacing w:before="0" w:after="120" w:line="288" w:lineRule="auto"/>
        <w:jc w:val="center"/>
      </w:pPr>
      <w:r>
        <w:rPr>
          <w:b w:val="0"/>
          <w:color w:val="6B7280"/>
          <w:sz w:val="17"/>
        </w:rPr>
        <w:t>Figure 3. Class-wise mAP@0.5 across the three completed training rounds.</w:t>
      </w:r>
    </w:p>
    <w:p w14:paraId="760311F8">
      <w:pPr>
        <w:spacing w:before="0" w:after="160" w:line="288" w:lineRule="auto"/>
        <w:ind w:firstLine="440" w:firstLineChars="200"/>
        <w:jc w:val="left"/>
      </w:pPr>
      <w:r>
        <w:t>A report that only presents global mAP can look stronger than it really is, because clinically important failure modes may remain hidden. The class-wise results show the actual bottleneck in this project: tooth detection is already strong, while small lesion detection under class imbalance is still the main difficulty.</w:t>
      </w:r>
    </w:p>
    <w:p w14:paraId="00287F8E">
      <w:r>
        <w:br w:type="page"/>
      </w:r>
    </w:p>
    <w:tbl>
      <w:tblPr>
        <w:tblStyle w:val="32"/>
        <w:tblW w:w="0" w:type="auto"/>
        <w:jc w:val="center"/>
        <w:tblLayout w:type="autofit"/>
        <w:tblCellMar>
          <w:top w:w="0" w:type="dxa"/>
          <w:left w:w="108" w:type="dxa"/>
          <w:bottom w:w="0" w:type="dxa"/>
          <w:right w:w="108" w:type="dxa"/>
        </w:tblCellMar>
      </w:tblPr>
      <w:tblGrid>
        <w:gridCol w:w="10200"/>
      </w:tblGrid>
      <w:tr w14:paraId="6B3FC826">
        <w:tblPrEx>
          <w:tblCellMar>
            <w:top w:w="0" w:type="dxa"/>
            <w:left w:w="108" w:type="dxa"/>
            <w:bottom w:w="0" w:type="dxa"/>
            <w:right w:w="108" w:type="dxa"/>
          </w:tblCellMar>
        </w:tblPrEx>
        <w:trPr>
          <w:jc w:val="center"/>
        </w:trPr>
        <w:tc>
          <w:tcPr>
            <w:tcW w:w="10200" w:type="dxa"/>
            <w:shd w:val="clear" w:color="auto" w:fill="DCEAF7"/>
          </w:tcPr>
          <w:p w14:paraId="75DED803">
            <w:r>
              <w:t>5. Error Analysis and Qualitative Review</w:t>
            </w:r>
          </w:p>
        </w:tc>
      </w:tr>
    </w:tbl>
    <w:p w14:paraId="759BA338"/>
    <w:p w14:paraId="60C00357">
      <w:pPr>
        <w:spacing w:before="0" w:after="100" w:line="288" w:lineRule="auto"/>
        <w:ind w:firstLine="400" w:firstLineChars="200"/>
        <w:jc w:val="left"/>
      </w:pPr>
      <w:r>
        <w:rPr>
          <w:b w:val="0"/>
          <w:color w:val="1F1F1F"/>
          <w:sz w:val="20"/>
        </w:rPr>
        <w:t>The retained confusion matrix and validation-prediction panels show the same pattern as the metric table: many lesion instances are still lost to background, while tooth detection stays dominant. This means the model is not merely “low scoring”; it is systematically biased toward visually stronger and more frequent structures.</w:t>
      </w:r>
    </w:p>
    <w:p w14:paraId="15D2A193">
      <w:r>
        <w:drawing>
          <wp:inline distT="0" distB="0" distL="114300" distR="114300">
            <wp:extent cx="4607560" cy="3455670"/>
            <wp:effectExtent l="0" t="0" r="254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608000" cy="3456000"/>
                    </a:xfrm>
                    <a:prstGeom prst="rect">
                      <a:avLst/>
                    </a:prstGeom>
                  </pic:spPr>
                </pic:pic>
              </a:graphicData>
            </a:graphic>
          </wp:inline>
        </w:drawing>
      </w:r>
    </w:p>
    <w:p w14:paraId="3DBA2E11">
      <w:pPr>
        <w:spacing w:before="0" w:after="120" w:line="288" w:lineRule="auto"/>
        <w:jc w:val="center"/>
      </w:pPr>
      <w:r>
        <w:rPr>
          <w:b w:val="0"/>
          <w:color w:val="6B7280"/>
          <w:sz w:val="17"/>
        </w:rPr>
        <w:t>Figure 4. Retained confusion matrix export. Large background confusion remains for Caries, Cavity, and Crack.</w:t>
      </w:r>
    </w:p>
    <w:p w14:paraId="54DAA56A">
      <w:r>
        <w:drawing>
          <wp:inline distT="0" distB="0" distL="114300" distR="114300">
            <wp:extent cx="5939790" cy="905827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940000" cy="9058500"/>
                    </a:xfrm>
                    <a:prstGeom prst="rect">
                      <a:avLst/>
                    </a:prstGeom>
                  </pic:spPr>
                </pic:pic>
              </a:graphicData>
            </a:graphic>
          </wp:inline>
        </w:drawing>
      </w:r>
    </w:p>
    <w:p w14:paraId="02C86BD3">
      <w:pPr>
        <w:spacing w:before="0" w:after="100" w:line="288" w:lineRule="auto"/>
        <w:jc w:val="center"/>
        <w:rPr>
          <w:b w:val="0"/>
          <w:color w:val="6B7280"/>
          <w:sz w:val="17"/>
        </w:rPr>
      </w:pPr>
      <w:r>
        <w:rPr>
          <w:b w:val="0"/>
          <w:color w:val="6B7280"/>
          <w:sz w:val="17"/>
        </w:rPr>
        <w:t>Figure 5. Representative validation prediction panels retained from the experiment artifacts.</w:t>
      </w:r>
    </w:p>
    <w:p w14:paraId="2C0824D6">
      <w:pPr>
        <w:spacing w:before="0" w:after="100" w:line="288" w:lineRule="auto"/>
        <w:ind w:firstLine="420" w:firstLineChars="200"/>
        <w:jc w:val="both"/>
        <w:rPr>
          <w:b w:val="0"/>
          <w:color w:val="auto"/>
          <w:sz w:val="21"/>
          <w:szCs w:val="21"/>
        </w:rPr>
      </w:pPr>
      <w:r>
        <w:rPr>
          <w:rFonts w:hint="eastAsia"/>
          <w:b w:val="0"/>
          <w:color w:val="auto"/>
          <w:sz w:val="21"/>
          <w:szCs w:val="21"/>
        </w:rPr>
        <w:t>These qualitative examples show both progress and remaining weaknesses. A positive signal is that lesion boxes do appear on genuinely difficult images, which indicates that the detector is learning more than a trivial “tooth = object” pattern. However, lesion recall remains sensitive to threshold choice, and several images still show dense tooth detections around sparse lesion evidence. Taken together, the preserved qualitative outputs are sufficient to illustrate the dominant validation pattern observed in this project: strong tooth detection, but still unstable minority-lesion detection under difficult visual conditions.</w:t>
      </w:r>
    </w:p>
    <w:p w14:paraId="6D90EC0B"/>
    <w:p w14:paraId="5A3040BE">
      <w:r>
        <w:drawing>
          <wp:inline distT="0" distB="0" distL="114300" distR="114300">
            <wp:extent cx="4247515" cy="4247515"/>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248000" cy="4248000"/>
                    </a:xfrm>
                    <a:prstGeom prst="rect">
                      <a:avLst/>
                    </a:prstGeom>
                  </pic:spPr>
                </pic:pic>
              </a:graphicData>
            </a:graphic>
          </wp:inline>
        </w:drawing>
      </w:r>
    </w:p>
    <w:p w14:paraId="3F11D266">
      <w:pPr>
        <w:spacing w:before="0" w:after="160" w:line="288" w:lineRule="auto"/>
        <w:jc w:val="center"/>
        <w:rPr>
          <w:b w:val="0"/>
          <w:color w:val="6B7280"/>
          <w:sz w:val="17"/>
        </w:rPr>
      </w:pPr>
      <w:r>
        <w:rPr>
          <w:b w:val="0"/>
          <w:color w:val="6B7280"/>
          <w:sz w:val="17"/>
        </w:rPr>
        <w:t>Figure 6. Retained label-distribution export from the lesion-mix round, showing that Tooth still dominates the training signal.</w:t>
      </w:r>
    </w:p>
    <w:tbl>
      <w:tblPr>
        <w:tblStyle w:val="32"/>
        <w:tblW w:w="0" w:type="auto"/>
        <w:jc w:val="center"/>
        <w:tblLayout w:type="autofit"/>
        <w:tblCellMar>
          <w:top w:w="0" w:type="dxa"/>
          <w:left w:w="108" w:type="dxa"/>
          <w:bottom w:w="0" w:type="dxa"/>
          <w:right w:w="108" w:type="dxa"/>
        </w:tblCellMar>
      </w:tblPr>
      <w:tblGrid>
        <w:gridCol w:w="10200"/>
      </w:tblGrid>
      <w:tr w14:paraId="65112BD6">
        <w:tblPrEx>
          <w:tblCellMar>
            <w:top w:w="0" w:type="dxa"/>
            <w:left w:w="108" w:type="dxa"/>
            <w:bottom w:w="0" w:type="dxa"/>
            <w:right w:w="108" w:type="dxa"/>
          </w:tblCellMar>
        </w:tblPrEx>
        <w:trPr>
          <w:jc w:val="center"/>
        </w:trPr>
        <w:tc>
          <w:tcPr>
            <w:tcW w:w="10200" w:type="dxa"/>
            <w:shd w:val="clear" w:color="auto" w:fill="DCEAF7"/>
          </w:tcPr>
          <w:p w14:paraId="7451A0FB">
            <w:r>
              <w:t>6. Literature-Guided Interpretation</w:t>
            </w:r>
          </w:p>
        </w:tc>
      </w:tr>
    </w:tbl>
    <w:p w14:paraId="2A7F92CC"/>
    <w:p w14:paraId="44C3F9DF">
      <w:pPr>
        <w:spacing w:before="0" w:after="100" w:line="288" w:lineRule="auto"/>
        <w:ind w:firstLine="400" w:firstLineChars="200"/>
        <w:jc w:val="left"/>
      </w:pPr>
      <w:r>
        <w:rPr>
          <w:b w:val="0"/>
          <w:color w:val="1F1F1F"/>
          <w:sz w:val="20"/>
        </w:rPr>
        <w:t>Dental object-detection papers can report much stronger headline numbers than this project, yet they often use different modalities, curated institutional datasets, different label definitions, and different evaluation protocols. Therefore, those numbers should be used as methodological guidance rather than as a naive target for direct comparison.</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09A6D126">
        <w:tblPrEx>
          <w:tblCellMar>
            <w:top w:w="0" w:type="dxa"/>
            <w:left w:w="108" w:type="dxa"/>
            <w:bottom w:w="0" w:type="dxa"/>
            <w:right w:w="108" w:type="dxa"/>
          </w:tblCellMar>
        </w:tblPrEx>
        <w:trPr>
          <w:jc w:val="center"/>
        </w:trPr>
        <w:tc>
          <w:tcPr>
            <w:tcW w:w="2494" w:type="dxa"/>
            <w:shd w:val="clear" w:color="auto" w:fill="2F6C9E"/>
            <w:tcMar>
              <w:top w:w="90" w:type="dxa"/>
              <w:left w:w="90" w:type="dxa"/>
              <w:bottom w:w="90" w:type="dxa"/>
              <w:right w:w="90" w:type="dxa"/>
            </w:tcMar>
            <w:vAlign w:val="center"/>
          </w:tcPr>
          <w:p w14:paraId="1BECB33C">
            <w:pPr>
              <w:jc w:val="center"/>
            </w:pPr>
            <w:r>
              <w:rPr>
                <w:b/>
                <w:color w:val="FFFFFF"/>
                <w:sz w:val="18"/>
              </w:rPr>
              <w:t>Literature-backed finding</w:t>
            </w:r>
          </w:p>
        </w:tc>
        <w:tc>
          <w:tcPr>
            <w:tcW w:w="2324" w:type="dxa"/>
            <w:shd w:val="clear" w:color="auto" w:fill="2F6C9E"/>
            <w:tcMar>
              <w:top w:w="90" w:type="dxa"/>
              <w:left w:w="90" w:type="dxa"/>
              <w:bottom w:w="90" w:type="dxa"/>
              <w:right w:w="90" w:type="dxa"/>
            </w:tcMar>
            <w:vAlign w:val="center"/>
          </w:tcPr>
          <w:p w14:paraId="1F6CC63D">
            <w:pPr>
              <w:jc w:val="center"/>
            </w:pPr>
            <w:r>
              <w:rPr>
                <w:b/>
                <w:color w:val="FFFFFF"/>
                <w:sz w:val="18"/>
              </w:rPr>
              <w:t>Evidence</w:t>
            </w:r>
          </w:p>
        </w:tc>
        <w:tc>
          <w:tcPr>
            <w:tcW w:w="3061" w:type="dxa"/>
            <w:shd w:val="clear" w:color="auto" w:fill="2F6C9E"/>
            <w:tcMar>
              <w:top w:w="90" w:type="dxa"/>
              <w:left w:w="90" w:type="dxa"/>
              <w:bottom w:w="90" w:type="dxa"/>
              <w:right w:w="90" w:type="dxa"/>
            </w:tcMar>
            <w:vAlign w:val="center"/>
          </w:tcPr>
          <w:p w14:paraId="3A63E891">
            <w:pPr>
              <w:jc w:val="center"/>
            </w:pPr>
            <w:r>
              <w:rPr>
                <w:b/>
                <w:color w:val="FFFFFF"/>
                <w:sz w:val="18"/>
              </w:rPr>
              <w:t>How it maps to this project</w:t>
            </w:r>
          </w:p>
        </w:tc>
        <w:tc>
          <w:tcPr>
            <w:tcW w:w="1701" w:type="dxa"/>
            <w:shd w:val="clear" w:color="auto" w:fill="2F6C9E"/>
            <w:tcMar>
              <w:top w:w="90" w:type="dxa"/>
              <w:left w:w="90" w:type="dxa"/>
              <w:bottom w:w="90" w:type="dxa"/>
              <w:right w:w="90" w:type="dxa"/>
            </w:tcMar>
            <w:vAlign w:val="center"/>
          </w:tcPr>
          <w:p w14:paraId="5D903EA9">
            <w:pPr>
              <w:jc w:val="center"/>
            </w:pPr>
            <w:r>
              <w:rPr>
                <w:b/>
                <w:color w:val="FFFFFF"/>
                <w:sz w:val="18"/>
              </w:rPr>
              <w:t>Decision taken here</w:t>
            </w:r>
          </w:p>
        </w:tc>
      </w:tr>
      <w:tr w14:paraId="77E9FC0E">
        <w:tblPrEx>
          <w:tblCellMar>
            <w:top w:w="0" w:type="dxa"/>
            <w:left w:w="108" w:type="dxa"/>
            <w:bottom w:w="0" w:type="dxa"/>
            <w:right w:w="108" w:type="dxa"/>
          </w:tblCellMar>
        </w:tblPrEx>
        <w:trPr>
          <w:jc w:val="center"/>
        </w:trPr>
        <w:tc>
          <w:tcPr>
            <w:tcW w:w="2550" w:type="dxa"/>
            <w:shd w:val="clear" w:color="auto" w:fill="F8FBFE"/>
            <w:tcMar>
              <w:top w:w="90" w:type="dxa"/>
              <w:left w:w="90" w:type="dxa"/>
              <w:bottom w:w="90" w:type="dxa"/>
              <w:right w:w="90" w:type="dxa"/>
            </w:tcMar>
            <w:vAlign w:val="center"/>
          </w:tcPr>
          <w:p w14:paraId="7FBF28A6">
            <w:pPr>
              <w:jc w:val="left"/>
            </w:pPr>
            <w:r>
              <w:rPr>
                <w:b w:val="0"/>
                <w:color w:val="000000"/>
                <w:sz w:val="17"/>
              </w:rPr>
              <w:t>Threshold tuning materially changes dental detector behavior</w:t>
            </w:r>
          </w:p>
        </w:tc>
        <w:tc>
          <w:tcPr>
            <w:tcW w:w="2550" w:type="dxa"/>
            <w:tcMar>
              <w:top w:w="90" w:type="dxa"/>
              <w:left w:w="90" w:type="dxa"/>
              <w:bottom w:w="90" w:type="dxa"/>
              <w:right w:w="90" w:type="dxa"/>
            </w:tcMar>
            <w:vAlign w:val="center"/>
          </w:tcPr>
          <w:p w14:paraId="36E9488A">
            <w:pPr>
              <w:jc w:val="left"/>
              <w:rPr>
                <w:rFonts w:hint="eastAsia" w:eastAsia="宋体"/>
                <w:lang w:eastAsia="zh-CN"/>
              </w:rPr>
            </w:pPr>
            <w:r>
              <w:rPr>
                <w:b w:val="0"/>
                <w:color w:val="000000"/>
                <w:sz w:val="17"/>
              </w:rPr>
              <w:t xml:space="preserve">Dental YOLOv7 bitewing study </w:t>
            </w:r>
            <w:r>
              <w:rPr>
                <w:rFonts w:hint="eastAsia" w:eastAsia="宋体"/>
                <w:b w:val="0"/>
                <w:color w:val="000000"/>
                <w:sz w:val="17"/>
                <w:lang w:eastAsia="zh-CN"/>
              </w:rPr>
              <w:t>[3]</w:t>
            </w:r>
          </w:p>
        </w:tc>
        <w:tc>
          <w:tcPr>
            <w:tcW w:w="2550" w:type="dxa"/>
            <w:tcMar>
              <w:top w:w="90" w:type="dxa"/>
              <w:left w:w="90" w:type="dxa"/>
              <w:bottom w:w="90" w:type="dxa"/>
              <w:right w:w="90" w:type="dxa"/>
            </w:tcMar>
            <w:vAlign w:val="center"/>
          </w:tcPr>
          <w:p w14:paraId="5104A696">
            <w:pPr>
              <w:jc w:val="left"/>
            </w:pPr>
            <w:r>
              <w:rPr>
                <w:b w:val="0"/>
                <w:color w:val="000000"/>
                <w:sz w:val="17"/>
              </w:rPr>
              <w:t>Separating raw training metrics from sweep-best metrics is necessary</w:t>
            </w:r>
          </w:p>
        </w:tc>
        <w:tc>
          <w:tcPr>
            <w:tcW w:w="2550" w:type="dxa"/>
            <w:tcMar>
              <w:top w:w="90" w:type="dxa"/>
              <w:left w:w="90" w:type="dxa"/>
              <w:bottom w:w="90" w:type="dxa"/>
              <w:right w:w="90" w:type="dxa"/>
            </w:tcMar>
            <w:vAlign w:val="center"/>
          </w:tcPr>
          <w:p w14:paraId="03C684DE">
            <w:pPr>
              <w:jc w:val="left"/>
            </w:pPr>
            <w:r>
              <w:rPr>
                <w:b w:val="0"/>
                <w:color w:val="000000"/>
                <w:sz w:val="17"/>
              </w:rPr>
              <w:t>Implemented in all three rounds</w:t>
            </w:r>
          </w:p>
        </w:tc>
      </w:tr>
      <w:tr w14:paraId="3F4F83AE">
        <w:tblPrEx>
          <w:tblCellMar>
            <w:top w:w="0" w:type="dxa"/>
            <w:left w:w="108" w:type="dxa"/>
            <w:bottom w:w="0" w:type="dxa"/>
            <w:right w:w="108" w:type="dxa"/>
          </w:tblCellMar>
        </w:tblPrEx>
        <w:trPr>
          <w:jc w:val="center"/>
        </w:trPr>
        <w:tc>
          <w:tcPr>
            <w:tcW w:w="2550" w:type="dxa"/>
            <w:shd w:val="clear" w:color="auto" w:fill="F8FBFE"/>
            <w:tcMar>
              <w:top w:w="90" w:type="dxa"/>
              <w:left w:w="90" w:type="dxa"/>
              <w:bottom w:w="90" w:type="dxa"/>
              <w:right w:w="90" w:type="dxa"/>
            </w:tcMar>
            <w:vAlign w:val="center"/>
          </w:tcPr>
          <w:p w14:paraId="3522E684">
            <w:pPr>
              <w:jc w:val="left"/>
            </w:pPr>
            <w:r>
              <w:rPr>
                <w:b w:val="0"/>
                <w:color w:val="000000"/>
                <w:sz w:val="17"/>
              </w:rPr>
              <w:t>Strong papers are often not directly comparable because datasets and annotation protocols differ</w:t>
            </w:r>
          </w:p>
        </w:tc>
        <w:tc>
          <w:tcPr>
            <w:tcW w:w="2550" w:type="dxa"/>
            <w:tcMar>
              <w:top w:w="90" w:type="dxa"/>
              <w:left w:w="90" w:type="dxa"/>
              <w:bottom w:w="90" w:type="dxa"/>
              <w:right w:w="90" w:type="dxa"/>
            </w:tcMar>
            <w:vAlign w:val="center"/>
          </w:tcPr>
          <w:p w14:paraId="2B70F081">
            <w:pPr>
              <w:jc w:val="left"/>
              <w:rPr>
                <w:rFonts w:hint="eastAsia" w:eastAsia="宋体"/>
                <w:lang w:eastAsia="zh-CN"/>
              </w:rPr>
            </w:pPr>
            <w:r>
              <w:rPr>
                <w:b w:val="0"/>
                <w:color w:val="000000"/>
                <w:sz w:val="17"/>
              </w:rPr>
              <w:t xml:space="preserve">Bayati 2025, Ayhan 2025, AI-Dentify 2024 </w:t>
            </w:r>
            <w:r>
              <w:rPr>
                <w:rFonts w:hint="eastAsia" w:eastAsia="宋体"/>
                <w:b w:val="0"/>
                <w:color w:val="000000"/>
                <w:sz w:val="17"/>
                <w:lang w:eastAsia="zh-CN"/>
              </w:rPr>
              <w:t>[1][2][4]</w:t>
            </w:r>
          </w:p>
        </w:tc>
        <w:tc>
          <w:tcPr>
            <w:tcW w:w="2550" w:type="dxa"/>
            <w:tcMar>
              <w:top w:w="90" w:type="dxa"/>
              <w:left w:w="90" w:type="dxa"/>
              <w:bottom w:w="90" w:type="dxa"/>
              <w:right w:w="90" w:type="dxa"/>
            </w:tcMar>
            <w:vAlign w:val="center"/>
          </w:tcPr>
          <w:p w14:paraId="56C0F519">
            <w:pPr>
              <w:jc w:val="left"/>
            </w:pPr>
            <w:r>
              <w:rPr>
                <w:b w:val="0"/>
                <w:color w:val="000000"/>
                <w:sz w:val="17"/>
              </w:rPr>
              <w:t>Do not pretend that a 0.59 mAP on DentalAI should match curated bitewing studies</w:t>
            </w:r>
          </w:p>
        </w:tc>
        <w:tc>
          <w:tcPr>
            <w:tcW w:w="2550" w:type="dxa"/>
            <w:tcMar>
              <w:top w:w="90" w:type="dxa"/>
              <w:left w:w="90" w:type="dxa"/>
              <w:bottom w:w="90" w:type="dxa"/>
              <w:right w:w="90" w:type="dxa"/>
            </w:tcMar>
            <w:vAlign w:val="center"/>
          </w:tcPr>
          <w:p w14:paraId="50C8B2EE">
            <w:pPr>
              <w:jc w:val="left"/>
            </w:pPr>
            <w:r>
              <w:rPr>
                <w:b w:val="0"/>
                <w:color w:val="000000"/>
                <w:sz w:val="17"/>
              </w:rPr>
              <w:t>Explained explicitly in this report</w:t>
            </w:r>
          </w:p>
        </w:tc>
      </w:tr>
      <w:tr w14:paraId="253E3100">
        <w:tblPrEx>
          <w:tblCellMar>
            <w:top w:w="0" w:type="dxa"/>
            <w:left w:w="108" w:type="dxa"/>
            <w:bottom w:w="0" w:type="dxa"/>
            <w:right w:w="108" w:type="dxa"/>
          </w:tblCellMar>
        </w:tblPrEx>
        <w:trPr>
          <w:jc w:val="center"/>
        </w:trPr>
        <w:tc>
          <w:tcPr>
            <w:tcW w:w="2550" w:type="dxa"/>
            <w:shd w:val="clear" w:color="auto" w:fill="F8FBFE"/>
            <w:tcMar>
              <w:top w:w="90" w:type="dxa"/>
              <w:left w:w="90" w:type="dxa"/>
              <w:bottom w:w="90" w:type="dxa"/>
              <w:right w:w="90" w:type="dxa"/>
            </w:tcMar>
            <w:vAlign w:val="center"/>
          </w:tcPr>
          <w:p w14:paraId="7444DC71">
            <w:pPr>
              <w:jc w:val="left"/>
            </w:pPr>
            <w:r>
              <w:rPr>
                <w:b w:val="0"/>
                <w:color w:val="000000"/>
                <w:sz w:val="17"/>
              </w:rPr>
              <w:t>Small lesions benefit from slicing/tiling and high-resolution treatment</w:t>
            </w:r>
          </w:p>
        </w:tc>
        <w:tc>
          <w:tcPr>
            <w:tcW w:w="2550" w:type="dxa"/>
            <w:tcMar>
              <w:top w:w="90" w:type="dxa"/>
              <w:left w:w="90" w:type="dxa"/>
              <w:bottom w:w="90" w:type="dxa"/>
              <w:right w:w="90" w:type="dxa"/>
            </w:tcMar>
            <w:vAlign w:val="center"/>
          </w:tcPr>
          <w:p w14:paraId="1B3DF159">
            <w:pPr>
              <w:jc w:val="left"/>
              <w:rPr>
                <w:rFonts w:hint="eastAsia" w:eastAsia="宋体"/>
                <w:lang w:eastAsia="zh-CN"/>
              </w:rPr>
            </w:pPr>
            <w:r>
              <w:rPr>
                <w:b w:val="0"/>
                <w:color w:val="000000"/>
                <w:sz w:val="17"/>
              </w:rPr>
              <w:t xml:space="preserve">SAHI and small-object literature </w:t>
            </w:r>
            <w:r>
              <w:rPr>
                <w:rFonts w:hint="eastAsia" w:eastAsia="宋体"/>
                <w:b w:val="0"/>
                <w:color w:val="000000"/>
                <w:sz w:val="17"/>
                <w:lang w:eastAsia="zh-CN"/>
              </w:rPr>
              <w:t>[6]</w:t>
            </w:r>
          </w:p>
        </w:tc>
        <w:tc>
          <w:tcPr>
            <w:tcW w:w="2550" w:type="dxa"/>
            <w:tcMar>
              <w:top w:w="90" w:type="dxa"/>
              <w:left w:w="90" w:type="dxa"/>
              <w:bottom w:w="90" w:type="dxa"/>
              <w:right w:w="90" w:type="dxa"/>
            </w:tcMar>
            <w:vAlign w:val="center"/>
          </w:tcPr>
          <w:p w14:paraId="7945FAE2">
            <w:pPr>
              <w:jc w:val="left"/>
            </w:pPr>
            <w:r>
              <w:rPr>
                <w:b w:val="0"/>
                <w:color w:val="000000"/>
                <w:sz w:val="17"/>
              </w:rPr>
              <w:t>Supports the move toward larger images and future sliced inference</w:t>
            </w:r>
          </w:p>
        </w:tc>
        <w:tc>
          <w:tcPr>
            <w:tcW w:w="2550" w:type="dxa"/>
            <w:tcMar>
              <w:top w:w="90" w:type="dxa"/>
              <w:left w:w="90" w:type="dxa"/>
              <w:bottom w:w="90" w:type="dxa"/>
              <w:right w:w="90" w:type="dxa"/>
            </w:tcMar>
            <w:vAlign w:val="center"/>
          </w:tcPr>
          <w:p w14:paraId="6A48F199">
            <w:pPr>
              <w:jc w:val="left"/>
            </w:pPr>
            <w:r>
              <w:rPr>
                <w:b w:val="0"/>
                <w:color w:val="000000"/>
                <w:sz w:val="17"/>
              </w:rPr>
              <w:t>Partially implemented via higher-resolution Round 3; SAHI identified as next strong candidate</w:t>
            </w:r>
          </w:p>
        </w:tc>
      </w:tr>
      <w:tr w14:paraId="108B0B17">
        <w:tblPrEx>
          <w:tblCellMar>
            <w:top w:w="0" w:type="dxa"/>
            <w:left w:w="108" w:type="dxa"/>
            <w:bottom w:w="0" w:type="dxa"/>
            <w:right w:w="108" w:type="dxa"/>
          </w:tblCellMar>
        </w:tblPrEx>
        <w:trPr>
          <w:jc w:val="center"/>
        </w:trPr>
        <w:tc>
          <w:tcPr>
            <w:tcW w:w="2550" w:type="dxa"/>
            <w:shd w:val="clear" w:color="auto" w:fill="F8FBFE"/>
            <w:tcMar>
              <w:top w:w="90" w:type="dxa"/>
              <w:left w:w="90" w:type="dxa"/>
              <w:bottom w:w="90" w:type="dxa"/>
              <w:right w:w="90" w:type="dxa"/>
            </w:tcMar>
            <w:vAlign w:val="center"/>
          </w:tcPr>
          <w:p w14:paraId="403A7BBF">
            <w:pPr>
              <w:jc w:val="left"/>
            </w:pPr>
            <w:r>
              <w:rPr>
                <w:b w:val="0"/>
                <w:color w:val="000000"/>
                <w:sz w:val="17"/>
              </w:rPr>
              <w:t>Long-tail imbalance must be addressed directly, not only by changing backbones</w:t>
            </w:r>
          </w:p>
        </w:tc>
        <w:tc>
          <w:tcPr>
            <w:tcW w:w="2550" w:type="dxa"/>
            <w:tcMar>
              <w:top w:w="90" w:type="dxa"/>
              <w:left w:w="90" w:type="dxa"/>
              <w:bottom w:w="90" w:type="dxa"/>
              <w:right w:w="90" w:type="dxa"/>
            </w:tcMar>
            <w:vAlign w:val="center"/>
          </w:tcPr>
          <w:p w14:paraId="024C6BF0">
            <w:pPr>
              <w:jc w:val="left"/>
              <w:rPr>
                <w:rFonts w:hint="eastAsia" w:eastAsia="宋体"/>
                <w:lang w:eastAsia="zh-CN"/>
              </w:rPr>
            </w:pPr>
            <w:r>
              <w:rPr>
                <w:b w:val="0"/>
                <w:color w:val="000000"/>
                <w:sz w:val="17"/>
              </w:rPr>
              <w:t xml:space="preserve">Focal Loss / Class-Balanced Loss </w:t>
            </w:r>
            <w:r>
              <w:rPr>
                <w:rFonts w:hint="eastAsia" w:eastAsia="宋体"/>
                <w:b w:val="0"/>
                <w:color w:val="000000"/>
                <w:sz w:val="17"/>
                <w:lang w:eastAsia="zh-CN"/>
              </w:rPr>
              <w:t>[7][8]</w:t>
            </w:r>
          </w:p>
        </w:tc>
        <w:tc>
          <w:tcPr>
            <w:tcW w:w="2550" w:type="dxa"/>
            <w:tcMar>
              <w:top w:w="90" w:type="dxa"/>
              <w:left w:w="90" w:type="dxa"/>
              <w:bottom w:w="90" w:type="dxa"/>
              <w:right w:w="90" w:type="dxa"/>
            </w:tcMar>
            <w:vAlign w:val="center"/>
          </w:tcPr>
          <w:p w14:paraId="593ED27D">
            <w:pPr>
              <w:jc w:val="left"/>
            </w:pPr>
            <w:r>
              <w:rPr>
                <w:b w:val="0"/>
                <w:color w:val="000000"/>
                <w:sz w:val="17"/>
              </w:rPr>
              <w:t>Supports rebalancing and lesion-mix style augmentation</w:t>
            </w:r>
          </w:p>
        </w:tc>
        <w:tc>
          <w:tcPr>
            <w:tcW w:w="2550" w:type="dxa"/>
            <w:tcMar>
              <w:top w:w="90" w:type="dxa"/>
              <w:left w:w="90" w:type="dxa"/>
              <w:bottom w:w="90" w:type="dxa"/>
              <w:right w:w="90" w:type="dxa"/>
            </w:tcMar>
            <w:vAlign w:val="center"/>
          </w:tcPr>
          <w:p w14:paraId="1026E3B7">
            <w:pPr>
              <w:jc w:val="left"/>
            </w:pPr>
            <w:r>
              <w:rPr>
                <w:b w:val="0"/>
                <w:color w:val="000000"/>
                <w:sz w:val="17"/>
              </w:rPr>
              <w:t>Implemented in Round 2 and Round 3</w:t>
            </w:r>
          </w:p>
        </w:tc>
      </w:tr>
      <w:tr w14:paraId="374B9EEC">
        <w:tblPrEx>
          <w:tblCellMar>
            <w:top w:w="0" w:type="dxa"/>
            <w:left w:w="108" w:type="dxa"/>
            <w:bottom w:w="0" w:type="dxa"/>
            <w:right w:w="108" w:type="dxa"/>
          </w:tblCellMar>
        </w:tblPrEx>
        <w:trPr>
          <w:jc w:val="center"/>
        </w:trPr>
        <w:tc>
          <w:tcPr>
            <w:tcW w:w="2550" w:type="dxa"/>
            <w:shd w:val="clear" w:color="auto" w:fill="F8FBFE"/>
            <w:tcMar>
              <w:top w:w="90" w:type="dxa"/>
              <w:left w:w="90" w:type="dxa"/>
              <w:bottom w:w="90" w:type="dxa"/>
              <w:right w:w="90" w:type="dxa"/>
            </w:tcMar>
            <w:vAlign w:val="center"/>
          </w:tcPr>
          <w:p w14:paraId="42AD6FDD">
            <w:pPr>
              <w:jc w:val="left"/>
            </w:pPr>
            <w:r>
              <w:rPr>
                <w:b w:val="0"/>
                <w:color w:val="000000"/>
                <w:sz w:val="17"/>
              </w:rPr>
              <w:t>Annotation inconsistency can cap performance on small lesions</w:t>
            </w:r>
          </w:p>
        </w:tc>
        <w:tc>
          <w:tcPr>
            <w:tcW w:w="2550" w:type="dxa"/>
            <w:tcMar>
              <w:top w:w="90" w:type="dxa"/>
              <w:left w:w="90" w:type="dxa"/>
              <w:bottom w:w="90" w:type="dxa"/>
              <w:right w:w="90" w:type="dxa"/>
            </w:tcMar>
            <w:vAlign w:val="center"/>
          </w:tcPr>
          <w:p w14:paraId="544D37A7">
            <w:pPr>
              <w:jc w:val="left"/>
              <w:rPr>
                <w:rFonts w:hint="eastAsia" w:eastAsia="宋体"/>
                <w:lang w:eastAsia="zh-CN"/>
              </w:rPr>
            </w:pPr>
            <w:r>
              <w:rPr>
                <w:b w:val="0"/>
                <w:color w:val="000000"/>
                <w:sz w:val="17"/>
              </w:rPr>
              <w:t xml:space="preserve">Kunt 2023 and AI-Dentify 2024 </w:t>
            </w:r>
            <w:r>
              <w:rPr>
                <w:rFonts w:hint="eastAsia" w:eastAsia="宋体"/>
                <w:b w:val="0"/>
                <w:color w:val="000000"/>
                <w:sz w:val="17"/>
                <w:lang w:eastAsia="zh-CN"/>
              </w:rPr>
              <w:t>[4][5]</w:t>
            </w:r>
          </w:p>
        </w:tc>
        <w:tc>
          <w:tcPr>
            <w:tcW w:w="2550" w:type="dxa"/>
            <w:tcMar>
              <w:top w:w="90" w:type="dxa"/>
              <w:left w:w="90" w:type="dxa"/>
              <w:bottom w:w="90" w:type="dxa"/>
              <w:right w:w="90" w:type="dxa"/>
            </w:tcMar>
            <w:vAlign w:val="center"/>
          </w:tcPr>
          <w:p w14:paraId="43A4D953">
            <w:pPr>
              <w:jc w:val="left"/>
            </w:pPr>
            <w:r>
              <w:rPr>
                <w:b w:val="0"/>
                <w:color w:val="000000"/>
                <w:sz w:val="17"/>
              </w:rPr>
              <w:t>Explains why minority-class metrics remain unstable even after optimization</w:t>
            </w:r>
          </w:p>
        </w:tc>
        <w:tc>
          <w:tcPr>
            <w:tcW w:w="2550" w:type="dxa"/>
            <w:tcMar>
              <w:top w:w="90" w:type="dxa"/>
              <w:left w:w="90" w:type="dxa"/>
              <w:bottom w:w="90" w:type="dxa"/>
              <w:right w:w="90" w:type="dxa"/>
            </w:tcMar>
            <w:vAlign w:val="center"/>
          </w:tcPr>
          <w:p w14:paraId="5EA3A5F8">
            <w:pPr>
              <w:jc w:val="left"/>
            </w:pPr>
            <w:r>
              <w:rPr>
                <w:b w:val="0"/>
                <w:color w:val="000000"/>
                <w:sz w:val="17"/>
              </w:rPr>
              <w:t>Discussed as a genuine limitation, not hidden</w:t>
            </w:r>
          </w:p>
        </w:tc>
      </w:tr>
    </w:tbl>
    <w:p w14:paraId="56E146C7"/>
    <w:p w14:paraId="2C6903D2">
      <w:pPr>
        <w:spacing w:before="0" w:after="120" w:line="288" w:lineRule="auto"/>
        <w:ind w:firstLine="440" w:firstLineChars="200"/>
        <w:jc w:val="left"/>
      </w:pPr>
      <w:r>
        <w:t xml:space="preserve">The literature is used here to interpret model behavior, separate transferable methods from non-comparable headline results, and keep the final </w:t>
      </w:r>
      <w:r>
        <w:rPr>
          <w:rFonts w:hint="eastAsia" w:eastAsia="宋体"/>
          <w:lang w:eastAsia="zh-CN"/>
        </w:rPr>
        <w:t>judgment</w:t>
      </w:r>
      <w:r>
        <w:t xml:space="preserve"> aligned with the actual experimental setting used in this project.</w:t>
      </w:r>
    </w:p>
    <w:p w14:paraId="45E76DB0">
      <w:r>
        <w:br w:type="page"/>
      </w:r>
    </w:p>
    <w:tbl>
      <w:tblPr>
        <w:tblStyle w:val="32"/>
        <w:tblW w:w="0" w:type="auto"/>
        <w:jc w:val="center"/>
        <w:tblLayout w:type="autofit"/>
        <w:tblCellMar>
          <w:top w:w="0" w:type="dxa"/>
          <w:left w:w="108" w:type="dxa"/>
          <w:bottom w:w="0" w:type="dxa"/>
          <w:right w:w="108" w:type="dxa"/>
        </w:tblCellMar>
      </w:tblPr>
      <w:tblGrid>
        <w:gridCol w:w="10200"/>
      </w:tblGrid>
      <w:tr w14:paraId="0A494765">
        <w:tblPrEx>
          <w:tblCellMar>
            <w:top w:w="0" w:type="dxa"/>
            <w:left w:w="108" w:type="dxa"/>
            <w:bottom w:w="0" w:type="dxa"/>
            <w:right w:w="108" w:type="dxa"/>
          </w:tblCellMar>
        </w:tblPrEx>
        <w:trPr>
          <w:jc w:val="center"/>
        </w:trPr>
        <w:tc>
          <w:tcPr>
            <w:tcW w:w="10200" w:type="dxa"/>
            <w:shd w:val="clear" w:color="auto" w:fill="DCEAF7"/>
          </w:tcPr>
          <w:p w14:paraId="754462E8">
            <w:r>
              <w:t>7. Overall Assessment, Limitations, and Next-Step Recommendation</w:t>
            </w:r>
          </w:p>
        </w:tc>
      </w:tr>
    </w:tbl>
    <w:p w14:paraId="3618A542">
      <w:pPr>
        <w:spacing w:before="0" w:after="200" w:line="288" w:lineRule="auto"/>
        <w:ind w:firstLine="440" w:firstLineChars="200"/>
        <w:jc w:val="left"/>
        <w:rPr>
          <w:rFonts w:hint="eastAsia"/>
        </w:rPr>
      </w:pPr>
      <w:r>
        <w:rPr>
          <w:rFonts w:hint="eastAsia"/>
        </w:rPr>
        <w:t>Overall, the preliminary screening demonstrates a completed YOLO-based dental caries detection implementation together with a structured optimization process. A working detector was built, trained, validated, inspected, and iteratively improved across three rounds. The retained evidence shows clear engineering progress: compared with the initial baseline, later rounds achieved substantially better validation performance, while the literature review helped interpret the results in a methodologically grounded way.</w:t>
      </w:r>
    </w:p>
    <w:p w14:paraId="09864C4E">
      <w:pPr>
        <w:spacing w:before="0" w:after="200" w:line="288" w:lineRule="auto"/>
        <w:ind w:firstLine="440" w:firstLineChars="200"/>
        <w:jc w:val="left"/>
        <w:rPr>
          <w:rFonts w:hint="eastAsia"/>
        </w:rPr>
      </w:pPr>
      <w:r>
        <w:rPr>
          <w:rFonts w:hint="eastAsia"/>
        </w:rPr>
        <w:t>However, the detector is not yet clinically reliable. The main limitation is that minority lesion classes remain unstable and are still heavily affected by background confusion and small-object difficulty. In addition, some early raw artifacts were not preserved, so the final judgment in this report is based on retained evidence only. This does not invalidate the observed improvement, but it does limit the completeness of retrospective comparison across all earlier experiments.</w:t>
      </w:r>
    </w:p>
    <w:p w14:paraId="650525B3">
      <w:pPr>
        <w:spacing w:before="0" w:after="200" w:line="288" w:lineRule="auto"/>
        <w:ind w:firstLine="440" w:firstLineChars="200"/>
        <w:jc w:val="left"/>
        <w:rPr>
          <w:rFonts w:hint="eastAsia"/>
        </w:rPr>
      </w:pPr>
      <w:r>
        <w:rPr>
          <w:rFonts w:hint="eastAsia"/>
        </w:rPr>
        <w:t>Among the completed rounds, Round 2 provided the strongest mAP@0.5 and recall after rebalancing, while Round 3 provided the strongest precision and mAP@0.5:0.95 after lesion-mix augmentation and higher-resolution training. Therefore, the most reasonable short-cycle next step is to test SAHI sliced inference on the strongest retained checkpoint while keeping the same validation split. This directly targets the small-lesion detection problem observed in the retained error patterns. In parallel, a small annotation-quality audit or relabel check for the hardest lesion images would also be valuable before attempting more complex backbone or training changes.</w:t>
      </w:r>
    </w:p>
    <w:tbl>
      <w:tblPr>
        <w:tblStyle w:val="32"/>
        <w:tblW w:w="0" w:type="auto"/>
        <w:jc w:val="center"/>
        <w:tblLayout w:type="autofit"/>
        <w:tblCellMar>
          <w:top w:w="0" w:type="dxa"/>
          <w:left w:w="108" w:type="dxa"/>
          <w:bottom w:w="0" w:type="dxa"/>
          <w:right w:w="108" w:type="dxa"/>
        </w:tblCellMar>
      </w:tblPr>
      <w:tblGrid>
        <w:gridCol w:w="10200"/>
      </w:tblGrid>
      <w:tr w14:paraId="364BF4EE">
        <w:tblPrEx>
          <w:tblCellMar>
            <w:top w:w="0" w:type="dxa"/>
            <w:left w:w="108" w:type="dxa"/>
            <w:bottom w:w="0" w:type="dxa"/>
            <w:right w:w="108" w:type="dxa"/>
          </w:tblCellMar>
        </w:tblPrEx>
        <w:trPr>
          <w:jc w:val="center"/>
        </w:trPr>
        <w:tc>
          <w:tcPr>
            <w:tcW w:w="10200" w:type="dxa"/>
            <w:shd w:val="clear" w:color="auto" w:fill="DCEAF7"/>
          </w:tcPr>
          <w:p w14:paraId="714D17E7">
            <w:pPr>
              <w:numPr>
                <w:ilvl w:val="0"/>
                <w:numId w:val="7"/>
              </w:numPr>
            </w:pPr>
            <w:r>
              <w:t>References</w:t>
            </w:r>
          </w:p>
        </w:tc>
      </w:tr>
    </w:tbl>
    <w:p w14:paraId="48BFA309"/>
    <w:p w14:paraId="3D44E94C">
      <w:pPr>
        <w:pStyle w:val="14"/>
        <w:pageBreakBefore/>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[1]</w:t>
      </w:r>
      <w:r>
        <w:rPr>
          <w:b w:val="0"/>
          <w:color w:val="1F1F1F"/>
          <w:sz w:val="17"/>
        </w:rPr>
        <w:t xml:space="preserve"> Bayati, M., Savareh, B.A., Ahmadinejad, H. et al. Advanced AI-driven detection of interproximal caries in bitewing radiographs using YOLOv8. Scientific Reports, 15, 2025. DOI: 10.1038/s41598-024-84737-x.</w:t>
      </w:r>
    </w:p>
    <w:p w14:paraId="7C02D688">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[2]</w:t>
      </w:r>
      <w:r>
        <w:rPr>
          <w:b w:val="0"/>
          <w:color w:val="1F1F1F"/>
          <w:sz w:val="17"/>
        </w:rPr>
        <w:t xml:space="preserve"> Ayhan, B., Ayan, E., Karadag, G., Bayraktar, Y. Evaluation of caries detection on bitewing radiographs: a comparative analysis of the improved deep learning model and dentist performance. Journal of Esthetic and Restorative Dentistry, 37(7), 1949-1961, 2025. DOI: 10.1111/jerd.13470.</w:t>
      </w:r>
    </w:p>
    <w:p w14:paraId="233A08F1">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[3]</w:t>
      </w:r>
      <w:r>
        <w:rPr>
          <w:b w:val="0"/>
          <w:color w:val="1F1F1F"/>
          <w:sz w:val="17"/>
        </w:rPr>
        <w:t xml:space="preserve"> Panyarak, W., Wantanajittikul, K., Charuakkra, A. et al. Enhancing caries detection in bitewing radiographs using YOLOv7. Journal of Digital Imaging, 36(6), 2635-2647, 2023. DOI: 10.1007/s10278-023-00871-4.</w:t>
      </w:r>
    </w:p>
    <w:p w14:paraId="7F4A002B">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[4]</w:t>
      </w:r>
      <w:r>
        <w:rPr>
          <w:b w:val="0"/>
          <w:color w:val="1F1F1F"/>
          <w:sz w:val="17"/>
        </w:rPr>
        <w:t xml:space="preserve"> Perez de Frutos, J., Helland, R.H., Desai, S. et al. AI-Dentify: deep learning for proximal caries detection on bitewing x-ray - HUNT4 Oral Health Study. BMC Oral Health, 24, 344, 2024. DOI: 10.1186/s12903-024-04120-0.</w:t>
      </w:r>
    </w:p>
    <w:p w14:paraId="27357056">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[5]</w:t>
      </w:r>
      <w:r>
        <w:rPr>
          <w:b w:val="0"/>
          <w:color w:val="1F1F1F"/>
          <w:sz w:val="17"/>
        </w:rPr>
        <w:t xml:space="preserve"> Kunt, L., Kybic, J., Nagyova, V., Tichy, A. Automatic caries detection in bitewing radiographs: part I - deep learning. Clinical Oral Investigations, 27(12), 7463-7471, 2023. DOI: 10.1007/s00784-023-05335-1.</w:t>
      </w:r>
    </w:p>
    <w:p w14:paraId="126956B5">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[6]</w:t>
      </w:r>
      <w:r>
        <w:rPr>
          <w:b w:val="0"/>
          <w:color w:val="1F1F1F"/>
          <w:sz w:val="17"/>
        </w:rPr>
        <w:t xml:space="preserve"> Akyon, F.C., Altinuc, S.O., Temizel, A. Slicing Aided Hyper Inference and Fine-tuning for Small Object Detection. Proceedings of the IEEE International Conference on Image Processing (ICIP), 2022, pp. 966-970. DOI: 10.1109/ICIP46576.2022.9897990.</w:t>
      </w:r>
    </w:p>
    <w:p w14:paraId="2A14F85A">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[7]</w:t>
      </w:r>
      <w:r>
        <w:rPr>
          <w:b w:val="0"/>
          <w:color w:val="1F1F1F"/>
          <w:sz w:val="17"/>
        </w:rPr>
        <w:t xml:space="preserve"> Lin, T.-Y., Goyal, P., Girshick, R., He, K., Dollar, P. Focal Loss for Dense Object Detection. Proceedings of the IEEE International Conference on Computer Vision (ICCV), 2017, pp. 2980-2988.</w:t>
      </w:r>
    </w:p>
    <w:p w14:paraId="2E85BD65">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[8]</w:t>
      </w:r>
      <w:r>
        <w:rPr>
          <w:b w:val="0"/>
          <w:color w:val="1F1F1F"/>
          <w:sz w:val="17"/>
        </w:rPr>
        <w:t xml:space="preserve"> Cui, Y., Jia, M., Lin, T.-Y., Song, Y., Belongie, S. Class-Balanced Loss Based on Effective Number of Samples. Proceedings of the IEEE/CVF Conference on Computer Vision and Pattern Recognition (CVPR), 2019, pp. 9268-9277.</w:t>
      </w:r>
    </w:p>
    <w:p w14:paraId="77E831B3">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[9]</w:t>
      </w:r>
      <w:r>
        <w:rPr>
          <w:b w:val="0"/>
          <w:color w:val="1F1F1F"/>
          <w:sz w:val="17"/>
        </w:rPr>
        <w:t xml:space="preserve"> Ahmed, S.M.F., Ghori, M.H., Khalid, A. et al. Annotated intraoral image dataset for dental caries detection. Scientific Data, 12, 1297, 2025. DOI: 10.1038/s41597-025-05647-9.</w:t>
      </w:r>
    </w:p>
    <w:p w14:paraId="7DF8C369">
      <w:pPr>
        <w:pStyle w:val="14"/>
        <w:numPr>
          <w:ilvl w:val="0"/>
          <w:numId w:val="0"/>
        </w:numPr>
        <w:tabs>
          <w:tab w:val="clear" w:pos="360"/>
        </w:tabs>
        <w:spacing w:before="0" w:after="40" w:line="240" w:lineRule="auto"/>
        <w:ind w:left="360" w:leftChars="0" w:hanging="360" w:firstLineChars="0"/>
        <w:jc w:val="left"/>
      </w:pPr>
      <w:r>
        <w:rPr>
          <w:rFonts w:hint="eastAsia" w:eastAsia="宋体"/>
          <w:b w:val="0"/>
          <w:color w:val="1F1F1F"/>
          <w:sz w:val="17"/>
          <w:lang w:eastAsia="zh-CN"/>
        </w:rPr>
        <w:t>[10]</w:t>
      </w:r>
      <w:r>
        <w:rPr>
          <w:b w:val="0"/>
          <w:color w:val="1F1F1F"/>
          <w:sz w:val="17"/>
        </w:rPr>
        <w:t xml:space="preserve"> Fadilah, R.P.N., Rikmasari, R., Akbar, S., Setiawan, A.S. Examination of new clinical dental caries in school children using real intra oral photos with artificial intelligence model YOLO-V8x. BMC Oral Health, 26, 164, 2025. DOI: 10.1186/s12903-025-07486-x.</w:t>
      </w:r>
    </w:p>
    <w:sectPr>
      <w:headerReference r:id="rId5" w:type="default"/>
      <w:footerReference r:id="rId6" w:type="default"/>
      <w:pgSz w:w="12240" w:h="15840"/>
      <w:pgMar w:top="907" w:right="1020" w:bottom="907"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799D8">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4A4EC">
    <w:pPr>
      <w:pStyle w:val="25"/>
      <w:spacing w:before="0" w:after="0" w:line="288" w:lineRule="auto"/>
      <w:jc w:val="right"/>
    </w:pPr>
    <w:r>
      <w:rPr>
        <w:b w:val="0"/>
        <w:color w:val="6B7280"/>
        <w:sz w:val="17"/>
      </w:rPr>
      <w:t>Preliminary Screening - YOLO-Based Dental Caries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4D89FAB"/>
    <w:multiLevelType w:val="singleLevel"/>
    <w:tmpl w:val="54D89FAB"/>
    <w:lvl w:ilvl="0" w:tentative="0">
      <w:start w:val="8"/>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A11363"/>
    <w:rsid w:val="1A425E96"/>
    <w:rsid w:val="1E257EB1"/>
    <w:rsid w:val="1E656700"/>
    <w:rsid w:val="25AE12D9"/>
    <w:rsid w:val="2C785A0E"/>
    <w:rsid w:val="39AC1D5F"/>
    <w:rsid w:val="44A45929"/>
    <w:rsid w:val="4E2F2707"/>
    <w:rsid w:val="52413F7B"/>
    <w:rsid w:val="5C0974B1"/>
    <w:rsid w:val="6ADA17F5"/>
    <w:rsid w:val="721B55FA"/>
    <w:rsid w:val="72C32E98"/>
    <w:rsid w:val="74A67741"/>
    <w:rsid w:val="751F3AF9"/>
    <w:rsid w:val="7B384E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mall"/>
    <w:qFormat/>
    <w:uiPriority w:val="0"/>
    <w:pPr>
      <w:spacing w:after="200" w:line="276" w:lineRule="auto"/>
    </w:pPr>
    <w:rPr>
      <w:rFonts w:ascii="Calibri" w:hAnsi="Calibri"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1031</Words>
  <Characters>6216</Characters>
  <Lines>0</Lines>
  <Paragraphs>0</Paragraphs>
  <TotalTime>17</TotalTime>
  <ScaleCrop>false</ScaleCrop>
  <LinksUpToDate>false</LinksUpToDate>
  <CharactersWithSpaces>7117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Кузнецов</cp:lastModifiedBy>
  <dcterms:modified xsi:type="dcterms:W3CDTF">2026-03-30T16:21:37Z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eyJoZGlkIjoiMzQxMzcwNDVkZTAyNDI0ZmU4YWEwMzMyMDM0ZWYzMTciLCJ1c2VySWQiOiI3ODM2MTE0OTMifQ==</vt:lpwstr>
  </property>
  <property fmtid="{D5CDD505-2E9C-101B-9397-08002B2CF9AE}" pid="3" name="KSOProductBuildVer">
    <vt:lpwstr>2052-12.1.0.25225</vt:lpwstr>
  </property>
  <property fmtid="{D5CDD505-2E9C-101B-9397-08002B2CF9AE}" pid="4" name="ICV">
    <vt:lpwstr>56EECD80F36E454D887A137C2C954B4F_12</vt:lpwstr>
  </property>
</Properties>
</file>