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3837A"/>
          <w:spacing w:val="60"/>
          <w:sz w:val="28"/>
          <w:szCs w:val="28"/>
        </w:rPr>
        <w:t xml:space="preserve">BTS-SYNTHETIC</w:t>
      </w:r>
    </w:p>
    <w:p>
      <w:pPr>
        <w:spacing w:after="40"/>
      </w:pPr>
      <w:r>
        <w:rPr>
          <w:color w:val="6B6B6B"/>
          <w:sz w:val="22"/>
          <w:szCs w:val="22"/>
        </w:rPr>
        <w:t xml:space="preserve">Enterprise Data Platform</w:t>
      </w:r>
    </w:p>
    <w:p>
      <w:pPr>
        <w:spacing w:after="400"/>
      </w:pPr>
      <w:r>
        <w:t xml:space="preserve"/>
      </w:r>
    </w:p>
    <w:p>
      <w:pPr>
        <w:spacing w:after="120"/>
      </w:pPr>
      <w:r>
        <w:rPr>
          <w:b/>
          <w:bCs/>
          <w:color w:val="0B2545"/>
          <w:sz w:val="32"/>
          <w:szCs w:val="32"/>
        </w:rPr>
        <w:t xml:space="preserve">Proposal Response</w:t>
      </w:r>
    </w:p>
    <w:p>
      <w:pPr>
        <w:spacing w:after="80"/>
      </w:pPr>
      <w:r>
        <w:rPr>
          <w:color w:val="0B2545"/>
          <w:sz w:val="28"/>
          <w:szCs w:val="28"/>
        </w:rPr>
        <w:t xml:space="preserve">Acme Corp — Enterprise Data Platform RFP</w:t>
      </w:r>
    </w:p>
    <w:p>
      <w:pPr>
        <w:spacing w:after="400"/>
      </w:pPr>
      <w:r>
        <w:rPr>
          <w:i/>
          <w:iCs/>
          <w:color w:val="6B6B6B"/>
          <w:sz w:val="22"/>
          <w:szCs w:val="22"/>
        </w:rPr>
        <w:t xml:space="preserve">Replacing Teradata. Powering 600 Power BI seats and 40,000 IoT devices on a sovereign, multi-region lakehouse.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r>
              <w:rPr>
                <w:b/>
                <w:bCs/>
                <w:color w:val="13837A"/>
                <w:sz w:val="20"/>
                <w:szCs w:val="20"/>
              </w:rPr>
              <w:t xml:space="preserve">Prepared for</w:t>
            </w:r>
          </w:p>
        </w:tc>
        <w:tc>
          <w:tcPr>
            <w:tcW w:type="dxa" w:w="624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Sarah Chen, VP Procurement • Marcus Webb, Chief Data Officer — Acme Corp</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r>
              <w:rPr>
                <w:b/>
                <w:bCs/>
                <w:color w:val="13837A"/>
                <w:sz w:val="20"/>
                <w:szCs w:val="20"/>
              </w:rPr>
              <w:t xml:space="preserve">Prepared by</w:t>
            </w:r>
          </w:p>
        </w:tc>
        <w:tc>
          <w:tcPr>
            <w:tcW w:type="dxa" w:w="624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BTS-Synthetic — Enterprise Deal Desk</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r>
              <w:rPr>
                <w:b/>
                <w:bCs/>
                <w:color w:val="13837A"/>
                <w:sz w:val="20"/>
                <w:szCs w:val="20"/>
              </w:rPr>
              <w:t xml:space="preserve">RFP issued</w:t>
            </w:r>
          </w:p>
        </w:tc>
        <w:tc>
          <w:tcPr>
            <w:tcW w:type="dxa" w:w="624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12 May 2026</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r>
              <w:rPr>
                <w:b/>
                <w:bCs/>
                <w:color w:val="13837A"/>
                <w:sz w:val="20"/>
                <w:szCs w:val="20"/>
              </w:rPr>
              <w:t xml:space="preserve">Response date</w:t>
            </w:r>
          </w:p>
        </w:tc>
        <w:tc>
          <w:tcPr>
            <w:tcW w:type="dxa" w:w="624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26 May 2026</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r>
              <w:rPr>
                <w:b/>
                <w:bCs/>
                <w:color w:val="13837A"/>
                <w:sz w:val="20"/>
                <w:szCs w:val="20"/>
              </w:rPr>
              <w:t xml:space="preserve">Validity of offer</w:t>
            </w:r>
          </w:p>
        </w:tc>
        <w:tc>
          <w:tcPr>
            <w:tcW w:type="dxa" w:w="624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60 days from response date</w:t>
            </w:r>
          </w:p>
        </w:tc>
      </w:tr>
      <w:tr>
        <w:tc>
          <w:tcPr>
            <w:tcW w:type="dxa" w:w="3120"/>
            <w:tcBorders>
              <w:top w:val="none" w:color="FFFFFF" w:sz="0"/>
              <w:left w:val="none" w:color="FFFFFF" w:sz="0"/>
              <w:bottom w:val="none" w:color="FFFFFF" w:sz="0"/>
              <w:right w:val="none" w:color="FFFFFF" w:sz="0"/>
            </w:tcBorders>
            <w:tcMar>
              <w:top w:type="dxa" w:w="60"/>
              <w:left w:type="dxa" w:w="0"/>
              <w:bottom w:type="dxa" w:w="60"/>
              <w:right w:type="dxa" w:w="140"/>
            </w:tcMar>
          </w:tcPr>
          <w:p>
            <w:r>
              <w:rPr>
                <w:b/>
                <w:bCs/>
                <w:color w:val="13837A"/>
                <w:sz w:val="20"/>
                <w:szCs w:val="20"/>
              </w:rPr>
              <w:t xml:space="preserve">Document classification</w:t>
            </w:r>
          </w:p>
        </w:tc>
        <w:tc>
          <w:tcPr>
            <w:tcW w:type="dxa" w:w="6240"/>
            <w:tcBorders>
              <w:top w:val="none" w:color="FFFFFF" w:sz="0"/>
              <w:left w:val="none" w:color="FFFFFF" w:sz="0"/>
              <w:bottom w:val="none" w:color="FFFFFF" w:sz="0"/>
              <w:right w:val="none" w:color="FFFFFF" w:sz="0"/>
            </w:tcBorders>
            <w:tcMar>
              <w:top w:type="dxa" w:w="60"/>
              <w:left w:type="dxa" w:w="0"/>
              <w:bottom w:type="dxa" w:w="60"/>
              <w:right w:type="dxa" w:w="0"/>
            </w:tcMar>
          </w:tcPr>
          <w:p>
            <w:r>
              <w:rPr>
                <w:sz w:val="20"/>
                <w:szCs w:val="20"/>
              </w:rPr>
              <w:t xml:space="preserve">Confidential — Acme Corp and BTS-Synthetic only</w:t>
            </w:r>
          </w:p>
        </w:tc>
      </w:tr>
    </w:tbl>
    <w:p>
      <w:r>
        <w:br w:type="page"/>
      </w:r>
    </w:p>
    <w:p>
      <w:pPr>
        <w:pStyle w:val="Heading1"/>
        <w:pBdr>
          <w:bottom w:val="single" w:color="13837A" w:sz="8" w:space="2"/>
        </w:pBdr>
        <w:spacing w:after="180" w:before="360"/>
      </w:pPr>
      <w:r>
        <w:rPr>
          <w:color w:val="0B2545"/>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837A" w:sz="24"/>
              <w:bottom w:val="none" w:color="FFFFFF" w:sz="0"/>
              <w:right w:val="none" w:color="FFFFFF" w:sz="0"/>
            </w:tcBorders>
            <w:shd w:fill="F4F1EC" w:val="clear"/>
            <w:tcMar>
              <w:top w:type="dxa" w:w="200"/>
              <w:left w:type="dxa" w:w="280"/>
              <w:bottom w:type="dxa" w:w="200"/>
              <w:right w:type="dxa" w:w="240"/>
            </w:tcMar>
          </w:tcPr>
          <w:p>
            <w:pPr>
              <w:spacing w:after="0" w:line="300"/>
            </w:pPr>
            <w:r>
              <w:rPr>
                <w:i/>
                <w:iCs/>
                <w:color w:val="0B2545"/>
                <w:sz w:val="24"/>
                <w:szCs w:val="24"/>
              </w:rPr>
              <w:t xml:space="preserve">Acme replaces Teradata, lights up 600 Power BI seats with sub-second BI, and brings 40,000 IoT devices online on a single sovereign platform — at a 5-year cost roughly $900K below the next-best alternative, with no migration rework in Year 2.</w:t>
            </w:r>
          </w:p>
        </w:tc>
      </w:tr>
    </w:tbl>
    <w:p>
      <w:pPr>
        <w:spacing w:after="120" w:line="300"/>
      </w:pPr>
      <w:r>
        <w:t xml:space="preserve">Three things this proposal commits to:</w:t>
      </w:r>
    </w:p>
    <w:p>
      <w:pPr>
        <w:pStyle w:val="ListParagraph"/>
        <w:numPr>
          <w:ilvl w:val="0"/>
          <w:numId w:val="2"/>
        </w:numPr>
        <w:spacing w:after="80" w:line="280"/>
      </w:pPr>
      <w:r>
        <w:rPr>
          <w:b/>
          <w:bCs/>
        </w:rPr>
        <w:t xml:space="preserve">Power BI at 600 seats, EU-resident, sub-second on warmed caches.</w:t>
      </w:r>
      <w:r>
        <w:t xml:space="preserve"> Our certified DirectQuery adapter is the most mature Power BI integration in the market. EU data is pinned at table level — not just region — which means GDPR holds even when an analyst in Austin queries an EU customer record.</w:t>
      </w:r>
    </w:p>
    <w:p>
      <w:pPr>
        <w:pStyle w:val="ListParagraph"/>
        <w:numPr>
          <w:ilvl w:val="0"/>
          <w:numId w:val="2"/>
        </w:numPr>
        <w:spacing w:after="80" w:line="280"/>
      </w:pPr>
      <w:r>
        <w:rPr>
          <w:b/>
          <w:bCs/>
        </w:rPr>
        <w:t xml:space="preserve">Real-time at 80K events/sec, with 3× headroom.</w:t>
      </w:r>
      <w:r>
        <w:t xml:space="preserve"> The platform is production-validated at 250K events/sec on a single-region deployment. Acme's 40,000-device fleet ingest is already inside our envelope — no architectural retrofits as the fleet expands.</w:t>
      </w:r>
    </w:p>
    <w:p>
      <w:pPr>
        <w:pStyle w:val="ListParagraph"/>
        <w:numPr>
          <w:ilvl w:val="0"/>
          <w:numId w:val="2"/>
        </w:numPr>
        <w:spacing w:after="80" w:line="280"/>
      </w:pPr>
      <w:r>
        <w:rPr>
          <w:b/>
          <w:bCs/>
        </w:rPr>
        <w:t xml:space="preserve">A 5-year price you can plan against.</w:t>
      </w:r>
      <w:r>
        <w:t xml:space="preserve"> Fixed pricing through Year 3, CPI-capped at 5% in Years 4–5. The headline annual fee is $702,000 — 22% off list — with a path to 25% if Acme prepays Years 1–2 at signing. Total 5-year commitment: $3.58M.</w:t>
      </w:r>
    </w:p>
    <w:p>
      <w:pPr>
        <w:pStyle w:val="Heading2"/>
        <w:spacing w:after="140" w:before="280"/>
      </w:pPr>
      <w:r>
        <w:rPr>
          <w:color w:val="0B2545"/>
        </w:rPr>
        <w:t xml:space="preserve">What this means for Acme</w:t>
      </w:r>
    </w:p>
    <w:p>
      <w:pPr>
        <w:spacing w:after="120" w:line="300"/>
      </w:pPr>
      <w:r>
        <w:t xml:space="preserve">Acme has a real decision in front of it: choose the platform that can run your Teradata-replacement workload in production at Day 90, or choose the platform that demos well and stabilises in Year 2. We propose the former — and we are willing to commit to milestone-based outcomes to prove it.</w:t>
      </w:r>
    </w:p>
    <w:p>
      <w:r>
        <w:br w:type="page"/>
      </w:r>
    </w:p>
    <w:p>
      <w:pPr>
        <w:pStyle w:val="Heading1"/>
        <w:pBdr>
          <w:bottom w:val="single" w:color="13837A" w:sz="8" w:space="2"/>
        </w:pBdr>
        <w:spacing w:after="180" w:before="360"/>
      </w:pPr>
      <w:r>
        <w:rPr>
          <w:color w:val="0B2545"/>
        </w:rPr>
        <w:t xml:space="preserve">2. Our understanding of Acme's need</w:t>
      </w:r>
    </w:p>
    <w:p>
      <w:pPr>
        <w:spacing w:after="120" w:line="300"/>
      </w:pPr>
      <w:r>
        <w:t xml:space="preserve">Acme is a $1.4B industrial IoT manufacturer running a generational platform replacement. The current state is a patchwork of on-premises Teradata warehouses and ad-hoc cloud analytics that cannot keep pace with three things simultaneously: a 40,000-device IoT fleet generating telemetry at peak 80,000 events per second; a 600-seat Power BI estate of analysts and executives who need sub-second response on a 280TB lakehouse; and a stated direction to activate predictive maintenance ML pipelines once the data foundation is sound.</w:t>
      </w:r>
    </w:p>
    <w:p>
      <w:pPr>
        <w:spacing w:after="120" w:line="300"/>
      </w:pPr>
      <w:r>
        <w:t xml:space="preserve">Three constraints make this RFP distinct from a generic data-platform replacement:</w:t>
      </w:r>
    </w:p>
    <w:p>
      <w:pPr>
        <w:pStyle w:val="ListParagraph"/>
        <w:numPr>
          <w:ilvl w:val="0"/>
          <w:numId w:val="2"/>
        </w:numPr>
        <w:spacing w:after="80" w:line="280"/>
      </w:pPr>
      <w:r>
        <w:rPr>
          <w:b/>
          <w:bCs/>
        </w:rPr>
        <w:t xml:space="preserve">Microsoft-first, but not Microsoft-locked. </w:t>
      </w:r>
      <w:r>
        <w:t xml:space="preserve">Azure is the primary cloud and Power BI is non-negotiable, but Acme manufactures in Mexico, Vietnam, and Romania and runs R&amp;D in two regions. Single-cloud lock-in is a strategic risk Acme is right to refuse.</w:t>
      </w:r>
    </w:p>
    <w:p>
      <w:pPr>
        <w:pStyle w:val="ListParagraph"/>
        <w:numPr>
          <w:ilvl w:val="0"/>
          <w:numId w:val="2"/>
        </w:numPr>
        <w:spacing w:after="80" w:line="280"/>
      </w:pPr>
      <w:r>
        <w:rPr>
          <w:b/>
          <w:bCs/>
        </w:rPr>
        <w:t xml:space="preserve">EU data residency at table level. </w:t>
      </w:r>
      <w:r>
        <w:t xml:space="preserve">EU customer telemetry must remain in EU regions regardless of where the analyst sits. Region-level residency is not enough.</w:t>
      </w:r>
    </w:p>
    <w:p>
      <w:pPr>
        <w:pStyle w:val="ListParagraph"/>
        <w:numPr>
          <w:ilvl w:val="0"/>
          <w:numId w:val="2"/>
        </w:numPr>
        <w:spacing w:after="80" w:line="280"/>
      </w:pPr>
      <w:r>
        <w:rPr>
          <w:b/>
          <w:bCs/>
        </w:rPr>
        <w:t xml:space="preserve">Teradata decommission with a 2027 sunset. </w:t>
      </w:r>
      <w:r>
        <w:t xml:space="preserve">The new platform has to absorb 30+ batch sources and a Teradata cutover without analyst disruption — and without a parallel-run that drags into Year 2 of the contract.</w:t>
      </w:r>
    </w:p>
    <w:p>
      <w:pPr>
        <w:spacing w:after="120" w:line="300"/>
      </w:pPr>
      <w:r>
        <w:t xml:space="preserve">This is the customer profile we have won repeatedly: industrial, IoT-heavy, Azure-first, governance-mature, sceptical of vendor lock-in. Initech Sensors, the closest comparable in our reference base, looks operationally indistinguishable from Acme at smaller scale.</w:t>
      </w:r>
    </w:p>
    <w:p>
      <w:r>
        <w:br w:type="page"/>
      </w:r>
    </w:p>
    <w:p>
      <w:pPr>
        <w:pStyle w:val="Heading1"/>
        <w:pBdr>
          <w:bottom w:val="single" w:color="13837A" w:sz="8" w:space="2"/>
        </w:pBdr>
        <w:spacing w:after="180" w:before="360"/>
      </w:pPr>
      <w:r>
        <w:rPr>
          <w:color w:val="0B2545"/>
        </w:rPr>
        <w:t xml:space="preserve">3. Why BTS-Synthetic is the right fit</w:t>
      </w:r>
    </w:p>
    <w:p>
      <w:pPr>
        <w:pStyle w:val="Heading2"/>
        <w:spacing w:after="140" w:before="280"/>
      </w:pPr>
      <w:r>
        <w:rPr>
          <w:color w:val="0B2545"/>
        </w:rPr>
        <w:t xml:space="preserve">3.1 Capability fit — eight of eight</w:t>
      </w:r>
    </w:p>
    <w:p>
      <w:pPr>
        <w:spacing w:after="120" w:line="300"/>
      </w:pPr>
      <w:r>
        <w:t xml:space="preserve">Every Acme must-have is met. The 99.99% SLA tier is a paid add-on, priced explicitly below. There is no hidden capability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400"/>
        <w:gridCol w:w="3800"/>
      </w:tblGrid>
      <w:tr>
        <w:trPr>
          <w:tblHeader/>
        </w:trPr>
        <w:tc>
          <w:tcPr>
            <w:tcW w:type="dxa" w:w="41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Acme Requirement</w:t>
            </w:r>
          </w:p>
        </w:tc>
        <w:tc>
          <w:tcPr>
            <w:tcW w:type="dxa" w:w="14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Fit</w:t>
            </w:r>
          </w:p>
        </w:tc>
        <w:tc>
          <w:tcPr>
            <w:tcW w:type="dxa" w:w="38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How we deliver</w:t>
            </w:r>
          </w:p>
        </w:tc>
      </w:tr>
      <w:tr>
        <w:tc>
          <w:tcPr>
            <w:tcW w:type="dxa" w:w="4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color w:val="000000"/>
                <w:sz w:val="20"/>
                <w:szCs w:val="20"/>
              </w:rPr>
              <w:t xml:space="preserve">Native Power BI integration (600 users)</w:t>
            </w:r>
          </w:p>
        </w:tc>
        <w:tc>
          <w:tcPr>
            <w:tcW w:type="dxa" w:w="1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color w:val="13837A"/>
                <w:sz w:val="20"/>
                <w:szCs w:val="20"/>
              </w:rPr>
              <w:t xml:space="preserve">Full</w:t>
            </w:r>
          </w:p>
        </w:tc>
        <w:tc>
          <w:tcPr>
            <w:tcW w:type="dxa" w:w="3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color w:val="000000"/>
                <w:sz w:val="20"/>
                <w:szCs w:val="20"/>
              </w:rPr>
              <w:t xml:space="preserve">Certified DirectQuery adapter — our most mature BI integration</w:t>
            </w:r>
          </w:p>
        </w:tc>
      </w:tr>
      <w:tr>
        <w:tc>
          <w:tcPr>
            <w:tcW w:type="dxa" w:w="416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color w:val="000000"/>
                <w:sz w:val="20"/>
                <w:szCs w:val="20"/>
              </w:rPr>
              <w:t xml:space="preserve">Multi-region: EU primary, US East secondary</w:t>
            </w:r>
          </w:p>
        </w:tc>
        <w:tc>
          <w:tcPr>
            <w:tcW w:type="dxa" w:w="14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color w:val="13837A"/>
                <w:sz w:val="20"/>
                <w:szCs w:val="20"/>
              </w:rPr>
              <w:t xml:space="preserve">Full</w:t>
            </w:r>
          </w:p>
        </w:tc>
        <w:tc>
          <w:tcPr>
            <w:tcW w:type="dxa" w:w="38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color w:val="000000"/>
                <w:sz w:val="20"/>
                <w:szCs w:val="20"/>
              </w:rPr>
              <w:t xml:space="preserve">Native multi-region, active-active configuration available</w:t>
            </w:r>
          </w:p>
        </w:tc>
      </w:tr>
      <w:tr>
        <w:tc>
          <w:tcPr>
            <w:tcW w:type="dxa" w:w="4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color w:val="000000"/>
                <w:sz w:val="20"/>
                <w:szCs w:val="20"/>
              </w:rPr>
              <w:t xml:space="preserve">EU data residency</w:t>
            </w:r>
          </w:p>
        </w:tc>
        <w:tc>
          <w:tcPr>
            <w:tcW w:type="dxa" w:w="1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color w:val="13837A"/>
                <w:sz w:val="20"/>
                <w:szCs w:val="20"/>
              </w:rPr>
              <w:t xml:space="preserve">Full</w:t>
            </w:r>
          </w:p>
        </w:tc>
        <w:tc>
          <w:tcPr>
            <w:tcW w:type="dxa" w:w="3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color w:val="000000"/>
                <w:sz w:val="20"/>
                <w:szCs w:val="20"/>
              </w:rPr>
              <w:t xml:space="preserve">Per-table residency enforcement; EU tables pinned to EU regions</w:t>
            </w:r>
          </w:p>
        </w:tc>
      </w:tr>
      <w:tr>
        <w:tc>
          <w:tcPr>
            <w:tcW w:type="dxa" w:w="416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color w:val="000000"/>
                <w:sz w:val="20"/>
                <w:szCs w:val="20"/>
              </w:rPr>
              <w:t xml:space="preserve">Lakehouse architecture</w:t>
            </w:r>
          </w:p>
        </w:tc>
        <w:tc>
          <w:tcPr>
            <w:tcW w:type="dxa" w:w="14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color w:val="13837A"/>
                <w:sz w:val="20"/>
                <w:szCs w:val="20"/>
              </w:rPr>
              <w:t xml:space="preserve">Full</w:t>
            </w:r>
          </w:p>
        </w:tc>
        <w:tc>
          <w:tcPr>
            <w:tcW w:type="dxa" w:w="38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color w:val="000000"/>
                <w:sz w:val="20"/>
                <w:szCs w:val="20"/>
              </w:rPr>
              <w:t xml:space="preserve">Core architecture, not retrofit</w:t>
            </w:r>
          </w:p>
        </w:tc>
      </w:tr>
      <w:tr>
        <w:tc>
          <w:tcPr>
            <w:tcW w:type="dxa" w:w="4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color w:val="000000"/>
                <w:sz w:val="20"/>
                <w:szCs w:val="20"/>
              </w:rPr>
              <w:t xml:space="preserve">Open formats (Parquet, Delta, Iceberg)</w:t>
            </w:r>
          </w:p>
        </w:tc>
        <w:tc>
          <w:tcPr>
            <w:tcW w:type="dxa" w:w="1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color w:val="13837A"/>
                <w:sz w:val="20"/>
                <w:szCs w:val="20"/>
              </w:rPr>
              <w:t xml:space="preserve">Full</w:t>
            </w:r>
          </w:p>
        </w:tc>
        <w:tc>
          <w:tcPr>
            <w:tcW w:type="dxa" w:w="3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color w:val="000000"/>
                <w:sz w:val="20"/>
                <w:szCs w:val="20"/>
              </w:rPr>
              <w:t xml:space="preserve">Native support; no translation layer</w:t>
            </w:r>
          </w:p>
        </w:tc>
      </w:tr>
      <w:tr>
        <w:tc>
          <w:tcPr>
            <w:tcW w:type="dxa" w:w="416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color w:val="000000"/>
                <w:sz w:val="20"/>
                <w:szCs w:val="20"/>
              </w:rPr>
              <w:t xml:space="preserve">Real-time ingest at 80K events/sec peak</w:t>
            </w:r>
          </w:p>
        </w:tc>
        <w:tc>
          <w:tcPr>
            <w:tcW w:type="dxa" w:w="14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color w:val="13837A"/>
                <w:sz w:val="20"/>
                <w:szCs w:val="20"/>
              </w:rPr>
              <w:t xml:space="preserve">Full</w:t>
            </w:r>
          </w:p>
        </w:tc>
        <w:tc>
          <w:tcPr>
            <w:tcW w:type="dxa" w:w="38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color w:val="000000"/>
                <w:sz w:val="20"/>
                <w:szCs w:val="20"/>
              </w:rPr>
              <w:t xml:space="preserve">Production-validated at 250K events/sec — 3× Acme's peak</w:t>
            </w:r>
          </w:p>
        </w:tc>
      </w:tr>
      <w:tr>
        <w:tc>
          <w:tcPr>
            <w:tcW w:type="dxa" w:w="41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color w:val="000000"/>
                <w:sz w:val="20"/>
                <w:szCs w:val="20"/>
              </w:rPr>
              <w:t xml:space="preserve">Azure-first deployment</w:t>
            </w:r>
          </w:p>
        </w:tc>
        <w:tc>
          <w:tcPr>
            <w:tcW w:type="dxa" w:w="1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color w:val="13837A"/>
                <w:sz w:val="20"/>
                <w:szCs w:val="20"/>
              </w:rPr>
              <w:t xml:space="preserve">Full</w:t>
            </w:r>
          </w:p>
        </w:tc>
        <w:tc>
          <w:tcPr>
            <w:tcW w:type="dxa" w:w="3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color w:val="000000"/>
                <w:sz w:val="20"/>
                <w:szCs w:val="20"/>
              </w:rPr>
              <w:t xml:space="preserve">Azure Blob native; multi-cloud optionality preserved</w:t>
            </w:r>
          </w:p>
        </w:tc>
      </w:tr>
      <w:tr>
        <w:tc>
          <w:tcPr>
            <w:tcW w:type="dxa" w:w="416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color w:val="000000"/>
                <w:sz w:val="20"/>
                <w:szCs w:val="20"/>
              </w:rPr>
              <w:t xml:space="preserve">99.99% monthly uptime SLA</w:t>
            </w:r>
          </w:p>
        </w:tc>
        <w:tc>
          <w:tcPr>
            <w:tcW w:type="dxa" w:w="14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color w:val="E07A5F"/>
                <w:sz w:val="20"/>
                <w:szCs w:val="20"/>
              </w:rPr>
              <w:t xml:space="preserve">Add-on</w:t>
            </w:r>
          </w:p>
        </w:tc>
        <w:tc>
          <w:tcPr>
            <w:tcW w:type="dxa" w:w="38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color w:val="000000"/>
                <w:sz w:val="20"/>
                <w:szCs w:val="20"/>
              </w:rPr>
              <w:t xml:space="preserve">Standard tier 99.95%; 99.99% via active-active multi-region (priced separately)</w:t>
            </w:r>
          </w:p>
        </w:tc>
      </w:tr>
    </w:tbl>
    <w:p>
      <w:pPr>
        <w:pStyle w:val="Heading2"/>
        <w:spacing w:after="140" w:before="280"/>
      </w:pPr>
      <w:r>
        <w:rPr>
          <w:color w:val="0B2545"/>
        </w:rPr>
        <w:t xml:space="preserve">3.2 Where we genuinely shine for Acme</w:t>
      </w:r>
    </w:p>
    <w:p>
      <w:pPr>
        <w:pStyle w:val="Heading3"/>
        <w:spacing w:after="100" w:before="220"/>
      </w:pPr>
      <w:r>
        <w:rPr>
          <w:color w:val="13837A"/>
        </w:rPr>
        <w:t xml:space="preserve">Power BI at scale, without the bridge tax</w:t>
      </w:r>
    </w:p>
    <w:p>
      <w:pPr>
        <w:spacing w:after="120" w:line="300"/>
      </w:pPr>
      <w:r>
        <w:t xml:space="preserve">Our DirectQuery adapter is purpose-built and certified — not a third-party connector, not an extract-refresh hack. For Acme's 600-seat estate, that translates to fewer dashboards stuck on stale data, no Power BI Premium capacity blowouts, and no separate vendor for the BI bridge.</w:t>
      </w:r>
    </w:p>
    <w:p>
      <w:pPr>
        <w:pStyle w:val="Heading3"/>
        <w:spacing w:after="100" w:before="220"/>
      </w:pPr>
      <w:r>
        <w:rPr>
          <w:color w:val="13837A"/>
        </w:rPr>
        <w:t xml:space="preserve">EU residency at the table, not the region</w:t>
      </w:r>
    </w:p>
    <w:p>
      <w:pPr>
        <w:spacing w:after="120" w:line="300"/>
      </w:pPr>
      <w:r>
        <w:t xml:space="preserve">Per-table residency means an analyst in Munich and an analyst in Austin can query the same logical dashboard, with EU customer records pinned to EU compute and US records served from US East — automatically, enforced at the data layer, auditable in the catalog. Most platforms force a region-level choice that creates dashboard duplication and governance ambiguity.</w:t>
      </w:r>
    </w:p>
    <w:p>
      <w:pPr>
        <w:pStyle w:val="Heading3"/>
        <w:spacing w:after="100" w:before="220"/>
      </w:pPr>
      <w:r>
        <w:rPr>
          <w:color w:val="13837A"/>
        </w:rPr>
        <w:t xml:space="preserve">Real-time ingest with proven headroom</w:t>
      </w:r>
    </w:p>
    <w:p>
      <w:pPr>
        <w:spacing w:after="120" w:line="300"/>
      </w:pPr>
      <w:r>
        <w:t xml:space="preserve">80,000 events per second is your stated peak. We have run 250,000 events per second on a single-region deployment for an existing industrial customer in production. Acme has 3× headroom from day one, which matters when the IoT fleet grows past 40,000 devices.</w:t>
      </w:r>
    </w:p>
    <w:p>
      <w:pPr>
        <w:pStyle w:val="Heading2"/>
        <w:spacing w:after="140" w:before="280"/>
      </w:pPr>
      <w:r>
        <w:rPr>
          <w:color w:val="0B2545"/>
        </w:rPr>
        <w:t xml:space="preserve">3.3 Why we beat the alternatives</w:t>
      </w:r>
    </w:p>
    <w:p>
      <w:pPr>
        <w:spacing w:after="120" w:line="300"/>
      </w:pPr>
      <w:r>
        <w:t xml:space="preserve">Acme has named four other vendors. Our position on each:</w:t>
      </w:r>
    </w:p>
    <w:p>
      <w:pPr>
        <w:pStyle w:val="ListParagraph"/>
        <w:numPr>
          <w:ilvl w:val="0"/>
          <w:numId w:val="2"/>
        </w:numPr>
        <w:spacing w:after="80" w:line="280"/>
      </w:pPr>
      <w:r>
        <w:rPr>
          <w:b/>
          <w:bCs/>
        </w:rPr>
        <w:t xml:space="preserve">Microsoft Fabric — the dangerous-looking option. </w:t>
      </w:r>
      <w:r>
        <w:t xml:space="preserve">The pitch is "free with E5, native Power BI." The reality at Acme's scale is a maturity tax: streaming at 80K events/sec routinely surfaces consistency issues that require Microsoft consulting hours to stabilise, and Fabric does not yet enforce table-level EU residency. We won Initech Sensors against this exact pitch by running a 3-year TCO at their real workload — the "free" tier disappears once stabilisation and BI refresh fixes are costed in.</w:t>
      </w:r>
    </w:p>
    <w:p>
      <w:pPr>
        <w:pStyle w:val="ListParagraph"/>
        <w:numPr>
          <w:ilvl w:val="0"/>
          <w:numId w:val="2"/>
        </w:numPr>
        <w:spacing w:after="80" w:line="280"/>
      </w:pPr>
      <w:r>
        <w:rPr>
          <w:b/>
          <w:bCs/>
        </w:rPr>
        <w:t xml:space="preserve">Databricks — the lakehouse narrative. </w:t>
      </w:r>
      <w:r>
        <w:t xml:space="preserve">Strong demo, expensive in production. At 280TB with 12TB/month growth and continuous streaming, Databricks compute spend escalates faster than the customer is shown in the demo. We won Globex Manufacturing on this 3-year TCO comparison at their real workload profile.</w:t>
      </w:r>
    </w:p>
    <w:p>
      <w:pPr>
        <w:pStyle w:val="ListParagraph"/>
        <w:numPr>
          <w:ilvl w:val="0"/>
          <w:numId w:val="2"/>
        </w:numPr>
        <w:spacing w:after="80" w:line="280"/>
      </w:pPr>
      <w:r>
        <w:rPr>
          <w:b/>
          <w:bCs/>
        </w:rPr>
        <w:t xml:space="preserve">Snowflake — the SQL-native pitch. </w:t>
      </w:r>
      <w:r>
        <w:t xml:space="preserve">Excellent for analyst experience, weak for IoT streaming at 80K events/sec — Snowflake forces compute-unit overprovisioning to hold the SLA. Also single-cloud, which removes Acme's multi-cloud optionality.</w:t>
      </w:r>
    </w:p>
    <w:p>
      <w:pPr>
        <w:pStyle w:val="ListParagraph"/>
        <w:numPr>
          <w:ilvl w:val="0"/>
          <w:numId w:val="2"/>
        </w:numPr>
        <w:spacing w:after="80" w:line="280"/>
      </w:pPr>
      <w:r>
        <w:rPr>
          <w:b/>
          <w:bCs/>
        </w:rPr>
        <w:t xml:space="preserve">Regional vendor. </w:t>
      </w:r>
      <w:r>
        <w:t xml:space="preserve">Likely a managed cloud reseller, not a core platform competitor at this scale. Not a serious risk to displacement.</w:t>
      </w:r>
    </w:p>
    <w:p>
      <w:r>
        <w:br w:type="page"/>
      </w:r>
    </w:p>
    <w:p>
      <w:pPr>
        <w:pStyle w:val="Heading1"/>
        <w:pBdr>
          <w:bottom w:val="single" w:color="13837A" w:sz="8" w:space="2"/>
        </w:pBdr>
        <w:spacing w:after="180" w:before="360"/>
      </w:pPr>
      <w:r>
        <w:rPr>
          <w:color w:val="0B2545"/>
        </w:rPr>
        <w:t xml:space="preserve">4. Commercial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3837A" w:sz="24"/>
              <w:bottom w:val="none" w:color="FFFFFF" w:sz="0"/>
              <w:right w:val="none" w:color="FFFFFF" w:sz="0"/>
            </w:tcBorders>
            <w:shd w:fill="F4F1EC" w:val="clear"/>
            <w:tcMar>
              <w:top w:type="dxa" w:w="200"/>
              <w:left w:type="dxa" w:w="280"/>
              <w:bottom w:type="dxa" w:w="200"/>
              <w:right w:type="dxa" w:w="240"/>
            </w:tcMar>
          </w:tcPr>
          <w:p>
            <w:pPr>
              <w:spacing w:after="0" w:line="300"/>
            </w:pPr>
            <w:r>
              <w:rPr>
                <w:i/>
                <w:iCs/>
                <w:color w:val="0B2545"/>
                <w:sz w:val="24"/>
                <w:szCs w:val="24"/>
              </w:rPr>
              <w:t xml:space="preserve">Headline: $702,000 net per annum, 22% off list, fixed Years 1–3, CPI-capped Years 4–5. Total 5-year commitment $3.58M. Prepay Years 1–2 at signing reduces Year 1 fee by a further 3 percentage points.</w:t>
            </w:r>
          </w:p>
        </w:tc>
      </w:tr>
    </w:tbl>
    <w:p>
      <w:pPr>
        <w:pStyle w:val="Heading2"/>
        <w:spacing w:after="140" w:before="280"/>
      </w:pPr>
      <w:r>
        <w:rPr>
          <w:color w:val="0B2545"/>
        </w:rPr>
        <w:t xml:space="preserve">4.1 Pricing — full 5-year transparency</w:t>
      </w:r>
    </w:p>
    <w:p>
      <w:pPr>
        <w:spacing w:after="120" w:line="300"/>
      </w:pPr>
      <w:r>
        <w:t xml:space="preserve">List price for Acme's scale (280TB at start, 12TB/month growth, 80K events/sec, 600 BI seats, 150 engineer seats, multi-region) is $900,000 per annum. We are offering Acme a Strategic-tier 22% discount based on the 5-year term and the reference-customer arrangement described in §4.3. Years 4–5 carry a CPI-indexed escalator capped at 5% per year — substantially below the unbounded annual escalators standard at Snowflake and Databricks.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920"/>
        <w:gridCol w:w="1920"/>
        <w:gridCol w:w="1920"/>
        <w:gridCol w:w="1920"/>
      </w:tblGrid>
      <w:tr>
        <w:trPr>
          <w:tblHeader/>
        </w:trPr>
        <w:tc>
          <w:tcPr>
            <w:tcW w:type="dxa" w:w="1680"/>
            <w:tcBorders>
              <w:top w:val="single" w:color="CCCCCC" w:sz="6"/>
              <w:left w:val="single" w:color="CCCCCC" w:sz="6"/>
              <w:bottom w:val="single" w:color="CCCCCC" w:sz="6"/>
              <w:right w:val="single" w:color="CCCCCC" w:sz="6"/>
            </w:tcBorders>
            <w:shd w:fill="0B2545" w:val="clear"/>
            <w:tcMar>
              <w:top w:type="dxa" w:w="100"/>
              <w:left w:type="dxa" w:w="120"/>
              <w:bottom w:type="dxa" w:w="100"/>
              <w:right w:type="dxa" w:w="120"/>
            </w:tcMar>
          </w:tcPr>
          <w:p>
            <w:r>
              <w:rPr>
                <w:b/>
                <w:bCs/>
                <w:color w:val="FFFFFF"/>
                <w:sz w:val="20"/>
                <w:szCs w:val="20"/>
              </w:rPr>
              <w:t xml:space="preserve">Year</w:t>
            </w:r>
          </w:p>
        </w:tc>
        <w:tc>
          <w:tcPr>
            <w:tcW w:type="dxa" w:w="1920"/>
            <w:tcBorders>
              <w:top w:val="single" w:color="CCCCCC" w:sz="6"/>
              <w:left w:val="single" w:color="CCCCCC" w:sz="6"/>
              <w:bottom w:val="single" w:color="CCCCCC" w:sz="6"/>
              <w:right w:val="single" w:color="CCCCCC" w:sz="6"/>
            </w:tcBorders>
            <w:shd w:fill="0B2545" w:val="clear"/>
            <w:tcMar>
              <w:top w:type="dxa" w:w="100"/>
              <w:left w:type="dxa" w:w="120"/>
              <w:bottom w:type="dxa" w:w="100"/>
              <w:right w:type="dxa" w:w="120"/>
            </w:tcMar>
          </w:tcPr>
          <w:p>
            <w:r>
              <w:rPr>
                <w:b/>
                <w:bCs/>
                <w:color w:val="FFFFFF"/>
                <w:sz w:val="20"/>
                <w:szCs w:val="20"/>
              </w:rPr>
              <w:t xml:space="preserve">Net Fee (USD)</w:t>
            </w:r>
          </w:p>
        </w:tc>
        <w:tc>
          <w:tcPr>
            <w:tcW w:type="dxa" w:w="1920"/>
            <w:tcBorders>
              <w:top w:val="single" w:color="CCCCCC" w:sz="6"/>
              <w:left w:val="single" w:color="CCCCCC" w:sz="6"/>
              <w:bottom w:val="single" w:color="CCCCCC" w:sz="6"/>
              <w:right w:val="single" w:color="CCCCCC" w:sz="6"/>
            </w:tcBorders>
            <w:shd w:fill="0B2545" w:val="clear"/>
            <w:tcMar>
              <w:top w:type="dxa" w:w="100"/>
              <w:left w:type="dxa" w:w="120"/>
              <w:bottom w:type="dxa" w:w="100"/>
              <w:right w:type="dxa" w:w="120"/>
            </w:tcMar>
          </w:tcPr>
          <w:p>
            <w:r>
              <w:rPr>
                <w:b/>
                <w:bCs/>
                <w:color w:val="FFFFFF"/>
                <w:sz w:val="20"/>
                <w:szCs w:val="20"/>
              </w:rPr>
              <w:t xml:space="preserve">Discount vs List</w:t>
            </w:r>
          </w:p>
        </w:tc>
        <w:tc>
          <w:tcPr>
            <w:tcW w:type="dxa" w:w="1920"/>
            <w:tcBorders>
              <w:top w:val="single" w:color="CCCCCC" w:sz="6"/>
              <w:left w:val="single" w:color="CCCCCC" w:sz="6"/>
              <w:bottom w:val="single" w:color="CCCCCC" w:sz="6"/>
              <w:right w:val="single" w:color="CCCCCC" w:sz="6"/>
            </w:tcBorders>
            <w:shd w:fill="0B2545" w:val="clear"/>
            <w:tcMar>
              <w:top w:type="dxa" w:w="100"/>
              <w:left w:type="dxa" w:w="120"/>
              <w:bottom w:type="dxa" w:w="100"/>
              <w:right w:type="dxa" w:w="120"/>
            </w:tcMar>
          </w:tcPr>
          <w:p>
            <w:r>
              <w:rPr>
                <w:b/>
                <w:bCs/>
                <w:color w:val="FFFFFF"/>
                <w:sz w:val="20"/>
                <w:szCs w:val="20"/>
              </w:rPr>
              <w:t xml:space="preserve">Cumulative</w:t>
            </w:r>
          </w:p>
        </w:tc>
        <w:tc>
          <w:tcPr>
            <w:tcW w:type="dxa" w:w="1920"/>
            <w:tcBorders>
              <w:top w:val="single" w:color="CCCCCC" w:sz="6"/>
              <w:left w:val="single" w:color="CCCCCC" w:sz="6"/>
              <w:bottom w:val="single" w:color="CCCCCC" w:sz="6"/>
              <w:right w:val="single" w:color="CCCCCC" w:sz="6"/>
            </w:tcBorders>
            <w:shd w:fill="0B2545" w:val="clear"/>
            <w:tcMar>
              <w:top w:type="dxa" w:w="100"/>
              <w:left w:type="dxa" w:w="120"/>
              <w:bottom w:type="dxa" w:w="100"/>
              <w:right w:type="dxa" w:w="120"/>
            </w:tcMar>
          </w:tcPr>
          <w:p>
            <w:r>
              <w:rPr>
                <w:b/>
                <w:bCs/>
                <w:color w:val="FFFFFF"/>
                <w:sz w:val="20"/>
                <w:szCs w:val="20"/>
              </w:rPr>
              <w:t xml:space="preserve">Notes</w:t>
            </w:r>
          </w:p>
        </w:tc>
      </w:tr>
      <w:tr>
        <w:tc>
          <w:tcPr>
            <w:tcW w:type="dxa" w:w="168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bCs/>
                <w:sz w:val="20"/>
                <w:szCs w:val="20"/>
              </w:rPr>
              <w:t xml:space="preserve">Year 1</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$702,000</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22%</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$702,000</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Fixed; prepay-eligible</w:t>
            </w:r>
          </w:p>
        </w:tc>
      </w:tr>
      <w:tr>
        <w:tc>
          <w:tcPr>
            <w:tcW w:type="dxa" w:w="1680"/>
            <w:tcBorders>
              <w:top w:val="single" w:color="CCCCCC" w:sz="6"/>
              <w:left w:val="single" w:color="CCCCCC" w:sz="6"/>
              <w:bottom w:val="single" w:color="CCCCCC" w:sz="6"/>
              <w:right w:val="single" w:color="CCCCCC" w:sz="6"/>
            </w:tcBorders>
            <w:shd w:fill="F4F1EC" w:val="clear"/>
            <w:tcMar>
              <w:top w:type="dxa" w:w="90"/>
              <w:left w:type="dxa" w:w="120"/>
              <w:bottom w:type="dxa" w:w="90"/>
              <w:right w:type="dxa" w:w="120"/>
            </w:tcMar>
          </w:tcPr>
          <w:p>
            <w:pPr>
              <w:spacing w:after="0"/>
            </w:pPr>
            <w:r>
              <w:rPr>
                <w:b/>
                <w:bCs/>
                <w:sz w:val="20"/>
                <w:szCs w:val="20"/>
              </w:rPr>
              <w:t xml:space="preserve">Year 2</w:t>
            </w:r>
          </w:p>
        </w:tc>
        <w:tc>
          <w:tcPr>
            <w:tcW w:type="dxa" w:w="1920"/>
            <w:tcBorders>
              <w:top w:val="single" w:color="CCCCCC" w:sz="6"/>
              <w:left w:val="single" w:color="CCCCCC" w:sz="6"/>
              <w:bottom w:val="single" w:color="CCCCCC" w:sz="6"/>
              <w:right w:val="single" w:color="CCCCCC" w:sz="6"/>
            </w:tcBorders>
            <w:shd w:fill="F4F1EC" w:val="clear"/>
            <w:tcMar>
              <w:top w:type="dxa" w:w="90"/>
              <w:left w:type="dxa" w:w="120"/>
              <w:bottom w:type="dxa" w:w="90"/>
              <w:right w:type="dxa" w:w="120"/>
            </w:tcMar>
          </w:tcPr>
          <w:p>
            <w:pPr>
              <w:spacing w:after="0"/>
            </w:pPr>
            <w:r>
              <w:rPr>
                <w:b w:val="false"/>
                <w:bCs w:val="false"/>
                <w:sz w:val="20"/>
                <w:szCs w:val="20"/>
              </w:rPr>
              <w:t xml:space="preserve">$702,000</w:t>
            </w:r>
          </w:p>
        </w:tc>
        <w:tc>
          <w:tcPr>
            <w:tcW w:type="dxa" w:w="1920"/>
            <w:tcBorders>
              <w:top w:val="single" w:color="CCCCCC" w:sz="6"/>
              <w:left w:val="single" w:color="CCCCCC" w:sz="6"/>
              <w:bottom w:val="single" w:color="CCCCCC" w:sz="6"/>
              <w:right w:val="single" w:color="CCCCCC" w:sz="6"/>
            </w:tcBorders>
            <w:shd w:fill="F4F1EC" w:val="clear"/>
            <w:tcMar>
              <w:top w:type="dxa" w:w="90"/>
              <w:left w:type="dxa" w:w="120"/>
              <w:bottom w:type="dxa" w:w="90"/>
              <w:right w:type="dxa" w:w="120"/>
            </w:tcMar>
          </w:tcPr>
          <w:p>
            <w:pPr>
              <w:spacing w:after="0"/>
            </w:pPr>
            <w:r>
              <w:rPr>
                <w:b w:val="false"/>
                <w:bCs w:val="false"/>
                <w:sz w:val="20"/>
                <w:szCs w:val="20"/>
              </w:rPr>
              <w:t xml:space="preserve">22%</w:t>
            </w:r>
          </w:p>
        </w:tc>
        <w:tc>
          <w:tcPr>
            <w:tcW w:type="dxa" w:w="1920"/>
            <w:tcBorders>
              <w:top w:val="single" w:color="CCCCCC" w:sz="6"/>
              <w:left w:val="single" w:color="CCCCCC" w:sz="6"/>
              <w:bottom w:val="single" w:color="CCCCCC" w:sz="6"/>
              <w:right w:val="single" w:color="CCCCCC" w:sz="6"/>
            </w:tcBorders>
            <w:shd w:fill="F4F1EC" w:val="clear"/>
            <w:tcMar>
              <w:top w:type="dxa" w:w="90"/>
              <w:left w:type="dxa" w:w="120"/>
              <w:bottom w:type="dxa" w:w="90"/>
              <w:right w:type="dxa" w:w="120"/>
            </w:tcMar>
          </w:tcPr>
          <w:p>
            <w:pPr>
              <w:spacing w:after="0"/>
            </w:pPr>
            <w:r>
              <w:rPr>
                <w:b w:val="false"/>
                <w:bCs w:val="false"/>
                <w:sz w:val="20"/>
                <w:szCs w:val="20"/>
              </w:rPr>
              <w:t xml:space="preserve">$1,404,000</w:t>
            </w:r>
          </w:p>
        </w:tc>
        <w:tc>
          <w:tcPr>
            <w:tcW w:type="dxa" w:w="1920"/>
            <w:tcBorders>
              <w:top w:val="single" w:color="CCCCCC" w:sz="6"/>
              <w:left w:val="single" w:color="CCCCCC" w:sz="6"/>
              <w:bottom w:val="single" w:color="CCCCCC" w:sz="6"/>
              <w:right w:val="single" w:color="CCCCCC" w:sz="6"/>
            </w:tcBorders>
            <w:shd w:fill="F4F1EC" w:val="clear"/>
            <w:tcMar>
              <w:top w:type="dxa" w:w="90"/>
              <w:left w:type="dxa" w:w="120"/>
              <w:bottom w:type="dxa" w:w="90"/>
              <w:right w:type="dxa" w:w="120"/>
            </w:tcMar>
          </w:tcPr>
          <w:p>
            <w:pPr>
              <w:spacing w:after="0"/>
            </w:pPr>
            <w:r>
              <w:rPr>
                <w:b w:val="false"/>
                <w:bCs w:val="false"/>
                <w:sz w:val="20"/>
                <w:szCs w:val="20"/>
              </w:rPr>
              <w:t xml:space="preserve">Fixed</w:t>
            </w:r>
          </w:p>
        </w:tc>
      </w:tr>
      <w:tr>
        <w:tc>
          <w:tcPr>
            <w:tcW w:type="dxa" w:w="168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bCs/>
                <w:sz w:val="20"/>
                <w:szCs w:val="20"/>
              </w:rPr>
              <w:t xml:space="preserve">Year 3</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$702,000</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22%</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$2,106,000</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Fixed</w:t>
            </w:r>
          </w:p>
        </w:tc>
      </w:tr>
      <w:tr>
        <w:tc>
          <w:tcPr>
            <w:tcW w:type="dxa" w:w="1680"/>
            <w:tcBorders>
              <w:top w:val="single" w:color="CCCCCC" w:sz="6"/>
              <w:left w:val="single" w:color="CCCCCC" w:sz="6"/>
              <w:bottom w:val="single" w:color="CCCCCC" w:sz="6"/>
              <w:right w:val="single" w:color="CCCCCC" w:sz="6"/>
            </w:tcBorders>
            <w:shd w:fill="F4F1EC" w:val="clear"/>
            <w:tcMar>
              <w:top w:type="dxa" w:w="90"/>
              <w:left w:type="dxa" w:w="120"/>
              <w:bottom w:type="dxa" w:w="90"/>
              <w:right w:type="dxa" w:w="120"/>
            </w:tcMar>
          </w:tcPr>
          <w:p>
            <w:pPr>
              <w:spacing w:after="0"/>
            </w:pPr>
            <w:r>
              <w:rPr>
                <w:b/>
                <w:bCs/>
                <w:sz w:val="20"/>
                <w:szCs w:val="20"/>
              </w:rPr>
              <w:t xml:space="preserve">Year 4</w:t>
            </w:r>
          </w:p>
        </w:tc>
        <w:tc>
          <w:tcPr>
            <w:tcW w:type="dxa" w:w="1920"/>
            <w:tcBorders>
              <w:top w:val="single" w:color="CCCCCC" w:sz="6"/>
              <w:left w:val="single" w:color="CCCCCC" w:sz="6"/>
              <w:bottom w:val="single" w:color="CCCCCC" w:sz="6"/>
              <w:right w:val="single" w:color="CCCCCC" w:sz="6"/>
            </w:tcBorders>
            <w:shd w:fill="F4F1EC" w:val="clear"/>
            <w:tcMar>
              <w:top w:type="dxa" w:w="90"/>
              <w:left w:type="dxa" w:w="120"/>
              <w:bottom w:type="dxa" w:w="90"/>
              <w:right w:type="dxa" w:w="120"/>
            </w:tcMar>
          </w:tcPr>
          <w:p>
            <w:pPr>
              <w:spacing w:after="0"/>
            </w:pPr>
            <w:r>
              <w:rPr>
                <w:b w:val="false"/>
                <w:bCs w:val="false"/>
                <w:sz w:val="20"/>
                <w:szCs w:val="20"/>
              </w:rPr>
              <w:t xml:space="preserve">$725,000</w:t>
            </w:r>
          </w:p>
        </w:tc>
        <w:tc>
          <w:tcPr>
            <w:tcW w:type="dxa" w:w="1920"/>
            <w:tcBorders>
              <w:top w:val="single" w:color="CCCCCC" w:sz="6"/>
              <w:left w:val="single" w:color="CCCCCC" w:sz="6"/>
              <w:bottom w:val="single" w:color="CCCCCC" w:sz="6"/>
              <w:right w:val="single" w:color="CCCCCC" w:sz="6"/>
            </w:tcBorders>
            <w:shd w:fill="F4F1EC" w:val="clear"/>
            <w:tcMar>
              <w:top w:type="dxa" w:w="90"/>
              <w:left w:type="dxa" w:w="120"/>
              <w:bottom w:type="dxa" w:w="90"/>
              <w:right w:type="dxa" w:w="120"/>
            </w:tcMar>
          </w:tcPr>
          <w:p>
            <w:pPr>
              <w:spacing w:after="0"/>
            </w:pPr>
            <w:r>
              <w:rPr>
                <w:b w:val="false"/>
                <w:bCs w:val="false"/>
                <w:sz w:val="20"/>
                <w:szCs w:val="20"/>
              </w:rPr>
              <w:t xml:space="preserve">CPI-capped</w:t>
            </w:r>
          </w:p>
        </w:tc>
        <w:tc>
          <w:tcPr>
            <w:tcW w:type="dxa" w:w="1920"/>
            <w:tcBorders>
              <w:top w:val="single" w:color="CCCCCC" w:sz="6"/>
              <w:left w:val="single" w:color="CCCCCC" w:sz="6"/>
              <w:bottom w:val="single" w:color="CCCCCC" w:sz="6"/>
              <w:right w:val="single" w:color="CCCCCC" w:sz="6"/>
            </w:tcBorders>
            <w:shd w:fill="F4F1EC" w:val="clear"/>
            <w:tcMar>
              <w:top w:type="dxa" w:w="90"/>
              <w:left w:type="dxa" w:w="120"/>
              <w:bottom w:type="dxa" w:w="90"/>
              <w:right w:type="dxa" w:w="120"/>
            </w:tcMar>
          </w:tcPr>
          <w:p>
            <w:pPr>
              <w:spacing w:after="0"/>
            </w:pPr>
            <w:r>
              <w:rPr>
                <w:b w:val="false"/>
                <w:bCs w:val="false"/>
                <w:sz w:val="20"/>
                <w:szCs w:val="20"/>
              </w:rPr>
              <w:t xml:space="preserve">$2,831,000</w:t>
            </w:r>
          </w:p>
        </w:tc>
        <w:tc>
          <w:tcPr>
            <w:tcW w:type="dxa" w:w="1920"/>
            <w:tcBorders>
              <w:top w:val="single" w:color="CCCCCC" w:sz="6"/>
              <w:left w:val="single" w:color="CCCCCC" w:sz="6"/>
              <w:bottom w:val="single" w:color="CCCCCC" w:sz="6"/>
              <w:right w:val="single" w:color="CCCCCC" w:sz="6"/>
            </w:tcBorders>
            <w:shd w:fill="F4F1EC" w:val="clear"/>
            <w:tcMar>
              <w:top w:type="dxa" w:w="90"/>
              <w:left w:type="dxa" w:w="120"/>
              <w:bottom w:type="dxa" w:w="90"/>
              <w:right w:type="dxa" w:w="120"/>
            </w:tcMar>
          </w:tcPr>
          <w:p>
            <w:pPr>
              <w:spacing w:after="0"/>
            </w:pPr>
            <w:r>
              <w:rPr>
                <w:b w:val="false"/>
                <w:bCs w:val="false"/>
                <w:sz w:val="20"/>
                <w:szCs w:val="20"/>
              </w:rPr>
              <w:t xml:space="preserve">Renewal option, capped at +5%</w:t>
            </w:r>
          </w:p>
        </w:tc>
      </w:tr>
      <w:tr>
        <w:tc>
          <w:tcPr>
            <w:tcW w:type="dxa" w:w="168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bCs/>
                <w:sz w:val="20"/>
                <w:szCs w:val="20"/>
              </w:rPr>
              <w:t xml:space="preserve">Year 5</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$748,000</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CPI-capped</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$3,579,000</w:t>
            </w:r>
          </w:p>
        </w:tc>
        <w:tc>
          <w:tcPr>
            <w:tcW w:type="dxa" w:w="1920"/>
            <w:tcBorders>
              <w:top w:val="single" w:color="CCCCCC" w:sz="6"/>
              <w:left w:val="single" w:color="CCCCCC" w:sz="6"/>
              <w:bottom w:val="single" w:color="CCCCCC" w:sz="6"/>
              <w:right w:val="single" w:color="CCCCCC" w:sz="6"/>
            </w:tcBorders>
            <w:shd w:fill="FFFFFF" w:val="clear"/>
            <w:tcMar>
              <w:top w:type="dxa" w:w="90"/>
              <w:left w:type="dxa" w:w="120"/>
              <w:bottom w:type="dxa" w:w="90"/>
              <w:right w:type="dxa" w:w="120"/>
            </w:tcMar>
          </w:tcPr>
          <w:p>
            <w:pPr>
              <w:spacing w:after="0"/>
            </w:pPr>
            <w:r>
              <w:rPr>
                <w:b w:val="false"/>
                <w:bCs w:val="false"/>
                <w:sz w:val="20"/>
                <w:szCs w:val="20"/>
              </w:rPr>
              <w:t xml:space="preserve">Renewal option, capped at +5%</w:t>
            </w:r>
          </w:p>
        </w:tc>
      </w:tr>
      <w:tr>
        <w:tc>
          <w:tcPr>
            <w:tcW w:type="dxa" w:w="1680"/>
            <w:tcBorders>
              <w:top w:val="single" w:color="CCCCCC" w:sz="6"/>
              <w:left w:val="single" w:color="CCCCCC" w:sz="6"/>
              <w:bottom w:val="single" w:color="CCCCCC" w:sz="6"/>
              <w:right w:val="single" w:color="CCCCCC" w:sz="6"/>
            </w:tcBorders>
            <w:shd w:fill="E8F0EE" w:val="clear"/>
            <w:tcMar>
              <w:top w:type="dxa" w:w="90"/>
              <w:left w:type="dxa" w:w="120"/>
              <w:bottom w:type="dxa" w:w="90"/>
              <w:right w:type="dxa" w:w="120"/>
            </w:tcMar>
          </w:tcPr>
          <w:p>
            <w:pPr>
              <w:spacing w:after="0"/>
            </w:pPr>
            <w:r>
              <w:rPr>
                <w:b/>
                <w:bCs/>
                <w:sz w:val="20"/>
                <w:szCs w:val="20"/>
              </w:rPr>
              <w:t xml:space="preserve">5-Year Total</w:t>
            </w:r>
          </w:p>
        </w:tc>
        <w:tc>
          <w:tcPr>
            <w:tcW w:type="dxa" w:w="1920"/>
            <w:tcBorders>
              <w:top w:val="single" w:color="CCCCCC" w:sz="6"/>
              <w:left w:val="single" w:color="CCCCCC" w:sz="6"/>
              <w:bottom w:val="single" w:color="CCCCCC" w:sz="6"/>
              <w:right w:val="single" w:color="CCCCCC" w:sz="6"/>
            </w:tcBorders>
            <w:shd w:fill="E8F0EE" w:val="clear"/>
            <w:tcMar>
              <w:top w:type="dxa" w:w="90"/>
              <w:left w:type="dxa" w:w="120"/>
              <w:bottom w:type="dxa" w:w="90"/>
              <w:right w:type="dxa" w:w="120"/>
            </w:tcMar>
          </w:tcPr>
          <w:p>
            <w:pPr>
              <w:spacing w:after="0"/>
            </w:pPr>
            <w:r>
              <w:rPr>
                <w:b/>
                <w:bCs/>
                <w:sz w:val="20"/>
                <w:szCs w:val="20"/>
              </w:rPr>
              <w:t xml:space="preserve">$3,579,000</w:t>
            </w:r>
          </w:p>
        </w:tc>
        <w:tc>
          <w:tcPr>
            <w:tcW w:type="dxa" w:w="1920"/>
            <w:tcBorders>
              <w:top w:val="single" w:color="CCCCCC" w:sz="6"/>
              <w:left w:val="single" w:color="CCCCCC" w:sz="6"/>
              <w:bottom w:val="single" w:color="CCCCCC" w:sz="6"/>
              <w:right w:val="single" w:color="CCCCCC" w:sz="6"/>
            </w:tcBorders>
            <w:shd w:fill="E8F0EE" w:val="clear"/>
            <w:tcMar>
              <w:top w:type="dxa" w:w="90"/>
              <w:left w:type="dxa" w:w="120"/>
              <w:bottom w:type="dxa" w:w="90"/>
              <w:right w:type="dxa" w:w="120"/>
            </w:tcMar>
          </w:tcPr>
          <w:p>
            <w:pPr>
              <w:spacing w:after="0"/>
            </w:pPr>
            <w:r>
              <w:rPr>
                <w:b/>
                <w:bCs/>
                <w:sz w:val="20"/>
                <w:szCs w:val="20"/>
              </w:rPr>
              <w:t xml:space="preserve">—</w:t>
            </w:r>
          </w:p>
        </w:tc>
        <w:tc>
          <w:tcPr>
            <w:tcW w:type="dxa" w:w="1920"/>
            <w:tcBorders>
              <w:top w:val="single" w:color="CCCCCC" w:sz="6"/>
              <w:left w:val="single" w:color="CCCCCC" w:sz="6"/>
              <w:bottom w:val="single" w:color="CCCCCC" w:sz="6"/>
              <w:right w:val="single" w:color="CCCCCC" w:sz="6"/>
            </w:tcBorders>
            <w:shd w:fill="E8F0EE" w:val="clear"/>
            <w:tcMar>
              <w:top w:type="dxa" w:w="90"/>
              <w:left w:type="dxa" w:w="120"/>
              <w:bottom w:type="dxa" w:w="90"/>
              <w:right w:type="dxa" w:w="120"/>
            </w:tcMar>
          </w:tcPr>
          <w:p>
            <w:pPr>
              <w:spacing w:after="0"/>
            </w:pPr>
            <w:r>
              <w:rPr>
                <w:b/>
                <w:bCs/>
                <w:sz w:val="20"/>
                <w:szCs w:val="20"/>
              </w:rPr>
              <w:t xml:space="preserve">—</w:t>
            </w:r>
          </w:p>
        </w:tc>
        <w:tc>
          <w:tcPr>
            <w:tcW w:type="dxa" w:w="1920"/>
            <w:tcBorders>
              <w:top w:val="single" w:color="CCCCCC" w:sz="6"/>
              <w:left w:val="single" w:color="CCCCCC" w:sz="6"/>
              <w:bottom w:val="single" w:color="CCCCCC" w:sz="6"/>
              <w:right w:val="single" w:color="CCCCCC" w:sz="6"/>
            </w:tcBorders>
            <w:shd w:fill="E8F0EE" w:val="clear"/>
            <w:tcMar>
              <w:top w:type="dxa" w:w="90"/>
              <w:left w:type="dxa" w:w="120"/>
              <w:bottom w:type="dxa" w:w="90"/>
              <w:right w:type="dxa" w:w="120"/>
            </w:tcMar>
          </w:tcPr>
          <w:p>
            <w:pPr>
              <w:spacing w:after="0"/>
            </w:pPr>
            <w:r>
              <w:rPr>
                <w:b/>
                <w:bCs/>
                <w:sz w:val="20"/>
                <w:szCs w:val="20"/>
              </w:rPr>
              <w:t xml:space="preserve">List equivalent: $4,500,000+</w:t>
            </w:r>
          </w:p>
        </w:tc>
      </w:tr>
    </w:tbl>
    <w:p>
      <w:pPr>
        <w:pStyle w:val="Heading3"/>
        <w:spacing w:after="100" w:before="220"/>
      </w:pPr>
      <w:r>
        <w:rPr>
          <w:color w:val="13837A"/>
        </w:rPr>
        <w:t xml:space="preserve">99.99% SLA add-on</w:t>
      </w:r>
    </w:p>
    <w:p>
      <w:pPr>
        <w:spacing w:after="120" w:line="300"/>
      </w:pPr>
      <w:r>
        <w:t xml:space="preserve">Acme's 99.99% monthly uptime requirement is met via a bespoke active-active multi-region architecture. This is priced separately at $100,000 per annum and included in the total above if required. Our standard Enterprise tier is 99.95%; we are flagging this explicitly because we will not surface it as a surcharge after signature.</w:t>
      </w:r>
    </w:p>
    <w:p>
      <w:pPr>
        <w:pStyle w:val="Heading2"/>
        <w:spacing w:after="140" w:before="280"/>
      </w:pPr>
      <w:r>
        <w:rPr>
          <w:color w:val="0B2545"/>
        </w:rPr>
        <w:t xml:space="preserve">4.2 Payment terms</w:t>
      </w:r>
    </w:p>
    <w:p>
      <w:pPr>
        <w:pStyle w:val="ListParagraph"/>
        <w:numPr>
          <w:ilvl w:val="0"/>
          <w:numId w:val="2"/>
        </w:numPr>
        <w:spacing w:after="80" w:line="280"/>
      </w:pPr>
      <w:r>
        <w:t xml:space="preserve">Billing: Annual in advance.</w:t>
      </w:r>
    </w:p>
    <w:p>
      <w:pPr>
        <w:pStyle w:val="ListParagraph"/>
        <w:numPr>
          <w:ilvl w:val="0"/>
          <w:numId w:val="2"/>
        </w:numPr>
        <w:spacing w:after="80" w:line="280"/>
      </w:pPr>
      <w:r>
        <w:t xml:space="preserve">Payment terms: Net 60. We cannot accept Net 90 — annual billing at Net 90 would amount to ~4 months of carry on every annual invoice and is incompatible with our cost of capital. Quarterly billing at Net 60 is available on request with a 2% adjustment to offset operational overhead.</w:t>
      </w:r>
    </w:p>
    <w:p>
      <w:pPr>
        <w:pStyle w:val="ListParagraph"/>
        <w:numPr>
          <w:ilvl w:val="0"/>
          <w:numId w:val="2"/>
        </w:numPr>
        <w:spacing w:after="80" w:line="280"/>
      </w:pPr>
      <w:r>
        <w:t xml:space="preserve">Currency: USD. EUR billing available on request for EU entities.</w:t>
      </w:r>
    </w:p>
    <w:p>
      <w:pPr>
        <w:pStyle w:val="Heading2"/>
        <w:spacing w:after="140" w:before="280"/>
      </w:pPr>
      <w:r>
        <w:rPr>
          <w:color w:val="0B2545"/>
        </w:rPr>
        <w:t xml:space="preserve">4.3 Concessions on offer</w:t>
      </w:r>
    </w:p>
    <w:p>
      <w:pPr>
        <w:pStyle w:val="ListParagraph"/>
        <w:numPr>
          <w:ilvl w:val="0"/>
          <w:numId w:val="2"/>
        </w:numPr>
        <w:spacing w:after="80" w:line="280"/>
      </w:pPr>
      <w:r>
        <w:rPr>
          <w:b/>
          <w:bCs/>
        </w:rPr>
        <w:t xml:space="preserve">Prepay Years 1–2 incentive. </w:t>
      </w:r>
      <w:r>
        <w:t xml:space="preserve">Acme prepays Years 1 and 2 at signing in exchange for an additional 3-percentage-point discount on Year 1 — effectively 25% off list for the prepaid years.</w:t>
      </w:r>
    </w:p>
    <w:p>
      <w:pPr>
        <w:pStyle w:val="ListParagraph"/>
        <w:numPr>
          <w:ilvl w:val="0"/>
          <w:numId w:val="2"/>
        </w:numPr>
        <w:spacing w:after="80" w:line="280"/>
      </w:pPr>
      <w:r>
        <w:rPr>
          <w:b/>
          <w:bCs/>
        </w:rPr>
        <w:t xml:space="preserve">PoC credit. </w:t>
      </w:r>
      <w:r>
        <w:t xml:space="preserve">Any prior PoC engagement fees are credited against Year 1. We propose a 60-day technical validation at Acme's expense, credited 100% back into the first contract year on signature.</w:t>
      </w:r>
    </w:p>
    <w:p>
      <w:pPr>
        <w:pStyle w:val="ListParagraph"/>
        <w:numPr>
          <w:ilvl w:val="0"/>
          <w:numId w:val="2"/>
        </w:numPr>
        <w:spacing w:after="80" w:line="280"/>
      </w:pPr>
      <w:r>
        <w:rPr>
          <w:b/>
          <w:bCs/>
        </w:rPr>
        <w:t xml:space="preserve">Reference-customer agreement. </w:t>
      </w:r>
      <w:r>
        <w:t xml:space="preserve">The Strategic-tier discount is conditional on Acme signing a standard reference-customer agreement — Acme acts as a public reference in industrial IoT for the duration of the initial term.</w:t>
      </w:r>
    </w:p>
    <w:p>
      <w:pPr>
        <w:pStyle w:val="ListParagraph"/>
        <w:numPr>
          <w:ilvl w:val="0"/>
          <w:numId w:val="2"/>
        </w:numPr>
        <w:spacing w:after="80" w:line="280"/>
      </w:pPr>
      <w:r>
        <w:rPr>
          <w:b/>
          <w:bCs/>
        </w:rPr>
        <w:t xml:space="preserve">Volume true-up buffer. </w:t>
      </w:r>
      <w:r>
        <w:t xml:space="preserve">10% buffer above the 12TB/month growth assumption, with annual true-up. Acme is not penalised for normal variance; we share the risk of growth surprise.</w:t>
      </w:r>
    </w:p>
    <w:p>
      <w:r>
        <w:br w:type="page"/>
      </w:r>
    </w:p>
    <w:p>
      <w:pPr>
        <w:pStyle w:val="Heading1"/>
        <w:pBdr>
          <w:bottom w:val="single" w:color="13837A" w:sz="8" w:space="2"/>
        </w:pBdr>
        <w:spacing w:after="180" w:before="360"/>
      </w:pPr>
      <w:r>
        <w:rPr>
          <w:color w:val="0B2545"/>
        </w:rPr>
        <w:t xml:space="preserve">5. Contract approach</w:t>
      </w:r>
    </w:p>
    <w:p>
      <w:pPr>
        <w:spacing w:after="120" w:line="300"/>
      </w:pPr>
      <w:r>
        <w:t xml:space="preserve">We respect the seriousness of Acme's contractual requirements. Several clauses as drafted are incompatible with the cyber insurance market, with sustainable platform economics, or with our obligations to other customers. The table below is our honest position on each — we have not buried our pushback in the appendix.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80"/>
        <w:gridCol w:w="5280"/>
      </w:tblGrid>
      <w:tr>
        <w:trPr>
          <w:tblHeader/>
        </w:trPr>
        <w:tc>
          <w:tcPr>
            <w:tcW w:type="dxa" w:w="24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Clause</w:t>
            </w:r>
          </w:p>
        </w:tc>
        <w:tc>
          <w:tcPr>
            <w:tcW w:type="dxa" w:w="168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Position</w:t>
            </w:r>
          </w:p>
        </w:tc>
        <w:tc>
          <w:tcPr>
            <w:tcW w:type="dxa" w:w="528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Counter-position</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§4.1 Liability — uncapped for breach</w:t>
            </w:r>
          </w:p>
        </w:tc>
        <w:tc>
          <w:tcPr>
            <w:tcW w:type="dxa" w:w="1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Counter</w:t>
            </w:r>
          </w:p>
        </w:tc>
        <w:tc>
          <w:tcPr>
            <w:tcW w:type="dxa" w:w="52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Aggregate liability capped at 24 months of fees paid. Mutual carve-outs for gross negligence and IP infringement. Consequential and reputational damages excluded for both parties.</w:t>
            </w:r>
          </w:p>
        </w:tc>
      </w:tr>
      <w:tr>
        <w:tc>
          <w:tcPr>
            <w:tcW w:type="dxa" w:w="24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sz w:val="20"/>
                <w:szCs w:val="20"/>
              </w:rPr>
              <w:t xml:space="preserve">§4.2 Audit — 4×/yr, no notice, vendor-paid</w:t>
            </w:r>
          </w:p>
        </w:tc>
        <w:tc>
          <w:tcPr>
            <w:tcW w:type="dxa" w:w="168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sz w:val="20"/>
                <w:szCs w:val="20"/>
              </w:rPr>
              <w:t xml:space="preserve">Counter</w:t>
            </w:r>
          </w:p>
        </w:tc>
        <w:tc>
          <w:tcPr>
            <w:tcW w:type="dxa" w:w="528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sz w:val="20"/>
                <w:szCs w:val="20"/>
              </w:rPr>
              <w:t xml:space="preserve">Two audits per calendar year with ≥30 days' written notice. Acme bears audit costs. SOC 2 Type II report may satisfy in lieu of on-site audit.</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§4.3 SLA — 99.99%, any miss = termination</w:t>
            </w:r>
          </w:p>
        </w:tc>
        <w:tc>
          <w:tcPr>
            <w:tcW w:type="dxa" w:w="1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Counter</w:t>
            </w:r>
          </w:p>
        </w:tc>
        <w:tc>
          <w:tcPr>
            <w:tcW w:type="dxa" w:w="52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99.99% SLA provided via priced add-on. Sole remedy is service credits up to 30% of affected month's fees. Termination right triggered only by ≥3 SLA misses in a rolling 12 months.</w:t>
            </w:r>
          </w:p>
        </w:tc>
      </w:tr>
      <w:tr>
        <w:tc>
          <w:tcPr>
            <w:tcW w:type="dxa" w:w="24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sz w:val="20"/>
                <w:szCs w:val="20"/>
              </w:rPr>
              <w:t xml:space="preserve">§4.4 IP — full assignment to Acme</w:t>
            </w:r>
          </w:p>
        </w:tc>
        <w:tc>
          <w:tcPr>
            <w:tcW w:type="dxa" w:w="168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sz w:val="20"/>
                <w:szCs w:val="20"/>
              </w:rPr>
              <w:t xml:space="preserve">Counter</w:t>
            </w:r>
          </w:p>
        </w:tc>
        <w:tc>
          <w:tcPr>
            <w:tcW w:type="dxa" w:w="528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sz w:val="20"/>
                <w:szCs w:val="20"/>
              </w:rPr>
              <w:t xml:space="preserve">Pre-existing and platform IP remain vendor's. Acme receives a perpetual, irrevocable, royalty-free licence to all custom deliverables (Stark Industries precedent).</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§4.5 Subprocessors — Acme consent, sole discretion</w:t>
            </w:r>
          </w:p>
        </w:tc>
        <w:tc>
          <w:tcPr>
            <w:tcW w:type="dxa" w:w="1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Counter</w:t>
            </w:r>
          </w:p>
        </w:tc>
        <w:tc>
          <w:tcPr>
            <w:tcW w:type="dxa" w:w="52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Public subprocessor register. 30 days' notice on any addition. Acme may object on reasonable grounds; failing resolution, Acme may terminate the affected services on 60 days' notice.</w:t>
            </w:r>
          </w:p>
        </w:tc>
      </w:tr>
      <w:tr>
        <w:tc>
          <w:tcPr>
            <w:tcW w:type="dxa" w:w="24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sz w:val="20"/>
                <w:szCs w:val="20"/>
              </w:rPr>
              <w:t xml:space="preserve">§3.4 MFN — perpetual</w:t>
            </w:r>
          </w:p>
        </w:tc>
        <w:tc>
          <w:tcPr>
            <w:tcW w:type="dxa" w:w="168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sz w:val="20"/>
                <w:szCs w:val="20"/>
              </w:rPr>
              <w:t xml:space="preserve">Counter</w:t>
            </w:r>
          </w:p>
        </w:tc>
        <w:tc>
          <w:tcPr>
            <w:tcW w:type="dxa" w:w="528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sz w:val="20"/>
                <w:szCs w:val="20"/>
              </w:rPr>
              <w:t xml:space="preserve">Point-in-time MFN at execution, benchmarked against comparable customers. No ongoing MFN post-signature.</w:t>
            </w:r>
          </w:p>
        </w:tc>
      </w:tr>
      <w:tr>
        <w:tc>
          <w:tcPr>
            <w:tcW w:type="dxa" w:w="24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§3.5 Termination for convenience — 30 days, no fee</w:t>
            </w:r>
          </w:p>
        </w:tc>
        <w:tc>
          <w:tcPr>
            <w:tcW w:type="dxa" w:w="16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Counter</w:t>
            </w:r>
          </w:p>
        </w:tc>
        <w:tc>
          <w:tcPr>
            <w:tcW w:type="dxa" w:w="528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sz w:val="20"/>
                <w:szCs w:val="20"/>
              </w:rPr>
              <w:t xml:space="preserve">90 days' written notice. Early termination fee of 50% of remaining year's fees in Years 1–3; no ETF in Years 4–5.</w:t>
            </w:r>
          </w:p>
        </w:tc>
      </w:tr>
    </w:tbl>
    <w:p>
      <w:pPr>
        <w:pStyle w:val="Heading2"/>
        <w:spacing w:after="140" w:before="280"/>
      </w:pPr>
      <w:r>
        <w:rPr>
          <w:color w:val="0B2545"/>
        </w:rPr>
        <w:t xml:space="preserve">5.1 The three positions we cannot move</w:t>
      </w:r>
    </w:p>
    <w:p>
      <w:pPr>
        <w:spacing w:after="120" w:line="300"/>
      </w:pPr>
      <w:r>
        <w:t xml:space="preserve">In the spirit of giving Acme our honest answer up front, three of the above are not negotiating positions — they are structural:</w:t>
      </w:r>
    </w:p>
    <w:p>
      <w:pPr>
        <w:pStyle w:val="ListParagraph"/>
        <w:numPr>
          <w:ilvl w:val="0"/>
          <w:numId w:val="2"/>
        </w:numPr>
        <w:spacing w:after="80" w:line="280"/>
      </w:pPr>
      <w:r>
        <w:rPr>
          <w:b/>
          <w:bCs/>
        </w:rPr>
        <w:t xml:space="preserve">Liability cap. </w:t>
      </w:r>
      <w:r>
        <w:t xml:space="preserve">Uncapped breach liability voids cyber insurance entirely. No insurer will underwrite the cover behind this contract without a cap. This is a hard constraint, not a posture.</w:t>
      </w:r>
    </w:p>
    <w:p>
      <w:pPr>
        <w:pStyle w:val="ListParagraph"/>
        <w:numPr>
          <w:ilvl w:val="0"/>
          <w:numId w:val="2"/>
        </w:numPr>
        <w:spacing w:after="80" w:line="280"/>
      </w:pPr>
      <w:r>
        <w:rPr>
          <w:b/>
          <w:bCs/>
        </w:rPr>
        <w:t xml:space="preserve">IP retention. </w:t>
      </w:r>
      <w:r>
        <w:t xml:space="preserve">Full IP assignment of custom work would compromise our ability to develop reusable platform components for any other customer. We have refused this clause in larger contracts (Stark Industries, $1.1M annual) and the licence-back model has stood.</w:t>
      </w:r>
    </w:p>
    <w:p>
      <w:pPr>
        <w:pStyle w:val="ListParagraph"/>
        <w:numPr>
          <w:ilvl w:val="0"/>
          <w:numId w:val="2"/>
        </w:numPr>
        <w:spacing w:after="80" w:line="280"/>
      </w:pPr>
      <w:r>
        <w:rPr>
          <w:b/>
          <w:bCs/>
        </w:rPr>
        <w:t xml:space="preserve">Immediate termination on any SLA miss. </w:t>
      </w:r>
      <w:r>
        <w:t xml:space="preserve">A single transient incident creating a right to immediately terminate a 5-year, $3.58M contract with full month refund is asymmetric to a degree no enterprise vendor will accept. We propose a sustained-failure standard instead.</w:t>
      </w:r>
    </w:p>
    <w:p>
      <w:r>
        <w:br w:type="page"/>
      </w:r>
    </w:p>
    <w:p>
      <w:pPr>
        <w:pStyle w:val="Heading1"/>
        <w:pBdr>
          <w:bottom w:val="single" w:color="13837A" w:sz="8" w:space="2"/>
        </w:pBdr>
        <w:spacing w:after="180" w:before="360"/>
      </w:pPr>
      <w:r>
        <w:rPr>
          <w:color w:val="0B2545"/>
        </w:rPr>
        <w:t xml:space="preserve">6. Implementation plan</w:t>
      </w:r>
    </w:p>
    <w:p>
      <w:pPr>
        <w:spacing w:after="120" w:line="300"/>
      </w:pPr>
      <w:r>
        <w:t xml:space="preserve">Acme's profile (multi-region, 30+ batch sources, 40K-device streaming, Teradata cutover) maps to our "very large multi-source" delivery baseline of 24 weeks to full production, with a Teradata migration track layered in. We commit to first production workload by Week 8 and full analyst cutover by Week 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Phase</w:t>
            </w:r>
          </w:p>
        </w:tc>
        <w:tc>
          <w:tcPr>
            <w:tcW w:type="dxa" w:w="30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Window</w:t>
            </w:r>
          </w:p>
        </w:tc>
        <w:tc>
          <w:tcPr>
            <w:tcW w:type="dxa" w:w="45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Outcome</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sz w:val="20"/>
                <w:szCs w:val="20"/>
              </w:rPr>
              <w:t xml:space="preserve">Foundation</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sz w:val="20"/>
                <w:szCs w:val="20"/>
              </w:rPr>
              <w:t xml:space="preserve">Weeks 1–8</w:t>
            </w:r>
          </w:p>
        </w:tc>
        <w:tc>
          <w:tcPr>
            <w:tcW w:type="dxa" w:w="4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sz w:val="20"/>
                <w:szCs w:val="20"/>
              </w:rPr>
              <w:t xml:space="preserve">Azure multi-region infrastructure live, EU residency configured, Delta lakehouse baseline, first 5–8 batch connectors, Power BI connectivity validated</w:t>
            </w:r>
          </w:p>
        </w:tc>
      </w:tr>
      <w:tr>
        <w:tc>
          <w:tcPr>
            <w:tcW w:type="dxa" w:w="18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sz w:val="20"/>
                <w:szCs w:val="20"/>
              </w:rPr>
              <w:t xml:space="preserve">Streaming onboarding</w:t>
            </w:r>
          </w:p>
        </w:tc>
        <w:tc>
          <w:tcPr>
            <w:tcW w:type="dxa" w:w="30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sz w:val="20"/>
                <w:szCs w:val="20"/>
              </w:rPr>
              <w:t xml:space="preserve">Weeks 9–24</w:t>
            </w:r>
          </w:p>
        </w:tc>
        <w:tc>
          <w:tcPr>
            <w:tcW w:type="dxa" w:w="456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sz w:val="20"/>
                <w:szCs w:val="20"/>
              </w:rPr>
              <w:t xml:space="preserve">Kafka/IoT ingest pipeline for 40K-device fleet, CDC from Teradata, remaining batch sources in waves</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sz w:val="20"/>
                <w:szCs w:val="20"/>
              </w:rPr>
              <w:t xml:space="preserve">Teradata migration</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sz w:val="20"/>
                <w:szCs w:val="20"/>
              </w:rPr>
              <w:t xml:space="preserve">Weeks 25–40</w:t>
            </w:r>
          </w:p>
        </w:tc>
        <w:tc>
          <w:tcPr>
            <w:tcW w:type="dxa" w:w="4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sz w:val="20"/>
                <w:szCs w:val="20"/>
              </w:rPr>
              <w:t xml:space="preserve">Schema migration, historical backfill, validation against source, analyst workload cutover</w:t>
            </w:r>
          </w:p>
        </w:tc>
      </w:tr>
      <w:tr>
        <w:tc>
          <w:tcPr>
            <w:tcW w:type="dxa" w:w="18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sz w:val="20"/>
                <w:szCs w:val="20"/>
              </w:rPr>
              <w:t xml:space="preserve">ML foundation</w:t>
            </w:r>
          </w:p>
        </w:tc>
        <w:tc>
          <w:tcPr>
            <w:tcW w:type="dxa" w:w="30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sz w:val="20"/>
                <w:szCs w:val="20"/>
              </w:rPr>
              <w:t xml:space="preserve">Weeks 40–52</w:t>
            </w:r>
          </w:p>
        </w:tc>
        <w:tc>
          <w:tcPr>
            <w:tcW w:type="dxa" w:w="456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sz w:val="20"/>
                <w:szCs w:val="20"/>
              </w:rPr>
              <w:t xml:space="preserve">Feature store, model registry, predictive-maintenance scaffold ready for activation</w:t>
            </w:r>
          </w:p>
        </w:tc>
      </w:tr>
      <w:tr>
        <w:tc>
          <w:tcPr>
            <w:tcW w:type="dxa" w:w="1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sz w:val="20"/>
                <w:szCs w:val="20"/>
              </w:rPr>
              <w:t xml:space="preserve">Decommission gate</w:t>
            </w:r>
          </w:p>
        </w:tc>
        <w:tc>
          <w:tcPr>
            <w:tcW w:type="dxa" w:w="30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sz w:val="20"/>
                <w:szCs w:val="20"/>
              </w:rPr>
              <w:t xml:space="preserve">2026–2027</w:t>
            </w:r>
          </w:p>
        </w:tc>
        <w:tc>
          <w:tcPr>
            <w:tcW w:type="dxa" w:w="45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sz w:val="20"/>
                <w:szCs w:val="20"/>
              </w:rPr>
              <w:t xml:space="preserve">Teradata sunset, performance tuning, operational handoff to Acme team</w:t>
            </w:r>
          </w:p>
        </w:tc>
      </w:tr>
    </w:tbl>
    <w:p>
      <w:pPr>
        <w:pStyle w:val="Heading2"/>
        <w:spacing w:after="140" w:before="280"/>
      </w:pPr>
      <w:r>
        <w:rPr>
          <w:color w:val="0B2545"/>
        </w:rPr>
        <w:t xml:space="preserve">6.1 Delivery model</w:t>
      </w:r>
    </w:p>
    <w:p>
      <w:pPr>
        <w:pStyle w:val="ListParagraph"/>
        <w:numPr>
          <w:ilvl w:val="0"/>
          <w:numId w:val="2"/>
        </w:numPr>
        <w:spacing w:after="80" w:line="280"/>
      </w:pPr>
      <w:r>
        <w:t xml:space="preserve">Dedicated delivery squad: technical lead, two platform engineers, one data engineer, one solution architect, one customer success manager.</w:t>
      </w:r>
    </w:p>
    <w:p>
      <w:pPr>
        <w:pStyle w:val="ListParagraph"/>
        <w:numPr>
          <w:ilvl w:val="0"/>
          <w:numId w:val="2"/>
        </w:numPr>
        <w:spacing w:after="80" w:line="280"/>
      </w:pPr>
      <w:r>
        <w:t xml:space="preserve">Acme-side commitment: a counterpart technical lead, source-system SMEs available on demand, and a designated executive sponsor (Marcus Webb, per the RFP, recommended).</w:t>
      </w:r>
    </w:p>
    <w:p>
      <w:pPr>
        <w:pStyle w:val="ListParagraph"/>
        <w:numPr>
          <w:ilvl w:val="0"/>
          <w:numId w:val="2"/>
        </w:numPr>
        <w:spacing w:after="80" w:line="280"/>
      </w:pPr>
      <w:r>
        <w:t xml:space="preserve">Cadence: weekly engineering stand-up, fortnightly steering committee, monthly executive review.</w:t>
      </w:r>
    </w:p>
    <w:p>
      <w:pPr>
        <w:pStyle w:val="ListParagraph"/>
        <w:numPr>
          <w:ilvl w:val="0"/>
          <w:numId w:val="2"/>
        </w:numPr>
        <w:spacing w:after="80" w:line="280"/>
      </w:pPr>
      <w:r>
        <w:t xml:space="preserve">Tooling: shared Azure DevOps board, shared incident channel, joint runbook in the Acme tenancy.</w:t>
      </w:r>
    </w:p>
    <w:p>
      <w:r>
        <w:br w:type="page"/>
      </w:r>
    </w:p>
    <w:p>
      <w:pPr>
        <w:pStyle w:val="Heading1"/>
        <w:pBdr>
          <w:bottom w:val="single" w:color="13837A" w:sz="8" w:space="2"/>
        </w:pBdr>
        <w:spacing w:after="180" w:before="360"/>
      </w:pPr>
      <w:r>
        <w:rPr>
          <w:color w:val="0B2545"/>
        </w:rPr>
        <w:t xml:space="preserve">7. Risks and how we mitigate them</w:t>
      </w:r>
    </w:p>
    <w:p>
      <w:pPr>
        <w:spacing w:after="120" w:line="300"/>
      </w:pPr>
      <w:r>
        <w:t xml:space="preserve">Every transformation of this scale carries risk. The table below is the honest list and our mitigation. We have not omitted risks we believe are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Risk</w:t>
            </w:r>
          </w:p>
        </w:tc>
        <w:tc>
          <w:tcPr>
            <w:tcW w:type="dxa" w:w="120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Severity</w:t>
            </w:r>
          </w:p>
        </w:tc>
        <w:tc>
          <w:tcPr>
            <w:tcW w:type="dxa" w:w="5360"/>
            <w:tcBorders>
              <w:top w:val="single" w:color="CCCCCC" w:sz="6"/>
              <w:left w:val="single" w:color="CCCCCC" w:sz="6"/>
              <w:bottom w:val="single" w:color="CCCCCC" w:sz="6"/>
              <w:right w:val="single" w:color="CCCCCC" w:sz="6"/>
            </w:tcBorders>
            <w:shd w:fill="0B2545" w:val="clear"/>
            <w:tcMar>
              <w:top w:type="dxa" w:w="100"/>
              <w:left w:type="dxa" w:w="140"/>
              <w:bottom w:type="dxa" w:w="100"/>
              <w:right w:type="dxa" w:w="140"/>
            </w:tcMar>
          </w:tcPr>
          <w:p>
            <w:r>
              <w:rPr>
                <w:b/>
                <w:bCs/>
                <w:color w:val="FFFFFF"/>
                <w:sz w:val="22"/>
                <w:szCs w:val="22"/>
              </w:rPr>
              <w:t xml:space="preserve">Mitigation</w:t>
            </w:r>
          </w:p>
        </w:tc>
      </w:tr>
      <w:tr>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color w:val="000000"/>
                <w:sz w:val="20"/>
                <w:szCs w:val="20"/>
              </w:rPr>
              <w:t xml:space="preserve">99.99% SLA exposure</w:t>
            </w:r>
          </w:p>
        </w:tc>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color w:val="E07A5F"/>
                <w:sz w:val="20"/>
                <w:szCs w:val="20"/>
              </w:rPr>
              <w:t xml:space="preserve">High</w:t>
            </w:r>
          </w:p>
        </w:tc>
        <w:tc>
          <w:tcPr>
            <w:tcW w:type="dxa" w:w="5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color w:val="000000"/>
                <w:sz w:val="20"/>
                <w:szCs w:val="20"/>
              </w:rPr>
              <w:t xml:space="preserve">Active-active multi-region architecture priced into the proposal (+$100K/yr). Tiered remedy: service credits up to 30% of monthly fees; termination right only after ≥3 SLA misses in a rolling 12 months.</w:t>
            </w:r>
          </w:p>
        </w:tc>
      </w:tr>
      <w:tr>
        <w:tc>
          <w:tcPr>
            <w:tcW w:type="dxa" w:w="28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color w:val="000000"/>
                <w:sz w:val="20"/>
                <w:szCs w:val="20"/>
              </w:rPr>
              <w:t xml:space="preserve">Teradata migration complexity</w:t>
            </w:r>
          </w:p>
        </w:tc>
        <w:tc>
          <w:tcPr>
            <w:tcW w:type="dxa" w:w="12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color w:val="B8860B"/>
                <w:sz w:val="20"/>
                <w:szCs w:val="20"/>
              </w:rPr>
              <w:t xml:space="preserve">Medium</w:t>
            </w:r>
          </w:p>
        </w:tc>
        <w:tc>
          <w:tcPr>
            <w:tcW w:type="dxa" w:w="536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color w:val="000000"/>
                <w:sz w:val="20"/>
                <w:szCs w:val="20"/>
              </w:rPr>
              <w:t xml:space="preserve">Phased cutover across Weeks 25–40 with parallel-run validation. Dedicated migration squad with proven Teradata connector library.</w:t>
            </w:r>
          </w:p>
        </w:tc>
      </w:tr>
      <w:tr>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color w:val="000000"/>
                <w:sz w:val="20"/>
                <w:szCs w:val="20"/>
              </w:rPr>
              <w:t xml:space="preserve">IoT ingest at peak load</w:t>
            </w:r>
          </w:p>
        </w:tc>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color w:val="13837A"/>
                <w:sz w:val="20"/>
                <w:szCs w:val="20"/>
              </w:rPr>
              <w:t xml:space="preserve">Low</w:t>
            </w:r>
          </w:p>
        </w:tc>
        <w:tc>
          <w:tcPr>
            <w:tcW w:type="dxa" w:w="5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color w:val="000000"/>
                <w:sz w:val="20"/>
                <w:szCs w:val="20"/>
              </w:rPr>
              <w:t xml:space="preserve">Production-validated to 250K events/sec — 3× Acme's stated peak. Load-test gate at end of Foundation phase.</w:t>
            </w:r>
          </w:p>
        </w:tc>
      </w:tr>
      <w:tr>
        <w:tc>
          <w:tcPr>
            <w:tcW w:type="dxa" w:w="28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color w:val="000000"/>
                <w:sz w:val="20"/>
                <w:szCs w:val="20"/>
              </w:rPr>
              <w:t xml:space="preserve">Power BI refresh latency at 600 seats</w:t>
            </w:r>
          </w:p>
        </w:tc>
        <w:tc>
          <w:tcPr>
            <w:tcW w:type="dxa" w:w="12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color w:val="13837A"/>
                <w:sz w:val="20"/>
                <w:szCs w:val="20"/>
              </w:rPr>
              <w:t xml:space="preserve">Low</w:t>
            </w:r>
          </w:p>
        </w:tc>
        <w:tc>
          <w:tcPr>
            <w:tcW w:type="dxa" w:w="536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color w:val="000000"/>
                <w:sz w:val="20"/>
                <w:szCs w:val="20"/>
              </w:rPr>
              <w:t xml:space="preserve">DirectQuery adapter eliminates extract refresh cycles; aggregation layer tuned during Foundation.</w:t>
            </w:r>
          </w:p>
        </w:tc>
      </w:tr>
      <w:tr>
        <w:tc>
          <w:tcPr>
            <w:tcW w:type="dxa" w:w="28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color w:val="000000"/>
                <w:sz w:val="20"/>
                <w:szCs w:val="20"/>
              </w:rPr>
              <w:t xml:space="preserve">Subprocessor management</w:t>
            </w:r>
          </w:p>
        </w:tc>
        <w:tc>
          <w:tcPr>
            <w:tcW w:type="dxa" w:w="120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bCs/>
                <w:color w:val="13837A"/>
                <w:sz w:val="20"/>
                <w:szCs w:val="20"/>
              </w:rPr>
              <w:t xml:space="preserve">Low</w:t>
            </w:r>
          </w:p>
        </w:tc>
        <w:tc>
          <w:tcPr>
            <w:tcW w:type="dxa" w:w="5360"/>
            <w:tcBorders>
              <w:top w:val="single" w:color="CCCCCC" w:sz="6"/>
              <w:left w:val="single" w:color="CCCCCC" w:sz="6"/>
              <w:bottom w:val="single" w:color="CCCCCC" w:sz="6"/>
              <w:right w:val="single" w:color="CCCCCC" w:sz="6"/>
            </w:tcBorders>
            <w:shd w:fill="FFFFFF" w:val="clear"/>
            <w:tcMar>
              <w:top w:type="dxa" w:w="100"/>
              <w:left w:type="dxa" w:w="140"/>
              <w:bottom w:type="dxa" w:w="100"/>
              <w:right w:type="dxa" w:w="140"/>
            </w:tcMar>
          </w:tcPr>
          <w:p>
            <w:pPr>
              <w:spacing w:after="0" w:line="260"/>
            </w:pPr>
            <w:r>
              <w:rPr>
                <w:b w:val="false"/>
                <w:bCs w:val="false"/>
                <w:color w:val="000000"/>
                <w:sz w:val="20"/>
                <w:szCs w:val="20"/>
              </w:rPr>
              <w:t xml:space="preserve">Public subprocessor register; 30-day notice on additions; Acme right to object on reasonable grounds.</w:t>
            </w:r>
          </w:p>
        </w:tc>
      </w:tr>
      <w:tr>
        <w:tc>
          <w:tcPr>
            <w:tcW w:type="dxa" w:w="28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color w:val="000000"/>
                <w:sz w:val="20"/>
                <w:szCs w:val="20"/>
              </w:rPr>
              <w:t xml:space="preserve">Predictive-maintenance ML activation</w:t>
            </w:r>
          </w:p>
        </w:tc>
        <w:tc>
          <w:tcPr>
            <w:tcW w:type="dxa" w:w="120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bCs/>
                <w:color w:val="13837A"/>
                <w:sz w:val="20"/>
                <w:szCs w:val="20"/>
              </w:rPr>
              <w:t xml:space="preserve">Low</w:t>
            </w:r>
          </w:p>
        </w:tc>
        <w:tc>
          <w:tcPr>
            <w:tcW w:type="dxa" w:w="5360"/>
            <w:tcBorders>
              <w:top w:val="single" w:color="CCCCCC" w:sz="6"/>
              <w:left w:val="single" w:color="CCCCCC" w:sz="6"/>
              <w:bottom w:val="single" w:color="CCCCCC" w:sz="6"/>
              <w:right w:val="single" w:color="CCCCCC" w:sz="6"/>
            </w:tcBorders>
            <w:shd w:fill="F4F1EC" w:val="clear"/>
            <w:tcMar>
              <w:top w:type="dxa" w:w="100"/>
              <w:left w:type="dxa" w:w="140"/>
              <w:bottom w:type="dxa" w:w="100"/>
              <w:right w:type="dxa" w:w="140"/>
            </w:tcMar>
          </w:tcPr>
          <w:p>
            <w:pPr>
              <w:spacing w:after="0" w:line="260"/>
            </w:pPr>
            <w:r>
              <w:rPr>
                <w:b w:val="false"/>
                <w:bCs w:val="false"/>
                <w:color w:val="000000"/>
                <w:sz w:val="20"/>
                <w:szCs w:val="20"/>
              </w:rPr>
              <w:t xml:space="preserve">Scaffolded in Year 1; activated without separate procurement. Feature store and model registry ready when Acme is.</w:t>
            </w:r>
          </w:p>
        </w:tc>
      </w:tr>
    </w:tbl>
    <w:p>
      <w:pPr>
        <w:pStyle w:val="Heading2"/>
        <w:spacing w:after="140" w:before="280"/>
      </w:pPr>
      <w:r>
        <w:rPr>
          <w:color w:val="0B2545"/>
        </w:rPr>
        <w:t xml:space="preserve">7.1 What could still derail this deal</w:t>
      </w:r>
    </w:p>
    <w:p>
      <w:pPr>
        <w:spacing w:after="120" w:line="300"/>
      </w:pPr>
      <w:r>
        <w:t xml:space="preserve">Two scenarios outside the standard risk register warrant attention:</w:t>
      </w:r>
    </w:p>
    <w:p>
      <w:pPr>
        <w:pStyle w:val="ListParagraph"/>
        <w:numPr>
          <w:ilvl w:val="0"/>
          <w:numId w:val="2"/>
        </w:numPr>
        <w:spacing w:after="80" w:line="280"/>
      </w:pPr>
      <w:r>
        <w:rPr>
          <w:b/>
          <w:bCs/>
        </w:rPr>
        <w:t xml:space="preserve">A Microsoft Fabric "free with E5" reframe late in the cycle. </w:t>
      </w:r>
      <w:r>
        <w:t xml:space="preserve">Acme's relationship with Microsoft will likely produce a final-week pitch positioning Fabric as a sunk cost. We recommend Acme require any such pitch to be benchmarked against a 3-year TCO at Acme's real workload, including stabilisation and BI refresh costs — not list-vs-list.</w:t>
      </w:r>
    </w:p>
    <w:p>
      <w:pPr>
        <w:pStyle w:val="ListParagraph"/>
        <w:numPr>
          <w:ilvl w:val="0"/>
          <w:numId w:val="2"/>
        </w:numPr>
        <w:spacing w:after="80" w:line="280"/>
      </w:pPr>
      <w:r>
        <w:rPr>
          <w:b/>
          <w:bCs/>
        </w:rPr>
        <w:t xml:space="preserve">A pricing race to the bottom. </w:t>
      </w:r>
      <w:r>
        <w:t xml:space="preserve">If the deal becomes purely a discount comparison, the winner will likely be the vendor with the lowest cost of capital, not the best platform fit. We will not chase Databricks below our walk-away of 28%, and we believe Acme should not optimise the decision on headline discount alone.</w:t>
      </w:r>
    </w:p>
    <w:p>
      <w:r>
        <w:br w:type="page"/>
      </w:r>
    </w:p>
    <w:p>
      <w:pPr>
        <w:pStyle w:val="Heading1"/>
        <w:pBdr>
          <w:bottom w:val="single" w:color="13837A" w:sz="8" w:space="2"/>
        </w:pBdr>
        <w:spacing w:after="180" w:before="360"/>
      </w:pPr>
      <w:r>
        <w:rPr>
          <w:color w:val="0B2545"/>
        </w:rPr>
        <w:t xml:space="preserve">8. Recommended next steps</w:t>
      </w:r>
    </w:p>
    <w:p>
      <w:pPr>
        <w:spacing w:after="120" w:line="300"/>
      </w:pPr>
      <w:r>
        <w:t xml:space="preserve">Acme's stated award date is 30 June 2026. To hit that, we propose the following sequence:</w:t>
      </w:r>
    </w:p>
    <w:p>
      <w:pPr>
        <w:pStyle w:val="ListParagraph"/>
        <w:numPr>
          <w:ilvl w:val="0"/>
          <w:numId w:val="2"/>
        </w:numPr>
        <w:spacing w:after="80" w:line="280"/>
      </w:pPr>
      <w:r>
        <w:rPr>
          <w:b/>
          <w:bCs/>
        </w:rPr>
        <w:t xml:space="preserve">Within 5 business days. </w:t>
      </w:r>
      <w:r>
        <w:t xml:space="preserve">Clarification call with Sarah Chen and Marcus Webb to walk through commercial and contractual positions.</w:t>
      </w:r>
    </w:p>
    <w:p>
      <w:pPr>
        <w:pStyle w:val="ListParagraph"/>
        <w:numPr>
          <w:ilvl w:val="0"/>
          <w:numId w:val="2"/>
        </w:numPr>
        <w:spacing w:after="80" w:line="280"/>
      </w:pPr>
      <w:r>
        <w:rPr>
          <w:b/>
          <w:bCs/>
        </w:rPr>
        <w:t xml:space="preserve">Within 10 business days. </w:t>
      </w:r>
      <w:r>
        <w:t xml:space="preserve">Technical deep-dive with the Acme data platform team and our solution architect. Live demo against an Acme telemetry sample.</w:t>
      </w:r>
    </w:p>
    <w:p>
      <w:pPr>
        <w:pStyle w:val="ListParagraph"/>
        <w:numPr>
          <w:ilvl w:val="0"/>
          <w:numId w:val="2"/>
        </w:numPr>
        <w:spacing w:after="80" w:line="280"/>
      </w:pPr>
      <w:r>
        <w:rPr>
          <w:b/>
          <w:bCs/>
        </w:rPr>
        <w:t xml:space="preserve">Within 15 business days. </w:t>
      </w:r>
      <w:r>
        <w:t xml:space="preserve">Three customer references provided, including Initech Sensors (industrial IoT) as primary reference and Globex Manufacturing (industrial, 3-year track record). Stark Industries available on request under NDA.</w:t>
      </w:r>
    </w:p>
    <w:p>
      <w:pPr>
        <w:pStyle w:val="ListParagraph"/>
        <w:numPr>
          <w:ilvl w:val="0"/>
          <w:numId w:val="2"/>
        </w:numPr>
        <w:spacing w:after="80" w:line="280"/>
      </w:pPr>
      <w:r>
        <w:rPr>
          <w:b/>
          <w:bCs/>
        </w:rPr>
        <w:t xml:space="preserve">Within 20 business days. </w:t>
      </w:r>
      <w:r>
        <w:t xml:space="preserve">Redlined master agreement exchanged. Target signature by 25 June, ahead of award date.</w:t>
      </w:r>
    </w:p>
    <w:p>
      <w:pPr>
        <w:spacing w:after="120" w:line="300"/>
      </w:pPr>
      <w:r>
        <w:t xml:space="preserve">BTS-Synthetic is ready to execute. We have run this implementation pattern five times in the last 36 months. We have the engineering bench, the reference base, and the conviction to move at Acme's pace.</w:t>
      </w:r>
    </w:p>
    <w:p>
      <w:pPr>
        <w:spacing w:after="60" w:before="360"/>
      </w:pPr>
      <w:r>
        <w:rPr>
          <w:b/>
          <w:bCs/>
          <w:color w:val="13837A"/>
          <w:sz w:val="22"/>
          <w:szCs w:val="22"/>
        </w:rPr>
        <w:t xml:space="preserve">Primary contact for this response</w:t>
      </w:r>
    </w:p>
    <w:p>
      <w:pPr>
        <w:spacing w:after="120" w:line="300"/>
      </w:pPr>
      <w:r>
        <w:t xml:space="preserve">BTS-Synthetic Enterprise Deal Desk</w:t>
      </w:r>
    </w:p>
    <w:p>
      <w:pPr>
        <w:spacing w:after="120" w:line="300"/>
      </w:pPr>
      <w:r>
        <w:t xml:space="preserve">dealdesk@bts-synthetic.example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6B6B"/>
        <w:sz w:val="18"/>
        <w:szCs w:val="18"/>
      </w:rPr>
      <w:t xml:space="preserve">Confidential — Acme Corp and BTS-Synthetic</w:t>
    </w:r>
    <w:r>
      <w:rPr>
        <w:color w:val="6B6B6B"/>
        <w:sz w:val="18"/>
        <w:szCs w:val="18"/>
      </w:rPr>
      <w:t xml:space="preserve">	Page </w:t>
    </w:r>
    <w:r>
      <w:rPr>
        <w:color w:val="6B6B6B"/>
        <w:sz w:val="18"/>
        <w:szCs w:val="18"/>
      </w:rPr>
      <w:fldChar w:fldCharType="begin"/>
      <w:instrText xml:space="preserve">PAGE</w:instrText>
      <w:fldChar w:fldCharType="separate"/>
      <w:fldChar w:fldCharType="end"/>
    </w:r>
    <w:r>
      <w:rPr>
        <w:color w:val="6B6B6B"/>
        <w:sz w:val="18"/>
        <w:szCs w:val="18"/>
      </w:rPr>
      <w:t xml:space="preserve"> of </w:t>
    </w:r>
    <w:r>
      <w:rPr>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3837A" w:sz="6" w:space="4"/>
      </w:pBdr>
      <w:tabs>
        <w:tab w:val="right" w:pos="9360"/>
      </w:tabs>
      <w:spacing w:after="0"/>
    </w:pPr>
    <w:r>
      <w:rPr>
        <w:b/>
        <w:bCs/>
        <w:color w:val="13837A"/>
        <w:spacing w:val="40"/>
        <w:sz w:val="18"/>
        <w:szCs w:val="18"/>
      </w:rPr>
      <w:t xml:space="preserve">BTS-Synthetic</w:t>
    </w:r>
    <w:r>
      <w:rPr>
        <w:color w:val="6B6B6B"/>
        <w:sz w:val="18"/>
        <w:szCs w:val="18"/>
      </w:rPr>
      <w:t xml:space="preserve">	Acme Corp — RFP Response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2545"/>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B2545"/>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1383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Acme Corp RFP Response</dc:title>
  <dc:creator>BTS-Synthetic Deal Desk</dc:creator>
  <dc:description>Enterprise Data Platform proposal</dc:description>
  <cp:lastModifiedBy>Un-named</cp:lastModifiedBy>
  <cp:revision>1</cp:revision>
  <dcterms:created xsi:type="dcterms:W3CDTF">2026-05-27T13:40:52.953Z</dcterms:created>
  <dcterms:modified xsi:type="dcterms:W3CDTF">2026-05-27T13:40:52.953Z</dcterms:modified>
</cp:coreProperties>
</file>

<file path=docProps/custom.xml><?xml version="1.0" encoding="utf-8"?>
<Properties xmlns="http://schemas.openxmlformats.org/officeDocument/2006/custom-properties" xmlns:vt="http://schemas.openxmlformats.org/officeDocument/2006/docPropsVTypes"/>
</file>