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E2761"/>
          <w:spacing w:val="40"/>
          <w:sz w:val="18"/>
          <w:szCs w:val="18"/>
        </w:rPr>
        <w:t xml:space="preserve">SIA PARTNERS  |  BTS-SYNTHETIC</w:t>
      </w:r>
    </w:p>
    <w:p>
      <w:pPr>
        <w:pBdr>
          <w:bottom w:val="single" w:color="C0392B" w:sz="18" w:space="6"/>
        </w:pBdr>
        <w:spacing w:after="60"/>
      </w:pPr>
      <w:r>
        <w:rPr>
          <w:rFonts w:ascii="Calibri" w:cs="Calibri" w:eastAsia="Calibri" w:hAnsi="Calibri"/>
          <w:b/>
          <w:bCs/>
          <w:color w:val="1E2761"/>
          <w:sz w:val="48"/>
          <w:szCs w:val="48"/>
        </w:rPr>
        <w:t xml:space="preserve">Proposal Response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4A4A"/>
          <w:sz w:val="36"/>
          <w:szCs w:val="36"/>
        </w:rPr>
        <w:t xml:space="preserve">Acme Corp — Enterprise Data Platform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Sarah Chen, VP Procurement  •  Marcus Webb, Chief Data Officer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Submitted: </w:t>
      </w:r>
      <w:r>
        <w:rPr>
          <w:rFonts w:ascii="Calibri" w:cs="Calibri" w:eastAsia="Calibri" w:hAnsi="Calibri"/>
          <w:sz w:val="22"/>
          <w:szCs w:val="22"/>
        </w:rPr>
        <w:t xml:space="preserve">26 May 2026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Response to: </w:t>
      </w:r>
      <w:r>
        <w:rPr>
          <w:rFonts w:ascii="Calibri" w:cs="Calibri" w:eastAsia="Calibri" w:hAnsi="Calibri"/>
          <w:sz w:val="22"/>
          <w:szCs w:val="22"/>
        </w:rPr>
        <w:t xml:space="preserve">RFP issued 12 May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 target: </w:t>
      </w:r>
      <w:r>
        <w:rPr>
          <w:rFonts w:ascii="Calibri" w:cs="Calibri" w:eastAsia="Calibri" w:hAnsi="Calibri"/>
          <w:sz w:val="22"/>
          <w:szCs w:val="22"/>
        </w:rPr>
        <w:t xml:space="preserve">30 June 2026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    Confidential — for Acme Corp evaluation use only</w:t>
      </w:r>
    </w:p>
    <w:p>
      <w:r>
        <w:br w:type="page"/>
      </w:r>
    </w:p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Acme can replace a fragmented warehouse estate with a single, future-proof lakehouse on Azure — without disrupting 600 Power BI users, without locking into a single cloud, and without paying for a vendor's bundling strategy. We will close that transformation on a 5-year TCO ~20% below the most credible alternative.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Three things you need to know: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 are the only vendor in this evaluation with a </w:t>
      </w:r>
      <w:r>
        <w:rPr>
          <w:rFonts w:ascii="Calibri" w:cs="Calibri" w:eastAsia="Calibri" w:hAnsi="Calibri"/>
          <w:sz w:val="22"/>
          <w:szCs w:val="22"/>
        </w:rPr>
        <w:t xml:space="preserve">dedicated Power BI DirectQuery adapter, EU per-table residency pinning, and a tested 250K events/sec streaming engine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engineered for exactly Acme's profile, not retrofitted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Commercial proposal: </w:t>
      </w:r>
      <w:r>
        <w:rPr>
          <w:rFonts w:ascii="Calibri" w:cs="Calibri" w:eastAsia="Calibri" w:hAnsi="Calibri"/>
          <w:sz w:val="22"/>
          <w:szCs w:val="22"/>
        </w:rPr>
        <w:t xml:space="preserve">USD 640,000 in Year 1 (22% off list), 3-year committed term, 5-year fixed envelope with a CPI-capped step-up in years 4–5.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5-year TCO ≈ USD 3.15M</w:t>
      </w:r>
      <w:r>
        <w:rPr>
          <w:rFonts w:ascii="Calibri" w:cs="Calibri" w:eastAsia="Calibri" w:hAnsi="Calibri"/>
          <w:sz w:val="22"/>
          <w:szCs w:val="22"/>
        </w:rPr>
        <w:t xml:space="preserve"> — materially below our projection of Databricks or Snowflake at the same workload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 will counter </w:t>
      </w:r>
      <w:r>
        <w:rPr>
          <w:rFonts w:ascii="Calibri" w:cs="Calibri" w:eastAsia="Calibri" w:hAnsi="Calibri"/>
          <w:sz w:val="22"/>
          <w:szCs w:val="22"/>
        </w:rPr>
        <w:t xml:space="preserve">five contractual positions in §4 of the RFP (liability, audit, SLA remedy, IP ownership, subprocessor consent) with industry-standard, insurable equivalents. None of these are negotiating posture — they are the conditions under which any responsible vendor can deliver. Each has a defined fallback.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Recommended next step: a joint commercial and legal working session in the week of 1 June, ahead of award.</w:t>
      </w:r>
    </w:p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1. Our Understanding of Acme's Need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Acme is a $1.4B global manufacturer with 7,200 employees, 18-country operations, and a strategic mandate to retire on-premises Teradata by 2027 while standing up a single platform for IoT, analytics, and ML. The RFP makes the constraints explicit: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Microsoft-aligned. Azure primary cloud, 600 Power BI users today — native PBI integration is non-negotiable.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IoT-heavy. ~40,000 devices in the field, 80,000 events/second peak ingest, 12 TB/month growth on a 280 TB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Regulated. EU customer data must remain in EU. Primary EU, secondary US East. GDPR-aligned controls expected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by design. Lakehouse architecture, Parquet/Delta/Iceberg — Acme wants portability, not lock-in.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Operationally lean. 150 data engineers, 600 analysts/executives, planned predictive-maintenance ML on top of the same platform.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What this means for you: Acme is not buying a warehouse. Acme is buying the substrate for the next decade of industrial data — IoT, analytics, ML, and AI on a single foundation. Every section of this proposal is calibrated to that outcome.</w:t>
      </w:r>
    </w:p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2. Why BTS-Synthetic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Acme's evaluation will weigh us against three named competitors: Microsoft Fabric, Databricks, Snowflake. We have won this exact configuration before — Initech Sensors (industrial/IoT, similar profile, chose us over Microsoft Fabric) and Stark Industries (multi-region sovereign deployment over Databricks, Snowflake, and Fabric in a single competitive process).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Technical fit — what we cover today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the capability matrix attached to this submission, BTS-Synthetic delivers FULL fit against every workload, scale, and capability requirement in §2 of the RFP, with two qualifications detailed in §6 (Risks). Highlights: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Native Power BI DirectQuery adapter — our most mature BI integration, certified, scale-tested beyond 600 seats. Zero disruption for Acme's existing analyst population.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streaming engine tested to 250,000 events/second on single-region deployments. Acme's 80,000 events/second peak runs at ~32% of single-region headroom.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Lakehouse-native Delta, Iceberg, and Parquet support — open formats, BYO Azure Blob storage, compute decoupled from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Per-table EU data residency enforcement. Acme's EU tables pin to EU regions. Multi-region active-active across EU primary and US East secondary.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80+ batch connectors plus Debezium-compatible CDC — the 30+ source ETL fan-in is a known pattern we have run repeatedly.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Unified governance: Unity-style catalog, row- and column-level security with attribute-based access control, full audit logs to SIEM, built-in PII detection and masking.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ML-ready: model registry, feature store, native model serving with autoscaling, bring-your-own-model from HuggingFace, Anthropic, or OpenAI. Acme's predictive-maintenance roadmap lands on the same platform.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Competitive positioning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Our read of the competitive landscape and how we beat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Their angle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we beat them</w:t>
            </w:r>
          </w:p>
        </w:tc>
      </w:tr>
      <w:tr>
        <w:tc>
          <w:tcPr>
            <w:tcW w:type="dxa" w:w="216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Fabric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'Free with E5' bundling, Azure-native gravity, incumbent relationship.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Azure-only lock-in is a 5-year liability. Their real-time SLA story is immature; we already beat them on this exact pattern at Initech Sensors.</w:t>
            </w:r>
          </w:p>
        </w:tc>
      </w:tr>
      <w:tr>
        <w:tc>
          <w:tcPr>
            <w:tcW w:type="dxa" w:w="216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Databricks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Aggressive discount play (40%+ seen at comparable deals), engineering-native lakehouse, MLflow.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Spark-tier latency does not scale to 600 interactive Power BI users. Their compute pricing inflates at Acme's 12 TB/month growth — our fixed envelope protects the trajectory.</w:t>
            </w:r>
          </w:p>
        </w:tc>
      </w:tr>
      <w:tr>
        <w:tc>
          <w:tcPr>
            <w:tcW w:type="dxa" w:w="216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Snowflake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SQL-first maturity, brand trust, broad enterprise reference base.</w:t>
            </w:r>
          </w:p>
        </w:tc>
        <w:tc>
          <w:tcPr>
            <w:tcW w:type="dxa" w:w="36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designed for IoT streaming at 80K events/second. Iceberg support is recent. We deliver real-time as a first-class workload, not an add-on.</w:t>
            </w:r>
          </w:p>
        </w:tc>
      </w:tr>
    </w:tbl>
    <w:p>
      <w:pPr>
        <w:spacing w:after="120" w:before="18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Bottom line: Fabric ties you to Azure. Databricks's TCO breaks at scale. Snowflake was not built for IoT. We deliver enterprise maturity, real-time at your volume, native Power BI for your 600 analysts, EU sovereignty, and zero vendor lock-in — with a precedent for exactly this profile.</w:t>
      </w:r>
    </w:p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3. Commercial Proposal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Our commercial position is calibrated to two facts: (a) Acme is a strategic, multi-year enterprise engagement, and (b) the RFP specifies several commercial terms that — taken literally — would render any responsible vendor uninsurable or unprofitable over a 5-year horizon. We have priced and structured accordingly.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Headline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platform — list price (annual)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720,000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99.99% SLA + multi-region active-active add-on (annual)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Combined list (annual)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820,000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Strategic discount (22%)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(180,000)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Year 1 net price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640,000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Years 2–3 (fixed)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640,000 / year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Years 4–5 (CPI-capped at 3%)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659,200 → 678,976 / year</w:t>
            </w:r>
          </w:p>
        </w:tc>
      </w:tr>
      <w:tr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5-year TCO (envelope)</w:t>
            </w:r>
          </w:p>
        </w:tc>
        <w:tc>
          <w:tcPr>
            <w:tcW w:type="dxa" w:w="46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≈ 3.26M (capped) / 3.15M (fixed equivalent)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sz w:val="22"/>
          <w:szCs w:val="22"/>
        </w:rPr>
        <w:t xml:space="preserve">Projected fully-loaded TCO for Databricks or Snowflake at the same workload profile, once compute, egress, and EU residency infrastructure are included, falls in the $3.8M–$4.2M range over five years. Our proposal lands ~20% below that.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Commercial term — our position and the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RFP ask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position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Minimum 35% off list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22% off list (Year 1), discounted to 25% available with reference-customer agreement and quarterly billing.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35% sits below the floor at which any vendor in our tier can sustain a 5-year fixed envelope. We unlock further value through TCO, not headline discount.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Annual fees Net 90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fees, billed in advance, Net 60. Net 90 available with quarterly milestone billing.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90 on annual prepay materially erodes the discount we are offering. Net 60 is our Fortune 500 standard concession.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Pricing fixed 5 years, no escalators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for the initial 3-year term. Years 4–5 subject to CPI-capped escalator, maximum 3% per annum.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3% cap is below our standard 5% cap. It gives Acme genuine price certainty while remaining commercially defensible across a five-year horizon.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Most Favoured Nation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Declined as written. We offer a narrowly-scoped functional-equivalent benchmark for the initial term, excluding government, startup, and promotional pricing, sunsetting at year 3.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MFN as drafted is uncommercial and unenforceable in practice. Our pricing integrity protects all customers — Acme included.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30-day no-cause termination, no fees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90-day no-cause termination notice. No early-termination penalty. Annual prepaid fees non-refundable for the paid period.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days is the minimum window in which an enterprise platform can be safely handed back without service disruption to 600 BI users.</w:t>
            </w:r>
          </w:p>
        </w:tc>
      </w:tr>
    </w:tbl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4. Contract Approach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approach this engagement as a long-term data platform partner, not a commodity vendor. Our contract position is set to remain commercially insurable, operationally credible, and consistent with how we have closed comparable enterprise deals — including Stark Industries, where we resolved an analogous IP-assignment position with a perpetual license-back that the customer accepted.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RFP raises five contractual positions in §4 that we must reshape. None are negotiating posture. Each has a defined fallback we are prepared to discuss in a joint legal working session ahead of award.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RFP clause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Counter-position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§4.1 Uncapped liability + reputational damages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liability capped at 24 months of fees. Gross negligence and wilful misconduct carved out. Reputational and consequential damages excluded.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36-month cap with CFO and Legal sign-off; reputational damages remain excluded.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§4.2 Unannounced audits 4×/year, vendor cost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audit per year with 30 days' written notice. Additional audit (one) at Acme's cost. Mutually agreed third-party auditor under NDA.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audits per year with 14 days' notice; second audit at Acme's cost. No unannounced access in any scenario.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§4.3 99.99% uptime, immediate termination + full refund on any miss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99.99% SLA committed (delivered via multi-region active-active). Remedy: tiered service credits up to 30% of affected month's fees. Termination only after three consecutive months of material breach.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 99.99% commitment; expand credit ladder to 50% of affected month's fees at sustained breach.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§4.4 All work product vests in Acme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Stark Industries precedent: BTS-Synthetic retains platform and derivative IP. Acme receives a perpetual, irrevocable, royalty-free licence to all custom deliverables.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Licence-back with right of first negotiation should we ever commercialise Acme-specific work product.</w:t>
            </w:r>
          </w:p>
        </w:tc>
      </w:tr>
      <w:tr>
        <w:tc>
          <w:tcPr>
            <w:tcW w:type="dxa" w:w="240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§4.5 Subprocessor consent — sole discretion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subprocessor list maintained. 30 days' advance notice of additions. Acme may object on reasonable grounds; we substitute or — if unable — offer termination for convenience without penalty.</w:t>
            </w:r>
          </w:p>
        </w:tc>
        <w:tc>
          <w:tcPr>
            <w:tcW w:type="dxa" w:w="348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days' notice with 10-day objection window. Termination-for-convenience fallback unchanged.</w:t>
            </w:r>
          </w:p>
        </w:tc>
      </w:tr>
    </w:tbl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5. Risks and Mitigations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are direct about where this engagement carries risk. Each item below is paired with the mitigation we are committing to in this proposal.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Streaming query latency (~250 ms – 1 s) may not meet sub-100 ms requirement if Acme later defines one.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Acme's RFP specifies throughput (80K events/sec), not latency. We propose a 2-week discovery sprint pre-contract to confirm the latency profile; if sub-100 ms dashboards are required for any subset, we will scope a complementary pattern. We have headroom up to 250K events/sec — throughput is not the bottleneck.</w:t>
            </w:r>
          </w:p>
        </w:tc>
      </w:tr>
      <w:t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Teradata decommission timeline alignment with Acme's 2027 deadline.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Phased migration playbook: Phase 1 (8 weeks) — Azure multi-region lakehouse stood up, first clean batch sources, Power BI pilot for ~50 analysts. Phase 2 (through Week 24) — full streaming, 30+ ETL connectors, self-service prep, EU residency validated. Phase 3 — Teradata workload migration in waves through 2026–2027. Acme's 2027 runway gives comfortable buffer.</w:t>
            </w:r>
          </w:p>
        </w:tc>
      </w:tr>
      <w:t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Geospatial workloads — only basic native support.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stated requirement in the RFP. If IoT territory analytics surface in discovery, we integrate Azure Maps or a complementary spatial layer. We will scope explicitly in Week 1–2.</w:t>
            </w:r>
          </w:p>
        </w:tc>
      </w:tr>
      <w:t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 Apps connector — not available.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integration is mature and certified; Power Apps is not. If workflow automation into the Power Platform is in scope, we surface this in discovery and design a connector pattern. Not a data-platform capability gap.</w:t>
            </w:r>
          </w:p>
        </w:tc>
      </w:tr>
      <w:t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Competitive pricing pressure — Databricks is known to discount aggressively (40%+ observed).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Our case is built on 5-year TCO, not headline discount. We will run a side-by-side TCO model with Acme procurement that loads Databricks at its likely compute-and-egress profile for 80K events/sec sustained — the discount gap closes and reverses inside 24 months.</w:t>
            </w:r>
          </w:p>
        </w:tc>
      </w:tr>
      <w:tr>
        <w:tc>
          <w:tcPr>
            <w:tcW w:type="dxa" w:w="312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Contractual blockers — five §4 clauses must be reshaped before signature.</w:t>
            </w:r>
          </w:p>
        </w:tc>
        <w:tc>
          <w:tcPr>
            <w:tcW w:type="dxa" w:w="6240"/>
            <w:tcBorders>
              <w:top w:val="single" w:color="B3BFD1" w:sz="4"/>
              <w:left w:val="single" w:color="B3BFD1" w:sz="4"/>
              <w:bottom w:val="single" w:color="B3BFD1" w:sz="4"/>
              <w:right w:val="single" w:color="B3BFD1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blocker (see §4 of this response) has a counter-position and a fallback already defined. We propose a joint Legal working session in the week of 1 June to close the structural points and unblock award.</w:t>
            </w:r>
          </w:p>
        </w:tc>
      </w:tr>
    </w:tbl>
    <w:p>
      <w:pPr>
        <w:pStyle w:val="Heading1"/>
        <w:pBdr>
          <w:bottom w:val="single" w:color="1E2761" w:sz="12" w:space="4"/>
        </w:pBdr>
        <w:spacing w:after="20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6.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Joint commercial and legal working session — week of 1 June 2026 — to close the five §4 contract positions and align on pricing structure (90 minutes, both sides at the 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Two-week pre-contract technical discovery — confirm streaming latency profile, geospatial scope, Power Apps requirement (if any), and EU residency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Reference call with Initech Sensors — comparable industrial/IoT customer who selected us over Microsoft Fabric on real-time SLA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Capability Matrix attachment — submitted under separate cover.</w:t>
      </w:r>
    </w:p>
    <w:p>
      <w:pPr>
        <w:spacing w:after="120" w:before="20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Award decision target: 30 June 2026. Contract signature within two weeks of award. Phase 1 platform stand-up begins Week 1 post-signature; first production workload live by Week 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761" w:sz="6" w:space="2"/>
      </w:pBdr>
      <w:tabs>
        <w:tab w:val="right" w:pos="9026"/>
      </w:tabs>
      <w:jc w:val="left"/>
    </w:pPr>
    <w:r>
      <w:rPr>
        <w:rFonts w:ascii="Calibri" w:cs="Calibri" w:eastAsia="Calibri" w:hAnsi="Calibri"/>
        <w:i/>
        <w:iCs/>
        <w:color w:val="4A4A4A"/>
        <w:sz w:val="16"/>
        <w:szCs w:val="16"/>
      </w:rPr>
      <w:t xml:space="preserve">Confidential — for Acme Corp evaluation use only</w:t>
    </w:r>
    <w:r>
      <w:rPr>
        <w:rFonts w:ascii="Calibri" w:cs="Calibri" w:eastAsia="Calibri" w:hAnsi="Calibri"/>
        <w:color w:val="4A4A4A"/>
        <w:sz w:val="16"/>
        <w:szCs w:val="16"/>
      </w:rPr>
      <w:t xml:space="preserve">	Page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6"/>
        <w:szCs w:val="16"/>
      </w:rPr>
      <w:t xml:space="preserve"> of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2"/>
      </w:pBdr>
      <w:tabs>
        <w:tab w:val="right" w:pos="9026"/>
      </w:tabs>
      <w:jc w:val="left"/>
    </w:pPr>
    <w:r>
      <w:rPr>
        <w:rFonts w:ascii="Calibri" w:cs="Calibri" w:eastAsia="Calibri" w:hAnsi="Calibri"/>
        <w:b/>
        <w:bCs/>
        <w:color w:val="1E2761"/>
        <w:spacing w:val="30"/>
        <w:sz w:val="16"/>
        <w:szCs w:val="16"/>
      </w:rPr>
      <w:t xml:space="preserve">SIA PARTNERS  |  BTS-SYNTHETIC</w:t>
    </w:r>
    <w:r>
      <w:rPr>
        <w:rFonts w:ascii="Calibri" w:cs="Calibri" w:eastAsia="Calibri" w:hAnsi="Calibri"/>
        <w:color w:val="4A4A4A"/>
        <w:sz w:val="16"/>
        <w:szCs w:val="16"/>
      </w:rPr>
      <w:t xml:space="preserve">	Acme Corp — Enterprise Data Platform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Corp — Enterprise Data Platform Proposal Response</dc:title>
  <dc:creator>Sia Partners — BTS-Synthetic Deal Desk</dc:creator>
  <dc:description>Proposal response to Acme Corp RFP issued 12 May 2026.</dc:description>
  <cp:lastModifiedBy>Un-named</cp:lastModifiedBy>
  <cp:revision>1</cp:revision>
  <dcterms:created xsi:type="dcterms:W3CDTF">2026-05-27T14:06:07.296Z</dcterms:created>
  <dcterms:modified xsi:type="dcterms:W3CDTF">2026-05-27T14:06:07.296Z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