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1. Work through each instruction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2. Identify additional logic we’ll need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 What control signals do we need? Which stages will need which ones?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 Do we want hierarchical or flat design? -- I think hierarchical is a good idea; it may be slightly more complicated, but i think it is worth it for breaking up the work and keeping it looking nice &amp; organized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Fetch: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Fetch instruction from instruction cache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Predict pc (PC+=2)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Decode: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Set the control word.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following happen in parallel: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-Identify registers, grab operands from register file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-Issue logic of whether instr is ready for execute; if not, send STALL signal to stall decode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&amp; fetch stages (so that both don’t accept new bits before we can move on)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Calculate BR/JMP target address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(this allows single-cycle BR misprediction penalty)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Compute BR condition AFTER registers are read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-IF BR taken or JMP, assign calc’d target to PC predictor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Control Signals: STALL signal, signals that indicate BR/JMP just glide through next stages?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Execute: For clarity, split instructions into two latency classes: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1. Register-Register Operation: (single cycle) Adds &amp; Logical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Feed arguments to the ALU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2. Memory Reference: (2 cycles) -- all memory loads obv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ALU adds register &amp; offset to calc address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Control Signals: ALU signals like choosing operators (immediate val) and ALUop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Memory Access: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1. Those single cycles just forward the result through this stage to the next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2. Mem Refs do their memory thing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special things with ldb/stb done here?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Control Signals: Memory control signals set here or in execute? prob 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Write Back: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Write results back to register file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QUESTIONS: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 do we make the mem signals work? Should we just use a simple delay to make sure that they don’t go high until the MAR has selected the right address?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 much of our old MAR/MDR model is necessary to retain? Is it ok to just pass a dCache an input signal if it’s already stored in the interstage register?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LDI/STI, should we use a flipflop to keep track of our “state” since we can’t use an fsm?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Citation:</w:t>
      </w:r>
    </w:p>
    <w:p w:rsidP="00000000" w:rsidRPr="00000000" w:rsidR="00000000" w:rsidDel="00000000" w:rsidRDefault="00000000">
      <w:pPr>
        <w:ind w:left="0" w:firstLine="0"/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http://en.wikipedia.org/wiki/Classic_RISC_pipeline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Citation for idea for citation: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Genevieve LaBelle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.wikipedia.org/wiki/Classic_RISC_pipelin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Design.docx</dc:title>
</cp:coreProperties>
</file>