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71CE" w:rsidRDefault="00B371CE" w:rsidP="00B371CE">
      <w:bookmarkStart w:id="0" w:name="_GoBack"/>
      <w:r>
        <w:t>Europe feedstocks and petrochemicals</w:t>
      </w:r>
    </w:p>
    <w:bookmarkEnd w:id="0"/>
    <w:p w:rsidR="00B371CE" w:rsidRDefault="00B371CE" w:rsidP="00B371CE"/>
    <w:p w:rsidR="00B371CE" w:rsidRDefault="00B371CE" w:rsidP="00B371CE">
      <w:r>
        <w:t>Crude: Prices fell on the back of mounting concerns about fuel demand, which has been negatively impacted by rising coronavirus cases across the globe. The possible return of Libyan exports added to the bearish sentiment.</w:t>
      </w:r>
    </w:p>
    <w:p w:rsidR="00B371CE" w:rsidRDefault="00B371CE" w:rsidP="00B371CE"/>
    <w:p w:rsidR="00B371CE" w:rsidRDefault="00B371CE" w:rsidP="00B371CE">
      <w:r>
        <w:t>Naphtha: Sentiment was mixed in the European open-spec spot market, with fluctuations in upstream crude futures and slowing gasoline blending demand.</w:t>
      </w:r>
    </w:p>
    <w:p w:rsidR="00B371CE" w:rsidRDefault="00B371CE" w:rsidP="00B371CE"/>
    <w:p w:rsidR="00B371CE" w:rsidRDefault="00B371CE" w:rsidP="00B371CE">
      <w:r>
        <w:t>Ethylene: European supply has lengthened month on month, as downstream production issues have outweighed various but mainly short-lived cracker trips.</w:t>
      </w:r>
    </w:p>
    <w:p w:rsidR="00B371CE" w:rsidRDefault="00B371CE" w:rsidP="00B371CE"/>
    <w:p w:rsidR="00B371CE" w:rsidRDefault="00B371CE" w:rsidP="00B371CE">
      <w:r>
        <w:t>Propylene: European supply and demand fundamentals remain quite mixed depending on grade and location and this is reflected in a wide range of spot price indications.</w:t>
      </w:r>
    </w:p>
    <w:p w:rsidR="00B371CE" w:rsidRDefault="00B371CE" w:rsidP="00B371CE"/>
    <w:p w:rsidR="00B371CE" w:rsidRDefault="00B371CE" w:rsidP="00B371CE">
      <w:r>
        <w:t>Butadiene (BD): The European contract reference price for October rose by 10% on the back of firmer supply and demand fundamentals which offset a small month-on-month decline in feedstock naphtha values.</w:t>
      </w:r>
    </w:p>
    <w:p w:rsidR="00B371CE" w:rsidRDefault="00B371CE" w:rsidP="00B371CE"/>
    <w:p w:rsidR="00B371CE" w:rsidRDefault="00B371CE" w:rsidP="00B371CE">
      <w:r>
        <w:t>Market sentiment is fairly buoyant on the back of price gains in Asia, but supply issues will be resolved and demand still has a long way to go before it returns to pre-pandemic levels.</w:t>
      </w:r>
    </w:p>
    <w:p w:rsidR="00B371CE" w:rsidRDefault="00B371CE" w:rsidP="00B371CE"/>
    <w:p w:rsidR="00B371CE" w:rsidRDefault="00B371CE" w:rsidP="00B371CE">
      <w:r>
        <w:t>Benzene: The five-day October Europecontract price window opened on Wednesday, with deals done in the low $400s/tonne. Globally, the market is long.</w:t>
      </w:r>
    </w:p>
    <w:p w:rsidR="00B371CE" w:rsidRDefault="00B371CE" w:rsidP="00B371CE"/>
    <w:p w:rsidR="00B371CE" w:rsidRDefault="00B371CE" w:rsidP="00B371CE">
      <w:r>
        <w:t>Styrene: The European market is well supplied, with turnarounds running according to plan into late November. Demand is steady but remains below pre-pandemic levels. The October contract price is due on 1 October.</w:t>
      </w:r>
    </w:p>
    <w:p w:rsidR="00B371CE" w:rsidRDefault="00B371CE" w:rsidP="00B371CE"/>
    <w:p w:rsidR="00B371CE" w:rsidRDefault="00B371CE" w:rsidP="00B371CE">
      <w:r>
        <w:t>Paraxylene (PX): Negotiations for the September contract reference price are ongoing. Spot activity has been limited recently, with players preferring to focus on contracted volumes</w:t>
      </w:r>
    </w:p>
    <w:p w:rsidR="00B371CE" w:rsidRDefault="00B371CE" w:rsidP="00B371CE"/>
    <w:p w:rsidR="00237056" w:rsidRDefault="00B371CE" w:rsidP="00B371CE">
      <w:r>
        <w:t>Orthoxylene (OX): The European market is balanced, with rising demand particularly from the automotive sector. Spot activity remains limited.</w:t>
      </w:r>
    </w:p>
    <w:sectPr w:rsidR="002370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BF3"/>
    <w:rsid w:val="00237056"/>
    <w:rsid w:val="00AF4BF3"/>
    <w:rsid w:val="00B371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270</Words>
  <Characters>1544</Characters>
  <Application>Microsoft Office Word</Application>
  <DocSecurity>0</DocSecurity>
  <Lines>12</Lines>
  <Paragraphs>3</Paragraphs>
  <ScaleCrop>false</ScaleCrop>
  <Company>微软中国</Company>
  <LinksUpToDate>false</LinksUpToDate>
  <CharactersWithSpaces>1811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个人用户</dc:creator>
  <cp:keywords/>
  <dc:description/>
  <cp:lastModifiedBy>个人用户</cp:lastModifiedBy>
  <cp:revision>3</cp:revision>
  <dcterms:created xsi:type="dcterms:W3CDTF">2020-09-28T06:15:00Z</dcterms:created>
  <dcterms:modified xsi:type="dcterms:W3CDTF">2020-09-28T06:15:00Z</dcterms:modified>
</cp:coreProperties>
</file>