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F4E79"/>
          <w:sz w:val="48"/>
          <w:szCs w:val="48"/>
        </w:rPr>
        <w:t xml:space="preserve">BUDFIN PRD v1.0</w:t>
      </w:r>
    </w:p>
    <w:p>
      <w:pPr>
        <w:spacing w:after="100"/>
        <w:jc w:val="center"/>
      </w:pPr>
      <w:r>
        <w:rPr>
          <w:rFonts w:ascii="Arial" w:cs="Arial" w:eastAsia="Arial" w:hAnsi="Arial"/>
          <w:color w:val="2E75B6"/>
          <w:sz w:val="32"/>
          <w:szCs w:val="32"/>
        </w:rPr>
        <w:t xml:space="preserve">Comprehensive Edge Case Analysis</w:t>
      </w:r>
    </w:p>
    <w:p>
      <w:pPr>
        <w:spacing w:after="400"/>
        <w:jc w:val="center"/>
      </w:pPr>
      <w:r>
        <w:rPr>
          <w:rFonts w:ascii="Arial" w:cs="Arial" w:eastAsia="Arial" w:hAnsi="Arial"/>
          <w:color w:val="808080"/>
          <w:sz w:val="22"/>
          <w:szCs w:val="22"/>
        </w:rPr>
        <w:t xml:space="preserve">Multi-Persona Review: Product Owner · Solutions Architect · Devil’s Advocate</w:t>
      </w:r>
    </w:p>
    <w:p>
      <w:pPr>
        <w:pBdr>
          <w:bottom w:val="single" w:color="1F4E79" w:sz="6" w:space="1"/>
        </w:pBdr>
        <w:spacing w:after="100"/>
        <w:jc w:val="center"/>
      </w:pPr>
    </w:p>
    <w:p>
      <w:pPr>
        <w:spacing w:before="400"/>
        <w:jc w:val="center"/>
      </w:pPr>
      <w:r>
        <w:rPr>
          <w:rFonts w:ascii="Arial" w:cs="Arial" w:eastAsia="Arial" w:hAnsi="Arial"/>
          <w:color w:val="404040"/>
          <w:sz w:val="24"/>
          <w:szCs w:val="24"/>
        </w:rPr>
        <w:t xml:space="preserve">École Française Internationale de Riyad (EFIR)</w:t>
      </w:r>
    </w:p>
    <w:p>
      <w:pPr>
        <w:jc w:val="center"/>
      </w:pPr>
      <w:r>
        <w:rPr>
          <w:rFonts w:ascii="Arial" w:cs="Arial" w:eastAsia="Arial" w:hAnsi="Arial"/>
          <w:color w:val="808080"/>
          <w:sz w:val="20"/>
          <w:szCs w:val="20"/>
        </w:rPr>
        <w:t xml:space="preserve">Prepared for: Office of the Chief Accounting Officer</w:t>
      </w:r>
    </w:p>
    <w:p>
      <w:pPr>
        <w:jc w:val="center"/>
      </w:pPr>
      <w:r>
        <w:rPr>
          <w:rFonts w:ascii="Arial" w:cs="Arial" w:eastAsia="Arial" w:hAnsi="Arial"/>
          <w:color w:val="808080"/>
          <w:sz w:val="20"/>
          <w:szCs w:val="20"/>
        </w:rPr>
        <w:t xml:space="preserve">Date: March 3, 2026  |  Document Status: Internal — Restricted</w:t>
      </w:r>
    </w:p>
    <w:p>
      <w:r>
        <w:br w:type="page"/>
      </w:r>
    </w:p>
    <w:p>
      <w:pPr>
        <w:pStyle w:val="Heading1"/>
      </w:pPr>
      <w:r>
        <w:t xml:space="preserve">1. Executive Summary</w:t>
      </w:r>
    </w:p>
    <w:p>
      <w:pPr>
        <w:spacing w:after="120"/>
      </w:pPr>
      <w:r>
        <w:t xml:space="preserve">This document presents a consolidated edge case analysis of the BudFin PRD v1.0, conducted through three independent review lenses. The analysis identifies </w:t>
      </w:r>
      <w:r>
        <w:rPr>
          <w:b/>
          <w:bCs/>
        </w:rPr>
        <w:t xml:space="preserve">102 unique edge cases</w:t>
      </w:r>
      <w:r>
        <w:t xml:space="preserve"> (35 Product Owner, 35 Solutions Architect, 32 Devil’s Advocate) that could impact financial accuracy, user experience, regulatory compliance, and system integrity if unaddressed before development begins.</w:t>
      </w:r>
    </w:p>
    <w:p>
      <w:pPr>
        <w:spacing w:after="120"/>
      </w:pPr>
      <w:r>
        <w:t xml:space="preserve">The three personas converge on several critical themes: </w:t>
      </w:r>
      <w:r>
        <w:rPr>
          <w:b/>
          <w:bCs/>
        </w:rPr>
        <w:t xml:space="preserve">numerical precision and rounding propagation</w:t>
      </w:r>
      <w:r>
        <w:t xml:space="preserve"> (the +/-1 SAR tolerance is endangered by IEEE 754 floating-point arithmetic across 168 employees × 12 months × 45+ fee combinations), </w:t>
      </w:r>
      <w:r>
        <w:rPr>
          <w:b/>
          <w:bCs/>
        </w:rPr>
        <w:t xml:space="preserve">regulatory compliance gaps</w:t>
      </w:r>
      <w:r>
        <w:t xml:space="preserve"> (IFRS 15, ZATCA VAT/Zakat, Saudi Labor Law EoS), and </w:t>
      </w:r>
      <w:r>
        <w:rPr>
          <w:b/>
          <w:bCs/>
        </w:rPr>
        <w:t xml:space="preserve">timeline risk</w:t>
      </w:r>
      <w:r>
        <w:t xml:space="preserve"> (the 24-week schedule is compressed by 4–6 weeks for the scope and accuracy requirements).</w:t>
      </w:r>
    </w:p>
    <w:p>
      <w:pPr>
        <w:pStyle w:val="Heading2"/>
      </w:pPr>
      <w:r>
        <w:t xml:space="preserve">Severity Distribution (Cross-Persona)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5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Product Owner</w:t>
            </w:r>
          </w:p>
        </w:tc>
        <w:tc>
          <w:tcPr>
            <w:tcW w:type="dxa" w:w="25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Architect</w:t>
            </w:r>
          </w:p>
        </w:tc>
        <w:tc>
          <w:tcPr>
            <w:tcW w:type="dxa" w:w="25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Devil’s Advocate</w:t>
            </w:r>
          </w:p>
        </w:tc>
      </w:tr>
      <w:tr>
        <w:tc>
          <w:tcPr>
            <w:tcW w:type="dxa" w:w="252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Showstopper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252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252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r>
      <w:tr>
        <w:tc>
          <w:tcPr>
            <w:tcW w:type="dxa" w:w="2520"/>
            <w:tcBorders>
              <w:top w:val="single" w:color="CCCCCC" w:sz="1"/>
              <w:left w:val="single" w:color="CCCCCC" w:sz="1"/>
              <w:bottom w:val="single" w:color="CCCCCC" w:sz="1"/>
              <w:right w:val="single" w:color="CCCCCC" w:sz="1"/>
            </w:tcBorders>
            <w:shd w:fill="FFC00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Medium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r>
      <w:tr>
        <w:tc>
          <w:tcPr>
            <w:tcW w:type="dxa" w:w="2520"/>
            <w:tcBorders>
              <w:top w:val="single" w:color="CCCCCC" w:sz="1"/>
              <w:left w:val="single" w:color="CCCCCC" w:sz="1"/>
              <w:bottom w:val="single" w:color="CCCCCC" w:sz="1"/>
              <w:right w:val="single" w:color="CCCCCC" w:sz="1"/>
            </w:tcBorders>
            <w:shd w:fill="70AD4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r>
    </w:tbl>
    <w:p>
      <w:r>
        <w:br w:type="page"/>
      </w:r>
    </w:p>
    <w:p>
      <w:pPr>
        <w:pStyle w:val="Heading1"/>
      </w:pPr>
      <w:r>
        <w:t xml:space="preserve">2. Cross-Persona Convergence: Top 10 Themes</w:t>
      </w:r>
    </w:p>
    <w:p>
      <w:pPr>
        <w:spacing w:after="100"/>
      </w:pPr>
      <w:r>
        <w:t xml:space="preserve">Where all three personas independently flagged the same risk area, the finding carries the highest confidence. The following themes emerged across all three reviews:</w:t>
      </w:r>
    </w:p>
    <w:p>
      <w:pPr>
        <w:pStyle w:val="Heading3"/>
      </w:pPr>
      <w:r>
        <w:t xml:space="preserve">Theme 1: Numerical Precision &amp; Rounding (PO-013, SA-001, DA-004/010/011)</w:t>
      </w:r>
    </w:p>
    <w:p>
      <w:pPr>
        <w:spacing w:after="100"/>
      </w:pPr>
      <w:r>
        <w:rPr>
          <w:b/>
          <w:bCs/>
        </w:rPr>
        <w:t xml:space="preserve">Convergence: </w:t>
      </w:r>
      <w:r>
        <w:t xml:space="preserve">All three personas identify IEEE 754 floating-point arithmetic as the single largest technical risk. The +/-1 SAR tolerance requirement across 168 employees × 12 months × 45+ fee combinations creates ~900K calculation points where rounding errors compound. The Architect estimates 15–25% of line items will breach tolerance without Decimal arithmetic. The Devil’s Advocate adds that the PRD doesn’t define whether intermediate steps or only final results are rounded, creating acceptance testing ambiguity.</w:t>
      </w:r>
    </w:p>
    <w:p>
      <w:pPr>
        <w:spacing w:after="100"/>
      </w:pPr>
      <w:r>
        <w:rPr>
          <w:b/>
          <w:bCs/>
        </w:rPr>
        <w:t xml:space="preserve">Resolution: </w:t>
      </w:r>
      <w:r>
        <w:t xml:space="preserve">Use Decimal.js (or equivalent) for all financial calculations. Store monetary values as scaled integers in the database. Round only at presentation layer. Define explicit rounding rules per calculation type (ROUND-HALF-UP, 2 decimal places). Create a tiered tolerance: +/-1 SAR detail, +/-10 SAR subtotal, +/-50 SAR P&amp;L level.</w:t>
      </w:r>
    </w:p>
    <w:p>
      <w:pPr>
        <w:pStyle w:val="Heading3"/>
      </w:pPr>
      <w:r>
        <w:t xml:space="preserve">Theme 2: Regulatory Compliance Gaps (PO-030, SA-N/A, DA-017/018/019/020)</w:t>
      </w:r>
    </w:p>
    <w:p>
      <w:pPr>
        <w:spacing w:after="100"/>
      </w:pPr>
      <w:r>
        <w:rPr>
          <w:b/>
          <w:bCs/>
        </w:rPr>
        <w:t xml:space="preserve">Convergence: </w:t>
      </w:r>
      <w:r>
        <w:t xml:space="preserve">The Product Owner flags revenue recognition policy as undefined. The Devil’s Advocate systematically identifies four regulatory blind spots: (1) ZATCA VAT exemption documentation for Saudi nationals, (2) Zakat calculation is simplified vs. actual ZATCA rules, (3) EoS formula may not reflect 2025–2026 Labor Law amendments, (4) IFRS 15 five-step model not fully implemented. Combined, these represent the highest compliance risk for external audit.</w:t>
      </w:r>
    </w:p>
    <w:p>
      <w:pPr>
        <w:spacing w:after="100"/>
      </w:pPr>
      <w:r>
        <w:rPr>
          <w:b/>
          <w:bCs/>
        </w:rPr>
        <w:t xml:space="preserve">Resolution: </w:t>
      </w:r>
      <w:r>
        <w:t xml:space="preserve">Engage external auditors (AEFE/local) before Phase 2 to validate IFRS 15 approach, VAT treatment, and Zakat methodology. Externalize all statutory rates in a Regulatory Configuration table with effective-date tracking. Add a Nationality Verified flag to enrollment records for ZATCA audit trail. Document the Zakat methodology as a simplifying assumption with auditor sign-off.</w:t>
      </w:r>
    </w:p>
    <w:p>
      <w:pPr>
        <w:pStyle w:val="Heading3"/>
      </w:pPr>
      <w:r>
        <w:t xml:space="preserve">Theme 3: Version Management Complexity (PO-007/008/021, SA-014, DA-012/026)</w:t>
      </w:r>
    </w:p>
    <w:p>
      <w:pPr>
        <w:spacing w:after="100"/>
      </w:pPr>
      <w:r>
        <w:rPr>
          <w:b/>
          <w:bCs/>
        </w:rPr>
        <w:t xml:space="preserve">Convergence: </w:t>
      </w:r>
      <w:r>
        <w:t xml:space="preserve">All three personas identify version locking/unlocking as a high-risk area. The Product Owner flags missing unlock workflows and fee grid retroactivity. The Architect identifies race conditions in concurrent lock/unlock operations. The Devil’s Advocate identifies the fundamental problem: unlocking a Board-approved budget destroys the audit trail of the original approved state unless immutable snapshots are created.</w:t>
      </w:r>
    </w:p>
    <w:p>
      <w:pPr>
        <w:spacing w:after="100"/>
      </w:pPr>
      <w:r>
        <w:rPr>
          <w:b/>
          <w:bCs/>
        </w:rPr>
        <w:t xml:space="preserve">Resolution: </w:t>
      </w:r>
      <w:r>
        <w:t xml:space="preserve">Implement immutable snapshots on version lock. Unlocking creates a new sub-version (Budget v1.1) rather than modifying the original. Require 2-person approval for unlock operations. Store snapshot totals in the audit trail for auditor comparison. Use optimistic locking with collision detection for concurrent edit scenarios.</w:t>
      </w:r>
    </w:p>
    <w:p>
      <w:pPr>
        <w:pStyle w:val="Heading3"/>
      </w:pPr>
      <w:r>
        <w:t xml:space="preserve">Theme 4: Timeline Realism (DA-005/006/007)</w:t>
      </w:r>
    </w:p>
    <w:p>
      <w:pPr>
        <w:spacing w:after="100"/>
      </w:pPr>
      <w:r>
        <w:rPr>
          <w:b/>
          <w:bCs/>
        </w:rPr>
        <w:t xml:space="preserve">Convergence: </w:t>
      </w:r>
      <w:r>
        <w:t xml:space="preserve">The Devil’s Advocate analysis is most pointed: 24 weeks is optimistic by 4–6 weeks. Phase 2 (Enrollment + Revenue, 5 weeks) must handle 45+ fee combinations, 20+ distribution methods, and match Excel within +/-1 SAR. Phase 6 (Migration + UAT, 3 weeks) is compressed for the riskiest work. The Product Owner analysis estimates +6–8 weeks from edge case remediation alone, suggesting a revised 32-week timeline.</w:t>
      </w:r>
    </w:p>
    <w:p>
      <w:pPr>
        <w:spacing w:after="100"/>
      </w:pPr>
      <w:r>
        <w:rPr>
          <w:b/>
          <w:bCs/>
        </w:rPr>
        <w:t xml:space="preserve">Resolution: </w:t>
      </w:r>
      <w:r>
        <w:t xml:space="preserve">Extend to 30–32 weeks with explicit buffers. Define three go-live options (MVP at week 20, Target at week 24, Full at week 28). Build regression test suite before Phase 2 coding starts. Start parallel-run activities in Phase 5, not Phase 6. If 24 weeks is a hard constraint, defer Scenarios module and IFRS Income Statement detail to v1.1.</w:t>
      </w:r>
    </w:p>
    <w:p>
      <w:pPr>
        <w:pStyle w:val="Heading3"/>
      </w:pPr>
      <w:r>
        <w:t xml:space="preserve">Theme 5: Data Migration Integrity (PO-003, SA-021/022/023, DA-001/027)</w:t>
      </w:r>
    </w:p>
    <w:p>
      <w:pPr>
        <w:spacing w:after="100"/>
      </w:pPr>
      <w:r>
        <w:rPr>
          <w:b/>
          <w:bCs/>
        </w:rPr>
        <w:t xml:space="preserve">Convergence: </w:t>
      </w:r>
      <w:r>
        <w:t xml:space="preserve">The Devil’s Advocate’s showstopper finding (DA-001): the Excel source model already contains a #REF! error, and unknown bugs may exist across 39 sheets. Replicating corrupted data as “faithful reproduction” is success by the wrong metric. The Architect adds migration risks from dirty data, encoding issues, and decimal/integer discrepancies. The Product Owner flags duplicate employee detection as critical.</w:t>
      </w:r>
    </w:p>
    <w:p>
      <w:pPr>
        <w:spacing w:after="100"/>
      </w:pPr>
      <w:r>
        <w:rPr>
          <w:b/>
          <w:bCs/>
        </w:rPr>
        <w:t xml:space="preserve">Resolution: </w:t>
      </w:r>
      <w:r>
        <w:t xml:space="preserve">Conduct a pre-migration audit of all four Excel workbooks: static analysis for broken references, formula tracing, and variance reconciliation against physical payroll/enrollment records. Create a Calculation Variance Log documenting known discrepancies and agreed corrections. Build 100+ regression test scenarios with independently verified outputs. Implement duplicate detection with merge/skip/rollback options during import.</w:t>
      </w:r>
    </w:p>
    <w:p>
      <w:pPr>
        <w:pStyle w:val="Heading3"/>
      </w:pPr>
      <w:r>
        <w:t xml:space="preserve">Theme 6: Academic Calendar Boundaries (PO-005/011, SA-007, DA-021)</w:t>
      </w:r>
    </w:p>
    <w:p>
      <w:pPr>
        <w:spacing w:after="100"/>
      </w:pPr>
      <w:r>
        <w:t xml:space="preserve">The dual AY1/AY2 calendar within a single fiscal year creates boundary confusion across enrollment, revenue, and staff cost calculations. The data model must key all monetary amounts by (Fiscal Year, Month, Version, Scenario) and clearly separate AY1 FY2026 from AY2 FY2026 for rollover to FY2027. HSA exclusion during Jul–Aug needs explicit per-employee-type logic.</w:t>
      </w:r>
    </w:p>
    <w:p>
      <w:pPr>
        <w:pStyle w:val="Heading3"/>
      </w:pPr>
      <w:r>
        <w:t xml:space="preserve">Theme 7: Employee Lifecycle Edge Cases (PO-004/006, SA-N/A, DA-023)</w:t>
      </w:r>
    </w:p>
    <w:p>
      <w:pPr>
        <w:spacing w:after="100"/>
      </w:pPr>
      <w:r>
        <w:t xml:space="preserve">The PRD assumes all new hires start in September. Mid-year joins, departures, sabbaticals, and nationality transitions (triggering GOSI/Ajeer switches) are unhandled. Employee Master Data needs a status timeline with effective dates, and monthly cost calculations must evaluate status per month, not assume a single Sep step-change.</w:t>
      </w:r>
    </w:p>
    <w:p>
      <w:pPr>
        <w:pStyle w:val="Heading3"/>
      </w:pPr>
      <w:r>
        <w:t xml:space="preserve">Theme 8: Scenario Calculation Integrity (PO-009, SA-008/012, DA-009)</w:t>
      </w:r>
    </w:p>
    <w:p>
      <w:pPr>
        <w:spacing w:after="100"/>
      </w:pPr>
      <w:r>
        <w:t xml:space="preserve">Scenario parameter application order matters: applying attrition before retention vs. after produces different results. Pessimistic scenarios can produce negative enrollment (must clamp to zero). Parameter propagation through enrollment → revenue → costs must be deterministic and documented.</w:t>
      </w:r>
    </w:p>
    <w:p>
      <w:pPr>
        <w:pStyle w:val="Heading3"/>
      </w:pPr>
      <w:r>
        <w:t xml:space="preserve">Theme 9: Audit Trail Scalability (SA-020/025/026/027, DA-N/A)</w:t>
      </w:r>
    </w:p>
    <w:p>
      <w:pPr>
        <w:spacing w:after="100"/>
      </w:pPr>
      <w:r>
        <w:t xml:space="preserve">Logging every field change for 168 employees × 12 months × multiple components generates 190K+ audit entries per year. Over the 7-year retention requirement, this grows to 1.3M+ entries. Bulk operations (e.g., salary augmentation for all staff) create 840+ entries simultaneously. Queries on this volume will timeout without indexing, partitioning, and an archival strategy.</w:t>
      </w:r>
    </w:p>
    <w:p>
      <w:pPr>
        <w:pStyle w:val="Heading3"/>
      </w:pPr>
      <w:r>
        <w:t xml:space="preserve">Theme 10: User Adoption &amp; Debug Support (DA-014/015/016)</w:t>
      </w:r>
    </w:p>
    <w:p>
      <w:pPr>
        <w:spacing w:after="100"/>
      </w:pPr>
      <w:r>
        <w:t xml:space="preserve">The “Excel-like keyboard navigation” requirement is underspecified. Finance users will encounter discrepancies between app and Excel during parallel run. Without a “Show Calculation” feature that displays intermediate values per revenue/cost line, analysts will spend days reconciling manually. The parallel-run strategy needs a single source of truth rule (app-primary, Excel read-only export).</w:t>
      </w:r>
    </w:p>
    <w:p>
      <w:r>
        <w:br w:type="page"/>
      </w:r>
    </w:p>
    <w:p>
      <w:pPr>
        <w:pStyle w:val="Heading1"/>
      </w:pPr>
      <w:r>
        <w:t xml:space="preserve">3. Top 30 Consolidated Findings</w:t>
      </w:r>
    </w:p>
    <w:p>
      <w:pPr>
        <w:spacing w:after="100"/>
      </w:pPr>
      <w:r>
        <w:t xml:space="preserve">The following table presents the highest-impact findings from all three personas, ranked by severity. Each finding includes the originating persona, enabling cross-reference to the detailed per-persona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680"/>
        <w:gridCol w:w="1200"/>
        <w:gridCol w:w="2300"/>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Persona</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Category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employee records break payroll calculations</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Entry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Fee grid retroactive changes create financial restatement risk</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 Lifecycle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EoS retroactive joining date causes over/under-provision</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 Lifecycle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Rounding precision not specified; fails Excel match requirement</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recognition policy undefined (IFRS 15 vs. cash basis)</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Requirement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Mid-year employee joining not covered; assumes Sep start</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Rules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Nationality transition triggers GOSI/Ajeer recalculation</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Rules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Variance analysis lacks enrollment vs. assumption attribution</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 Lifecycle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Scenario parameter sequencing (collection vs. scholarship) unclear</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Business Rules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 unlock workflow not specified</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 Lifecycle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IEEE 754 precision loss in revenue chain (15-25% of line items)</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Calculation Engine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Dirty Excel data with formula errors breaks migration</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Migration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RBAC for version locking operations undefined</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YEARFRAC implementation differs from Excel; EoS rounding cascades</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Calculation Engine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Multi-stage rounding in discount cascade (45+ fee combos)</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Calculation Engine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Scenario parameter propagation order affects results</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Calculation Engine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Orphan revenue records on enrollment deletion</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Consistency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Auto-save conflict during concurrent user edits</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Concurrency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Recalculation cascade on single enrollment change</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Architect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Bulk operations generate 840+ audit entries simultaneously</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Audit Trail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 source model already contains undetected errors</w:t>
            </w:r>
          </w:p>
        </w:tc>
        <w:tc>
          <w:tcPr>
            <w:tcW w:type="dxa" w:w="12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Showstopper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Assumptions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24-week timeline compressed for scope (need 30-32 weeks)</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Schedule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IFRS 15 five-step model not fully implemented</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Regulatory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Fiscal year boundary confusion with AY1/AY2 overlap</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Model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Regression test suite does not exist; validation is passive</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Saudi regulatory landscape may shift mid-implementation</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Regulatory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Cascading recalculations exceed +/-1 SAR tolerance across P&amp;L</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debug support for Excel-to-app discrepancies</w:t>
            </w:r>
          </w:p>
        </w:tc>
        <w:tc>
          <w:tcPr>
            <w:tcW w:type="dxa" w:w="120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EoS calculation may not reflect recent Labor Law amendments</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Regulatory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DA-027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migration imports duplicate employees; no resolution workflow</w:t>
            </w:r>
          </w:p>
        </w:tc>
        <w:tc>
          <w:tcPr>
            <w:tcW w:type="dxa" w:w="12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 Handling</w:t>
            </w:r>
          </w:p>
        </w:tc>
      </w:tr>
    </w:tbl>
    <w:p>
      <w:r>
        <w:br w:type="page"/>
      </w:r>
    </w:p>
    <w:p>
      <w:pPr>
        <w:pStyle w:val="Heading1"/>
      </w:pPr>
      <w:r>
        <w:t xml:space="preserve">4. Recommended Immediate Actions</w:t>
      </w:r>
    </w:p>
    <w:p>
      <w:pPr>
        <w:spacing w:after="80"/>
      </w:pPr>
      <w:r>
        <w:t xml:space="preserve">Based on the convergence of all three reviews, the following actions should be completed </w:t>
      </w:r>
      <w:r>
        <w:rPr>
          <w:b/>
          <w:bCs/>
        </w:rPr>
        <w:t xml:space="preserve">before Phase 1 development begins</w:t>
      </w:r>
      <w:r>
        <w:t xml:space="preserve">:</w:t>
      </w:r>
    </w:p>
    <w:p>
      <w:pPr>
        <w:pStyle w:val="ListParagraph"/>
        <w:numPr>
          <w:ilvl w:val="0"/>
          <w:numId w:val="2"/>
        </w:numPr>
        <w:spacing w:after="60"/>
      </w:pPr>
      <w:r>
        <w:rPr>
          <w:b/>
          <w:bCs/>
        </w:rPr>
        <w:t xml:space="preserve">Conduct Excel Source Audit </w:t>
      </w:r>
      <w:r>
        <w:t xml:space="preserve">— Static analysis of all 39 sheets for broken references, circular dependencies, and silent formula errors. Create a Calculation Variance Log with agreed corrections. (DA-001, Showstopper)</w:t>
      </w:r>
    </w:p>
    <w:p>
      <w:pPr>
        <w:pStyle w:val="ListParagraph"/>
        <w:numPr>
          <w:ilvl w:val="0"/>
          <w:numId w:val="2"/>
        </w:numPr>
        <w:spacing w:after="60"/>
      </w:pPr>
      <w:r>
        <w:rPr>
          <w:b/>
          <w:bCs/>
        </w:rPr>
        <w:t xml:space="preserve">Build Regression Test Suite </w:t>
      </w:r>
      <w:r>
        <w:t xml:space="preserve">— 100+ test scenarios with independently verified outputs covering revenue (50 scenarios), staff costs (20), DHG (10), P&amp;L (5). Execute after every code change to a calculation module. (DA-029, Critical)</w:t>
      </w:r>
    </w:p>
    <w:p>
      <w:pPr>
        <w:pStyle w:val="ListParagraph"/>
        <w:numPr>
          <w:ilvl w:val="0"/>
          <w:numId w:val="2"/>
        </w:numPr>
        <w:spacing w:after="60"/>
      </w:pPr>
      <w:r>
        <w:rPr>
          <w:b/>
          <w:bCs/>
        </w:rPr>
        <w:t xml:space="preserve">Engage External Auditors on IFRS 15 &amp; Regulatory Compliance </w:t>
      </w:r>
      <w:r>
        <w:t xml:space="preserve">— Have AEFE/local auditors validate revenue recognition approach, VAT treatment for Saudi nationals, Zakat methodology, and EoS compliance with current Saudi Labor Law. Sign off before Phase 2 starts. (DA-020, DA-017, DA-018, DA-019)</w:t>
      </w:r>
    </w:p>
    <w:p>
      <w:pPr>
        <w:pStyle w:val="ListParagraph"/>
        <w:numPr>
          <w:ilvl w:val="0"/>
          <w:numId w:val="2"/>
        </w:numPr>
        <w:spacing w:after="60"/>
      </w:pPr>
      <w:r>
        <w:rPr>
          <w:b/>
          <w:bCs/>
        </w:rPr>
        <w:t xml:space="preserve">Define Rounding Architecture </w:t>
      </w:r>
      <w:r>
        <w:t xml:space="preserve">— Mandate Decimal.js for all financial calculations, ROUND-HALF-UP to 2 decimal places, store as scaled integers. Define tiered tolerance: +/-1 SAR detail, +/-10 SAR subtotal, +/-50 SAR P&amp;L. (PO-013, SA-001, DA-004)</w:t>
      </w:r>
    </w:p>
    <w:p>
      <w:pPr>
        <w:pStyle w:val="ListParagraph"/>
        <w:numPr>
          <w:ilvl w:val="0"/>
          <w:numId w:val="2"/>
        </w:numPr>
        <w:spacing w:after="60"/>
      </w:pPr>
      <w:r>
        <w:rPr>
          <w:b/>
          <w:bCs/>
        </w:rPr>
        <w:t xml:space="preserve">Extend Timeline or Define MVP </w:t>
      </w:r>
      <w:r>
        <w:t xml:space="preserve">— Revise to 30–32 weeks, or define three go-live tiers (MVP/Target/Full) with explicit scope cuts. If 24 weeks is a hard constraint, defer Scenarios module and IFRS Income Statement detail. (DA-005, DA-007)</w:t>
      </w:r>
    </w:p>
    <w:p>
      <w:pPr>
        <w:pStyle w:val="ListParagraph"/>
        <w:numPr>
          <w:ilvl w:val="0"/>
          <w:numId w:val="2"/>
        </w:numPr>
        <w:spacing w:after="60"/>
      </w:pPr>
      <w:r>
        <w:rPr>
          <w:b/>
          <w:bCs/>
        </w:rPr>
        <w:t xml:space="preserve">Freeze Regulatory Assumptions </w:t>
      </w:r>
      <w:r>
        <w:t xml:space="preserve">— Lock GOSI rates (11.75%), Ajeer levies (SAR 9,500 + 160), EoS rules (0.5/1 month), and VAT rate (15%) as of March 1, 2026. Externalize all rates in a Regulatory Configuration table with effective-date tracking. (DA-002)</w:t>
      </w:r>
    </w:p>
    <w:p>
      <w:pPr>
        <w:pStyle w:val="ListParagraph"/>
        <w:numPr>
          <w:ilvl w:val="0"/>
          <w:numId w:val="2"/>
        </w:numPr>
        <w:spacing w:after="60"/>
      </w:pPr>
      <w:r>
        <w:rPr>
          <w:b/>
          <w:bCs/>
        </w:rPr>
        <w:t xml:space="preserve">Design Version Snapshot Mechanism </w:t>
      </w:r>
      <w:r>
        <w:t xml:space="preserve">— Immutable snapshots on version lock. Unlocking creates sub-versions (Budget v1.1). Two-person approval for unlock operations. Store snapshot totals in audit trail. (PO-021, DA-012, DA-026)</w:t>
      </w:r>
    </w:p>
    <w:p>
      <w:pPr>
        <w:pStyle w:val="ListParagraph"/>
        <w:numPr>
          <w:ilvl w:val="0"/>
          <w:numId w:val="2"/>
        </w:numPr>
        <w:spacing w:after="60"/>
      </w:pPr>
      <w:r>
        <w:rPr>
          <w:b/>
          <w:bCs/>
        </w:rPr>
        <w:t xml:space="preserve">Specify Employee Status Timeline </w:t>
      </w:r>
      <w:r>
        <w:t xml:space="preserve">— Extend Employee Master Data to support status history with effective dates (Active, Sabbatical, Departed). Monthly cost calculations must evaluate status per month, not assume a binary Jan–Aug/Sep–Dec split. (PO-004, DA-023)</w:t>
      </w:r>
    </w:p>
    <w:p>
      <w:r>
        <w:br w:type="page"/>
      </w:r>
    </w:p>
    <w:p>
      <w:pPr>
        <w:pStyle w:val="Heading1"/>
      </w:pPr>
      <w:r>
        <w:t xml:space="preserve">5. Decision Points Requiring Stakeholder Input</w:t>
      </w:r>
    </w:p>
    <w:p>
      <w:pPr>
        <w:spacing w:after="100"/>
      </w:pPr>
      <w:r>
        <w:t xml:space="preserve">The following items require explicit business decisions from the CAO/Finance Director before specifications can be finalized: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000"/>
        <w:gridCol w:w="228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Options</w:t>
            </w:r>
          </w:p>
        </w:tc>
        <w:tc>
          <w:tcPr>
            <w:tcW w:type="dxa" w:w="2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 If Deferred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Recognition Policy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IFRS 15 accrual at service delivery vs. cash basis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Blocks Phase 2 revenue engine design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Rounding Specification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Round per-step vs. final-only; ROUND-HALF-UP vs. bankers rounding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Blocks all calculation engine work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 Commitment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 weeks (with scope cuts) vs. 30-32 weeks (full scope)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Drives entire project plan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Capacity Enforcement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Plafond as hard limit (block enrollment) vs. soft warning</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D7D31"/>
                <w:sz w:val="18"/>
                <w:szCs w:val="18"/>
              </w:rPr>
              <w:t xml:space="preserve">Affects enrollment module UX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Version Unlock Policy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Single-approver vs. two-person approval; snapshot vs. overwrite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D7D31"/>
                <w:sz w:val="18"/>
                <w:szCs w:val="18"/>
              </w:rPr>
              <w:t xml:space="preserve">Affects audit compliance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Zakat Methodology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Simplified 2.5% monthly profit vs. full ZATCA asset-based calc</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D7D31"/>
                <w:sz w:val="18"/>
                <w:szCs w:val="18"/>
              </w:rPr>
              <w:t xml:space="preserve">Audit risk if ZATCA challenges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Parallel Run Strategy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App-primary (Excel export only) vs. dual-entry</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C000"/>
                <w:sz w:val="18"/>
                <w:szCs w:val="18"/>
              </w:rPr>
              <w:t xml:space="preserve">Drives Phase 6 workload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Currency Policy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SAR-only vs. multi-currency support</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70AD47"/>
                <w:sz w:val="18"/>
                <w:szCs w:val="18"/>
              </w:rPr>
              <w:t xml:space="preserve">Can defer to v1.1</w:t>
            </w:r>
          </w:p>
        </w:tc>
      </w:tr>
    </w:tbl>
    <w:p>
      <w:r>
        <w:br w:type="page"/>
      </w:r>
    </w:p>
    <w:p>
      <w:pPr>
        <w:pStyle w:val="Heading1"/>
      </w:pPr>
      <w:r>
        <w:t xml:space="preserve">6. Revised Timeline Recommendation</w:t>
      </w:r>
    </w:p>
    <w:p>
      <w:pPr>
        <w:spacing w:after="100"/>
      </w:pPr>
      <w:r>
        <w:t xml:space="preserve">Based on the edge case analysis, the original 24-week timeline should be revised to account for the additional complexity identified: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680"/>
        <w:gridCol w:w="4200"/>
      </w:tblGrid>
      <w:tr>
        <w:tc>
          <w:tcPr>
            <w:tcW w:type="dxa" w:w="25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Original</w:t>
            </w:r>
          </w:p>
        </w:tc>
        <w:tc>
          <w:tcPr>
            <w:tcW w:type="dxa" w:w="1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Revised</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Justification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1: Foundation</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Excel audit + regression test suite creation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2: Enrollment &amp; Revenue</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for fee grid complexity, distribution methods, rounding validation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3: Staffing &amp; Staff Costs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for employee lifecycle edge cases, EoS YEARFRAC, GOSI/Ajeer transitions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4: Reporting &amp; Versions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for version snapshots, comparison engine, IFRS compliance</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5: Dashboard &amp; Analytics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Unchanged; dashboard is read-only aggregation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6: Migration &amp; UAT</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for data migration edge cases, parallel run, reconciliation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Reserve Buffer</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weeks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2 weeks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Regulatory updates, showstopper bugs, scope rework</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24 weeks</w:t>
            </w:r>
          </w:p>
        </w:tc>
        <w:tc>
          <w:tcPr>
            <w:tcW w:type="dxa" w:w="168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C00000"/>
                <w:sz w:val="18"/>
                <w:szCs w:val="18"/>
              </w:rPr>
              <w:t xml:space="preserve">32 weeks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+8 weeks (33% increase) driven by edge case remediation</w:t>
            </w:r>
          </w:p>
        </w:tc>
      </w:tr>
    </w:tbl>
    <w:p>
      <w:r>
        <w:br w:type="page"/>
      </w:r>
    </w:p>
    <w:p>
      <w:pPr>
        <w:pStyle w:val="Heading1"/>
      </w:pPr>
      <w:r>
        <w:t xml:space="preserve">7. Appendix: Detailed Per-Persona Reports</w:t>
      </w:r>
    </w:p>
    <w:p>
      <w:pPr>
        <w:spacing w:after="100"/>
      </w:pPr>
      <w:r>
        <w:t xml:space="preserve">The full detailed analyses for each persona are available as separate documents in the project workspace:</w:t>
      </w:r>
    </w:p>
    <w:p>
      <w:pPr>
        <w:pStyle w:val="ListParagraph"/>
        <w:numPr>
          <w:ilvl w:val="0"/>
          <w:numId w:val="3"/>
        </w:numPr>
        <w:spacing w:after="60"/>
      </w:pPr>
      <w:r>
        <w:rPr>
          <w:b/>
          <w:bCs/>
        </w:rPr>
        <w:t xml:space="preserve">Product Owner Analysis </w:t>
      </w:r>
      <w:r>
        <w:t xml:space="preserve">(35 edge cases) — Focus: user journey gaps, data entry validation, business rule conflicts, missing requirements. File: EDGE_CASE_SUMMARY.txt</w:t>
      </w:r>
    </w:p>
    <w:p>
      <w:pPr>
        <w:pStyle w:val="ListParagraph"/>
        <w:numPr>
          <w:ilvl w:val="0"/>
          <w:numId w:val="3"/>
        </w:numPr>
        <w:spacing w:after="60"/>
      </w:pPr>
      <w:r>
        <w:rPr>
          <w:b/>
          <w:bCs/>
        </w:rPr>
        <w:t xml:space="preserve">Solutions Architect Analysis </w:t>
      </w:r>
      <w:r>
        <w:t xml:space="preserve">(35 edge cases) — Focus: calculation engine precision, data consistency, concurrency, performance, migration, audit trail, security. File: budfin_edge_case_analysis.md</w:t>
      </w:r>
    </w:p>
    <w:p>
      <w:pPr>
        <w:pStyle w:val="ListParagraph"/>
        <w:numPr>
          <w:ilvl w:val="0"/>
          <w:numId w:val="3"/>
        </w:numPr>
        <w:spacing w:after="60"/>
      </w:pPr>
      <w:r>
        <w:rPr>
          <w:b/>
          <w:bCs/>
        </w:rPr>
        <w:t xml:space="preserve">Devil’s Advocate Analysis </w:t>
      </w:r>
      <w:r>
        <w:t xml:space="preserve">(32 edge cases) — Focus: assumption validity, timeline realism, regulatory blind spots, data model time bombs, missing error handling. File: devils_advocate_analysis.md</w:t>
      </w:r>
    </w:p>
    <w:p>
      <w:pPr>
        <w:pBdr>
          <w:bottom w:val="single" w:color="1F4E79" w:sz="6" w:space="1"/>
        </w:pBdr>
        <w:spacing w:before="400"/>
      </w:pPr>
    </w:p>
    <w:p>
      <w:pPr>
        <w:spacing w:before="200"/>
        <w:jc w:val="center"/>
      </w:pPr>
      <w:r>
        <w:rPr>
          <w:rFonts w:ascii="Arial" w:cs="Arial" w:eastAsia="Arial" w:hAnsi="Arial"/>
          <w:i/>
          <w:iCs/>
          <w:color w:val="808080"/>
          <w:sz w:val="20"/>
          <w:szCs w:val="20"/>
        </w:rPr>
        <w:t xml:space="preserve">End of Consolidated Report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EFIR Finance Office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BudFin PRD v1.0 — Multi-Persona Edge Case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2026-03-03T17:48:36.825Z</dcterms:created>
  <dcterms:modified xsi:type="dcterms:W3CDTF">2026-03-03T17:48:36.825Z</dcterms:modified>
</cp:coreProperties>
</file>

<file path=docProps/custom.xml><?xml version="1.0" encoding="utf-8"?>
<Properties xmlns="http://schemas.openxmlformats.org/officeDocument/2006/custom-properties" xmlns:vt="http://schemas.openxmlformats.org/officeDocument/2006/docPropsVTypes"/>
</file>