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A Capability-Based Comparative Review of Urban Digital</w:t>
      </w:r>
      <w:r>
        <w:rPr>
          <w:spacing w:val="-7"/>
        </w:rPr>
        <w:t> </w:t>
      </w:r>
      <w:r>
        <w:rPr/>
        <w:t>Twin</w:t>
      </w:r>
      <w:r>
        <w:rPr>
          <w:spacing w:val="-7"/>
        </w:rPr>
        <w:t> </w:t>
      </w:r>
      <w:r>
        <w:rPr/>
        <w:t>Architectures</w:t>
      </w:r>
      <w:r>
        <w:rPr>
          <w:spacing w:val="-6"/>
        </w:rPr>
        <w:t> </w:t>
      </w:r>
      <w:r>
        <w:rPr/>
        <w:t>for</w:t>
      </w:r>
      <w:r>
        <w:rPr>
          <w:spacing w:val="-7"/>
        </w:rPr>
        <w:t> </w:t>
      </w:r>
      <w:r>
        <w:rPr/>
        <w:t>Real-Time</w:t>
      </w:r>
      <w:r>
        <w:rPr>
          <w:spacing w:val="-6"/>
        </w:rPr>
        <w:t> </w:t>
      </w:r>
      <w:r>
        <w:rPr/>
        <w:t>Monitoring and Decision Support</w:t>
      </w:r>
    </w:p>
    <w:p>
      <w:pPr>
        <w:pStyle w:val="BodyText"/>
        <w:spacing w:before="0"/>
        <w:ind w:left="0" w:firstLine="0"/>
        <w:jc w:val="left"/>
      </w:pPr>
    </w:p>
    <w:p>
      <w:pPr>
        <w:pStyle w:val="BodyText"/>
        <w:spacing w:before="0"/>
        <w:ind w:left="0" w:firstLine="0"/>
        <w:jc w:val="left"/>
      </w:pPr>
    </w:p>
    <w:p>
      <w:pPr>
        <w:pStyle w:val="BodyText"/>
        <w:spacing w:before="111"/>
        <w:ind w:left="0" w:firstLine="0"/>
        <w:jc w:val="left"/>
      </w:pPr>
    </w:p>
    <w:tbl>
      <w:tblPr>
        <w:tblW w:w="0" w:type="auto"/>
        <w:jc w:val="left"/>
        <w:tblInd w:w="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84"/>
        <w:gridCol w:w="3801"/>
        <w:gridCol w:w="3130"/>
      </w:tblGrid>
      <w:tr>
        <w:trPr>
          <w:trHeight w:val="531" w:hRule="atLeast"/>
        </w:trPr>
        <w:tc>
          <w:tcPr>
            <w:tcW w:w="3584" w:type="dxa"/>
          </w:tcPr>
          <w:p>
            <w:pPr>
              <w:pStyle w:val="TableParagraph"/>
              <w:spacing w:line="244" w:lineRule="exact"/>
              <w:ind w:left="576"/>
              <w:jc w:val="left"/>
              <w:rPr>
                <w:i/>
                <w:sz w:val="22"/>
              </w:rPr>
            </w:pPr>
            <w:r>
              <w:rPr>
                <w:i/>
                <w:sz w:val="22"/>
              </w:rPr>
              <w:t>Margerat</w:t>
            </w:r>
            <w:r>
              <w:rPr>
                <w:i/>
                <w:spacing w:val="-7"/>
                <w:sz w:val="22"/>
              </w:rPr>
              <w:t> </w:t>
            </w:r>
            <w:r>
              <w:rPr>
                <w:i/>
                <w:sz w:val="22"/>
              </w:rPr>
              <w:t>Helan</w:t>
            </w:r>
            <w:r>
              <w:rPr>
                <w:i/>
                <w:spacing w:val="-4"/>
                <w:sz w:val="22"/>
              </w:rPr>
              <w:t> Saji</w:t>
            </w:r>
          </w:p>
          <w:p>
            <w:pPr>
              <w:pStyle w:val="TableParagraph"/>
              <w:spacing w:line="247" w:lineRule="exact" w:before="20"/>
              <w:ind w:left="969"/>
              <w:jc w:val="left"/>
              <w:rPr>
                <w:i/>
                <w:sz w:val="22"/>
              </w:rPr>
            </w:pPr>
            <w:r>
              <w:rPr>
                <w:i/>
                <w:spacing w:val="-2"/>
                <w:sz w:val="22"/>
              </w:rPr>
              <w:t>Student</w:t>
            </w:r>
          </w:p>
        </w:tc>
        <w:tc>
          <w:tcPr>
            <w:tcW w:w="3801" w:type="dxa"/>
          </w:tcPr>
          <w:p>
            <w:pPr>
              <w:pStyle w:val="TableParagraph"/>
              <w:spacing w:line="244" w:lineRule="exact"/>
              <w:ind w:left="112"/>
              <w:rPr>
                <w:i/>
                <w:sz w:val="22"/>
              </w:rPr>
            </w:pPr>
            <w:r>
              <w:rPr>
                <w:i/>
                <w:sz w:val="22"/>
              </w:rPr>
              <w:t>Eldhose</w:t>
            </w:r>
            <w:r>
              <w:rPr>
                <w:i/>
                <w:spacing w:val="-5"/>
                <w:sz w:val="22"/>
              </w:rPr>
              <w:t> </w:t>
            </w:r>
            <w:r>
              <w:rPr>
                <w:i/>
                <w:sz w:val="22"/>
              </w:rPr>
              <w:t>k</w:t>
            </w:r>
            <w:r>
              <w:rPr>
                <w:i/>
                <w:spacing w:val="-2"/>
                <w:sz w:val="22"/>
              </w:rPr>
              <w:t> </w:t>
            </w:r>
            <w:r>
              <w:rPr>
                <w:i/>
                <w:spacing w:val="-4"/>
                <w:sz w:val="22"/>
              </w:rPr>
              <w:t>paul</w:t>
            </w:r>
          </w:p>
          <w:p>
            <w:pPr>
              <w:pStyle w:val="TableParagraph"/>
              <w:spacing w:line="247" w:lineRule="exact" w:before="20"/>
              <w:ind w:left="112" w:right="15"/>
              <w:rPr>
                <w:i/>
                <w:sz w:val="22"/>
              </w:rPr>
            </w:pPr>
            <w:r>
              <w:rPr>
                <w:i/>
                <w:sz w:val="22"/>
              </w:rPr>
              <w:t>Associate</w:t>
            </w:r>
            <w:r>
              <w:rPr>
                <w:i/>
                <w:spacing w:val="-8"/>
                <w:sz w:val="22"/>
              </w:rPr>
              <w:t> </w:t>
            </w:r>
            <w:r>
              <w:rPr>
                <w:i/>
                <w:spacing w:val="-2"/>
                <w:sz w:val="22"/>
              </w:rPr>
              <w:t>Professor</w:t>
            </w:r>
          </w:p>
        </w:tc>
        <w:tc>
          <w:tcPr>
            <w:tcW w:w="3130" w:type="dxa"/>
          </w:tcPr>
          <w:p>
            <w:pPr>
              <w:pStyle w:val="TableParagraph"/>
              <w:spacing w:line="244" w:lineRule="exact"/>
              <w:ind w:left="1340"/>
              <w:jc w:val="left"/>
              <w:rPr>
                <w:i/>
                <w:sz w:val="22"/>
              </w:rPr>
            </w:pPr>
            <w:r>
              <w:rPr>
                <w:i/>
                <w:sz w:val="22"/>
              </w:rPr>
              <w:t>Anjana</w:t>
            </w:r>
            <w:r>
              <w:rPr>
                <w:i/>
                <w:spacing w:val="-6"/>
                <w:sz w:val="22"/>
              </w:rPr>
              <w:t> </w:t>
            </w:r>
            <w:r>
              <w:rPr>
                <w:i/>
                <w:spacing w:val="-2"/>
                <w:sz w:val="22"/>
              </w:rPr>
              <w:t>Jayan</w:t>
            </w:r>
          </w:p>
          <w:p>
            <w:pPr>
              <w:pStyle w:val="TableParagraph"/>
              <w:spacing w:line="247" w:lineRule="exact" w:before="20"/>
              <w:ind w:left="1501"/>
              <w:jc w:val="left"/>
              <w:rPr>
                <w:i/>
                <w:sz w:val="22"/>
              </w:rPr>
            </w:pPr>
            <w:r>
              <w:rPr>
                <w:i/>
                <w:spacing w:val="-2"/>
                <w:sz w:val="22"/>
              </w:rPr>
              <w:t>Student</w:t>
            </w:r>
          </w:p>
        </w:tc>
      </w:tr>
      <w:tr>
        <w:trPr>
          <w:trHeight w:val="227" w:hRule="atLeast"/>
        </w:trPr>
        <w:tc>
          <w:tcPr>
            <w:tcW w:w="3584" w:type="dxa"/>
          </w:tcPr>
          <w:p>
            <w:pPr>
              <w:pStyle w:val="TableParagraph"/>
              <w:spacing w:line="201" w:lineRule="exact" w:before="6"/>
              <w:ind w:left="50"/>
              <w:jc w:val="left"/>
              <w:rPr>
                <w:i/>
                <w:sz w:val="18"/>
              </w:rPr>
            </w:pPr>
            <w:r>
              <w:rPr>
                <w:i/>
                <w:sz w:val="18"/>
              </w:rPr>
              <w:t>Department</w:t>
            </w:r>
            <w:r>
              <w:rPr>
                <w:i/>
                <w:spacing w:val="-3"/>
                <w:sz w:val="18"/>
              </w:rPr>
              <w:t> </w:t>
            </w:r>
            <w:r>
              <w:rPr>
                <w:i/>
                <w:sz w:val="18"/>
              </w:rPr>
              <w:t>of</w:t>
            </w:r>
            <w:r>
              <w:rPr>
                <w:i/>
                <w:spacing w:val="-2"/>
                <w:sz w:val="18"/>
              </w:rPr>
              <w:t> </w:t>
            </w:r>
            <w:r>
              <w:rPr>
                <w:i/>
                <w:sz w:val="18"/>
              </w:rPr>
              <w:t>Computer</w:t>
            </w:r>
            <w:r>
              <w:rPr>
                <w:i/>
                <w:spacing w:val="-2"/>
                <w:sz w:val="18"/>
              </w:rPr>
              <w:t> Applications,</w:t>
            </w:r>
          </w:p>
        </w:tc>
        <w:tc>
          <w:tcPr>
            <w:tcW w:w="3801" w:type="dxa"/>
          </w:tcPr>
          <w:p>
            <w:pPr>
              <w:pStyle w:val="TableParagraph"/>
              <w:spacing w:line="201" w:lineRule="exact" w:before="6"/>
              <w:ind w:left="0" w:right="315"/>
              <w:jc w:val="right"/>
              <w:rPr>
                <w:i/>
                <w:sz w:val="18"/>
              </w:rPr>
            </w:pPr>
            <w:r>
              <w:rPr>
                <w:i/>
                <w:sz w:val="18"/>
              </w:rPr>
              <w:t>Department</w:t>
            </w:r>
            <w:r>
              <w:rPr>
                <w:i/>
                <w:spacing w:val="-4"/>
                <w:sz w:val="18"/>
              </w:rPr>
              <w:t> </w:t>
            </w:r>
            <w:r>
              <w:rPr>
                <w:i/>
                <w:sz w:val="18"/>
              </w:rPr>
              <w:t>of</w:t>
            </w:r>
            <w:r>
              <w:rPr>
                <w:i/>
                <w:spacing w:val="-4"/>
                <w:sz w:val="18"/>
              </w:rPr>
              <w:t> </w:t>
            </w:r>
            <w:r>
              <w:rPr>
                <w:i/>
                <w:sz w:val="18"/>
              </w:rPr>
              <w:t>Computer</w:t>
            </w:r>
            <w:r>
              <w:rPr>
                <w:i/>
                <w:spacing w:val="-4"/>
                <w:sz w:val="18"/>
              </w:rPr>
              <w:t> </w:t>
            </w:r>
            <w:r>
              <w:rPr>
                <w:i/>
                <w:spacing w:val="-2"/>
                <w:sz w:val="18"/>
              </w:rPr>
              <w:t>Applications</w:t>
            </w:r>
          </w:p>
        </w:tc>
        <w:tc>
          <w:tcPr>
            <w:tcW w:w="3130" w:type="dxa"/>
          </w:tcPr>
          <w:p>
            <w:pPr>
              <w:pStyle w:val="TableParagraph"/>
              <w:spacing w:line="201" w:lineRule="exact" w:before="6"/>
              <w:ind w:left="315"/>
              <w:jc w:val="left"/>
              <w:rPr>
                <w:i/>
                <w:sz w:val="18"/>
              </w:rPr>
            </w:pPr>
            <w:r>
              <w:rPr>
                <w:i/>
                <w:sz w:val="18"/>
              </w:rPr>
              <w:t>Department</w:t>
            </w:r>
            <w:r>
              <w:rPr>
                <w:i/>
                <w:spacing w:val="-5"/>
                <w:sz w:val="18"/>
              </w:rPr>
              <w:t> </w:t>
            </w:r>
            <w:r>
              <w:rPr>
                <w:i/>
                <w:sz w:val="18"/>
              </w:rPr>
              <w:t>of</w:t>
            </w:r>
            <w:r>
              <w:rPr>
                <w:i/>
                <w:spacing w:val="-2"/>
                <w:sz w:val="18"/>
              </w:rPr>
              <w:t> </w:t>
            </w:r>
            <w:r>
              <w:rPr>
                <w:i/>
                <w:sz w:val="18"/>
              </w:rPr>
              <w:t>Computer</w:t>
            </w:r>
            <w:r>
              <w:rPr>
                <w:i/>
                <w:spacing w:val="-3"/>
                <w:sz w:val="18"/>
              </w:rPr>
              <w:t> </w:t>
            </w:r>
            <w:r>
              <w:rPr>
                <w:i/>
                <w:spacing w:val="-2"/>
                <w:sz w:val="18"/>
              </w:rPr>
              <w:t>Applications</w:t>
            </w:r>
          </w:p>
        </w:tc>
      </w:tr>
      <w:tr>
        <w:trPr>
          <w:trHeight w:val="228" w:hRule="atLeast"/>
        </w:trPr>
        <w:tc>
          <w:tcPr>
            <w:tcW w:w="3584" w:type="dxa"/>
          </w:tcPr>
          <w:p>
            <w:pPr>
              <w:pStyle w:val="TableParagraph"/>
              <w:spacing w:line="202" w:lineRule="exact" w:before="6"/>
              <w:ind w:left="261"/>
              <w:jc w:val="left"/>
              <w:rPr>
                <w:i/>
                <w:sz w:val="18"/>
              </w:rPr>
            </w:pPr>
            <w:r>
              <w:rPr>
                <w:i/>
                <w:sz w:val="18"/>
              </w:rPr>
              <w:t>Mangalam</w:t>
            </w:r>
            <w:r>
              <w:rPr>
                <w:i/>
                <w:spacing w:val="-2"/>
                <w:sz w:val="18"/>
              </w:rPr>
              <w:t> </w:t>
            </w:r>
            <w:r>
              <w:rPr>
                <w:i/>
                <w:sz w:val="18"/>
              </w:rPr>
              <w:t>College</w:t>
            </w:r>
            <w:r>
              <w:rPr>
                <w:i/>
                <w:spacing w:val="-3"/>
                <w:sz w:val="18"/>
              </w:rPr>
              <w:t> </w:t>
            </w:r>
            <w:r>
              <w:rPr>
                <w:i/>
                <w:sz w:val="18"/>
              </w:rPr>
              <w:t>of </w:t>
            </w:r>
            <w:r>
              <w:rPr>
                <w:i/>
                <w:spacing w:val="-2"/>
                <w:sz w:val="18"/>
              </w:rPr>
              <w:t>Engineering</w:t>
            </w:r>
          </w:p>
        </w:tc>
        <w:tc>
          <w:tcPr>
            <w:tcW w:w="3801" w:type="dxa"/>
          </w:tcPr>
          <w:p>
            <w:pPr>
              <w:pStyle w:val="TableParagraph"/>
              <w:spacing w:line="202" w:lineRule="exact" w:before="6"/>
              <w:ind w:left="0" w:right="446"/>
              <w:jc w:val="right"/>
              <w:rPr>
                <w:i/>
                <w:sz w:val="18"/>
              </w:rPr>
            </w:pPr>
            <w:r>
              <w:rPr>
                <w:i/>
                <w:sz w:val="18"/>
              </w:rPr>
              <w:t>Mangalam</w:t>
            </w:r>
            <w:r>
              <w:rPr>
                <w:i/>
                <w:spacing w:val="-4"/>
                <w:sz w:val="18"/>
              </w:rPr>
              <w:t> </w:t>
            </w:r>
            <w:r>
              <w:rPr>
                <w:i/>
                <w:sz w:val="18"/>
              </w:rPr>
              <w:t>College</w:t>
            </w:r>
            <w:r>
              <w:rPr>
                <w:i/>
                <w:spacing w:val="-4"/>
                <w:sz w:val="18"/>
              </w:rPr>
              <w:t> </w:t>
            </w:r>
            <w:r>
              <w:rPr>
                <w:i/>
                <w:sz w:val="18"/>
              </w:rPr>
              <w:t>of</w:t>
            </w:r>
            <w:r>
              <w:rPr>
                <w:i/>
                <w:spacing w:val="-1"/>
                <w:sz w:val="18"/>
              </w:rPr>
              <w:t> </w:t>
            </w:r>
            <w:r>
              <w:rPr>
                <w:i/>
                <w:spacing w:val="-2"/>
                <w:sz w:val="18"/>
              </w:rPr>
              <w:t>Engineering</w:t>
            </w:r>
          </w:p>
        </w:tc>
        <w:tc>
          <w:tcPr>
            <w:tcW w:w="3130" w:type="dxa"/>
          </w:tcPr>
          <w:p>
            <w:pPr>
              <w:pStyle w:val="TableParagraph"/>
              <w:spacing w:line="202" w:lineRule="exact" w:before="6"/>
              <w:ind w:left="363"/>
              <w:jc w:val="left"/>
              <w:rPr>
                <w:i/>
                <w:sz w:val="18"/>
              </w:rPr>
            </w:pPr>
            <w:r>
              <w:rPr>
                <w:i/>
                <w:sz w:val="18"/>
              </w:rPr>
              <w:t>Mangalam</w:t>
            </w:r>
            <w:r>
              <w:rPr>
                <w:i/>
                <w:spacing w:val="-2"/>
                <w:sz w:val="18"/>
              </w:rPr>
              <w:t> </w:t>
            </w:r>
            <w:r>
              <w:rPr>
                <w:i/>
                <w:sz w:val="18"/>
              </w:rPr>
              <w:t>College</w:t>
            </w:r>
            <w:r>
              <w:rPr>
                <w:i/>
                <w:spacing w:val="-3"/>
                <w:sz w:val="18"/>
              </w:rPr>
              <w:t> </w:t>
            </w:r>
            <w:r>
              <w:rPr>
                <w:i/>
                <w:sz w:val="18"/>
              </w:rPr>
              <w:t>of</w:t>
            </w:r>
            <w:r>
              <w:rPr>
                <w:i/>
                <w:spacing w:val="-2"/>
                <w:sz w:val="18"/>
              </w:rPr>
              <w:t> Engineering</w:t>
            </w:r>
          </w:p>
        </w:tc>
      </w:tr>
      <w:tr>
        <w:trPr>
          <w:trHeight w:val="227" w:hRule="atLeast"/>
        </w:trPr>
        <w:tc>
          <w:tcPr>
            <w:tcW w:w="3584" w:type="dxa"/>
          </w:tcPr>
          <w:p>
            <w:pPr>
              <w:pStyle w:val="TableParagraph"/>
              <w:spacing w:line="200" w:lineRule="exact" w:before="7"/>
              <w:ind w:left="612"/>
              <w:jc w:val="left"/>
              <w:rPr>
                <w:i/>
                <w:sz w:val="18"/>
              </w:rPr>
            </w:pPr>
            <w:r>
              <w:rPr>
                <w:i/>
                <w:sz w:val="18"/>
              </w:rPr>
              <w:t>Ettumanoor,</w:t>
            </w:r>
            <w:r>
              <w:rPr>
                <w:i/>
                <w:spacing w:val="-3"/>
                <w:sz w:val="18"/>
              </w:rPr>
              <w:t> </w:t>
            </w:r>
            <w:r>
              <w:rPr>
                <w:i/>
                <w:spacing w:val="-2"/>
                <w:sz w:val="18"/>
              </w:rPr>
              <w:t>686631</w:t>
            </w:r>
          </w:p>
        </w:tc>
        <w:tc>
          <w:tcPr>
            <w:tcW w:w="3801" w:type="dxa"/>
          </w:tcPr>
          <w:p>
            <w:pPr>
              <w:pStyle w:val="TableParagraph"/>
              <w:spacing w:line="200" w:lineRule="exact" w:before="7"/>
              <w:ind w:left="1164"/>
              <w:jc w:val="left"/>
              <w:rPr>
                <w:i/>
                <w:sz w:val="18"/>
              </w:rPr>
            </w:pPr>
            <w:r>
              <w:rPr>
                <w:i/>
                <w:sz w:val="18"/>
              </w:rPr>
              <w:t>Ettumanoor,</w:t>
            </w:r>
            <w:r>
              <w:rPr>
                <w:i/>
                <w:spacing w:val="-4"/>
                <w:sz w:val="18"/>
              </w:rPr>
              <w:t> </w:t>
            </w:r>
            <w:r>
              <w:rPr>
                <w:i/>
                <w:spacing w:val="-2"/>
                <w:sz w:val="18"/>
              </w:rPr>
              <w:t>686631,</w:t>
            </w:r>
          </w:p>
        </w:tc>
        <w:tc>
          <w:tcPr>
            <w:tcW w:w="3130" w:type="dxa"/>
          </w:tcPr>
          <w:p>
            <w:pPr>
              <w:pStyle w:val="TableParagraph"/>
              <w:spacing w:line="200" w:lineRule="exact" w:before="7"/>
              <w:ind w:left="980"/>
              <w:jc w:val="left"/>
              <w:rPr>
                <w:i/>
                <w:sz w:val="18"/>
              </w:rPr>
            </w:pPr>
            <w:r>
              <w:rPr>
                <w:i/>
                <w:sz w:val="18"/>
              </w:rPr>
              <w:t>Ettumanoor,</w:t>
            </w:r>
            <w:r>
              <w:rPr>
                <w:i/>
                <w:spacing w:val="-3"/>
                <w:sz w:val="18"/>
              </w:rPr>
              <w:t> </w:t>
            </w:r>
            <w:r>
              <w:rPr>
                <w:i/>
                <w:spacing w:val="-2"/>
                <w:sz w:val="18"/>
              </w:rPr>
              <w:t>686631,</w:t>
            </w:r>
          </w:p>
        </w:tc>
      </w:tr>
      <w:tr>
        <w:trPr>
          <w:trHeight w:val="212" w:hRule="atLeast"/>
        </w:trPr>
        <w:tc>
          <w:tcPr>
            <w:tcW w:w="3584" w:type="dxa"/>
          </w:tcPr>
          <w:p>
            <w:pPr>
              <w:pStyle w:val="TableParagraph"/>
              <w:spacing w:line="187" w:lineRule="exact" w:before="5"/>
              <w:ind w:left="381"/>
              <w:jc w:val="left"/>
              <w:rPr>
                <w:i/>
                <w:sz w:val="18"/>
              </w:rPr>
            </w:pPr>
            <w:hyperlink r:id="rId5">
              <w:r>
                <w:rPr>
                  <w:i/>
                  <w:spacing w:val="-2"/>
                  <w:sz w:val="18"/>
                </w:rPr>
                <w:t>margeratsaji@gmail.com</w:t>
              </w:r>
            </w:hyperlink>
          </w:p>
        </w:tc>
        <w:tc>
          <w:tcPr>
            <w:tcW w:w="3801" w:type="dxa"/>
          </w:tcPr>
          <w:p>
            <w:pPr>
              <w:pStyle w:val="TableParagraph"/>
              <w:spacing w:line="187" w:lineRule="exact" w:before="5"/>
              <w:ind w:left="991"/>
              <w:jc w:val="left"/>
              <w:rPr>
                <w:i/>
                <w:sz w:val="18"/>
              </w:rPr>
            </w:pPr>
            <w:hyperlink r:id="rId6">
              <w:r>
                <w:rPr>
                  <w:i/>
                  <w:spacing w:val="-2"/>
                  <w:sz w:val="18"/>
                </w:rPr>
                <w:t>eldhose.paul@mangalam.in</w:t>
              </w:r>
            </w:hyperlink>
          </w:p>
        </w:tc>
        <w:tc>
          <w:tcPr>
            <w:tcW w:w="3130" w:type="dxa"/>
          </w:tcPr>
          <w:p>
            <w:pPr>
              <w:pStyle w:val="TableParagraph"/>
              <w:spacing w:line="187" w:lineRule="exact" w:before="5"/>
              <w:ind w:left="658"/>
              <w:jc w:val="left"/>
              <w:rPr>
                <w:i/>
                <w:sz w:val="18"/>
              </w:rPr>
            </w:pPr>
            <w:hyperlink r:id="rId7">
              <w:r>
                <w:rPr>
                  <w:i/>
                  <w:spacing w:val="-2"/>
                  <w:sz w:val="18"/>
                </w:rPr>
                <w:t>anjanajayan237@gmail.com</w:t>
              </w:r>
            </w:hyperlink>
          </w:p>
        </w:tc>
      </w:tr>
    </w:tbl>
    <w:p>
      <w:pPr>
        <w:pStyle w:val="BodyText"/>
        <w:spacing w:before="0"/>
        <w:ind w:left="0" w:firstLine="0"/>
        <w:jc w:val="left"/>
      </w:pPr>
    </w:p>
    <w:p>
      <w:pPr>
        <w:pStyle w:val="BodyText"/>
        <w:spacing w:before="17"/>
        <w:ind w:left="0" w:firstLine="0"/>
        <w:jc w:val="left"/>
      </w:pPr>
    </w:p>
    <w:p>
      <w:pPr>
        <w:pStyle w:val="BodyText"/>
        <w:spacing w:after="0"/>
        <w:jc w:val="left"/>
        <w:sectPr>
          <w:type w:val="continuous"/>
          <w:pgSz w:w="12240" w:h="15840"/>
          <w:pgMar w:top="1020" w:bottom="280" w:left="720" w:right="720"/>
        </w:sectPr>
      </w:pPr>
    </w:p>
    <w:p>
      <w:pPr>
        <w:spacing w:before="157"/>
        <w:ind w:left="172" w:right="38" w:firstLine="271"/>
        <w:jc w:val="both"/>
        <w:rPr>
          <w:b/>
          <w:sz w:val="18"/>
        </w:rPr>
      </w:pPr>
      <w:r>
        <w:rPr>
          <w:b/>
          <w:sz w:val="18"/>
        </w:rPr>
        <w:t>Abstract—This paper presents a capability-based comparative review of 20 peer-reviewed research studies on urban Digital Twins (DTs) for smart-city monitoring and decision support. Rather than proposing another generic DT lifecycle, the review evaluates the selected studies using a common capability framework covering data sourcing, real-time updating, data integration, artificial intelligence, prediction, simulation, visualization, decision support, actuation, scalable computing, and security or governance. A structured review protocol was used to define the corpus, exclude survey/review papers from the 20-study core set, and classify each study by publication type and demonstrated capabilities. The resulting matrix enables quantitative comparison of capability coverage across the literature. The analysis</w:t>
      </w:r>
      <w:r>
        <w:rPr>
          <w:b/>
          <w:spacing w:val="-12"/>
          <w:sz w:val="18"/>
        </w:rPr>
        <w:t> </w:t>
      </w:r>
      <w:r>
        <w:rPr>
          <w:b/>
          <w:sz w:val="18"/>
        </w:rPr>
        <w:t>shows</w:t>
      </w:r>
      <w:r>
        <w:rPr>
          <w:b/>
          <w:spacing w:val="-11"/>
          <w:sz w:val="18"/>
        </w:rPr>
        <w:t> </w:t>
      </w:r>
      <w:r>
        <w:rPr>
          <w:b/>
          <w:sz w:val="18"/>
        </w:rPr>
        <w:t>that</w:t>
      </w:r>
      <w:r>
        <w:rPr>
          <w:b/>
          <w:spacing w:val="-11"/>
          <w:sz w:val="18"/>
        </w:rPr>
        <w:t> </w:t>
      </w:r>
      <w:r>
        <w:rPr>
          <w:b/>
          <w:sz w:val="18"/>
        </w:rPr>
        <w:t>multi-source</w:t>
      </w:r>
      <w:r>
        <w:rPr>
          <w:b/>
          <w:spacing w:val="-11"/>
          <w:sz w:val="18"/>
        </w:rPr>
        <w:t> </w:t>
      </w:r>
      <w:r>
        <w:rPr>
          <w:b/>
          <w:sz w:val="18"/>
        </w:rPr>
        <w:t>data</w:t>
      </w:r>
      <w:r>
        <w:rPr>
          <w:b/>
          <w:spacing w:val="-12"/>
          <w:sz w:val="18"/>
        </w:rPr>
        <w:t> </w:t>
      </w:r>
      <w:r>
        <w:rPr>
          <w:b/>
          <w:sz w:val="18"/>
        </w:rPr>
        <w:t>handling,</w:t>
      </w:r>
      <w:r>
        <w:rPr>
          <w:b/>
          <w:spacing w:val="-11"/>
          <w:sz w:val="18"/>
        </w:rPr>
        <w:t> </w:t>
      </w:r>
      <w:r>
        <w:rPr>
          <w:b/>
          <w:sz w:val="18"/>
        </w:rPr>
        <w:t>integration,</w:t>
      </w:r>
      <w:r>
        <w:rPr>
          <w:b/>
          <w:spacing w:val="-11"/>
          <w:sz w:val="18"/>
        </w:rPr>
        <w:t> </w:t>
      </w:r>
      <w:r>
        <w:rPr>
          <w:b/>
          <w:sz w:val="18"/>
        </w:rPr>
        <w:t>and decision-oriented analytics are common, while physical actuation and explicit security or governance treatment are much</w:t>
      </w:r>
      <w:r>
        <w:rPr>
          <w:b/>
          <w:spacing w:val="-6"/>
          <w:sz w:val="18"/>
        </w:rPr>
        <w:t> </w:t>
      </w:r>
      <w:r>
        <w:rPr>
          <w:b/>
          <w:sz w:val="18"/>
        </w:rPr>
        <w:t>less</w:t>
      </w:r>
      <w:r>
        <w:rPr>
          <w:b/>
          <w:spacing w:val="-7"/>
          <w:sz w:val="18"/>
        </w:rPr>
        <w:t> </w:t>
      </w:r>
      <w:r>
        <w:rPr>
          <w:b/>
          <w:sz w:val="18"/>
        </w:rPr>
        <w:t>frequently</w:t>
      </w:r>
      <w:r>
        <w:rPr>
          <w:b/>
          <w:spacing w:val="-5"/>
          <w:sz w:val="18"/>
        </w:rPr>
        <w:t> </w:t>
      </w:r>
      <w:r>
        <w:rPr>
          <w:b/>
          <w:sz w:val="18"/>
        </w:rPr>
        <w:t>demonstrated.</w:t>
      </w:r>
      <w:r>
        <w:rPr>
          <w:b/>
          <w:spacing w:val="-6"/>
          <w:sz w:val="18"/>
        </w:rPr>
        <w:t> </w:t>
      </w:r>
      <w:r>
        <w:rPr>
          <w:b/>
          <w:sz w:val="18"/>
        </w:rPr>
        <w:t>Mobility</w:t>
      </w:r>
      <w:r>
        <w:rPr>
          <w:b/>
          <w:spacing w:val="-8"/>
          <w:sz w:val="18"/>
        </w:rPr>
        <w:t> </w:t>
      </w:r>
      <w:r>
        <w:rPr>
          <w:b/>
          <w:sz w:val="18"/>
        </w:rPr>
        <w:t>and</w:t>
      </w:r>
      <w:r>
        <w:rPr>
          <w:b/>
          <w:spacing w:val="-6"/>
          <w:sz w:val="18"/>
        </w:rPr>
        <w:t> </w:t>
      </w:r>
      <w:r>
        <w:rPr>
          <w:b/>
          <w:sz w:val="18"/>
        </w:rPr>
        <w:t>traffic</w:t>
      </w:r>
      <w:r>
        <w:rPr>
          <w:b/>
          <w:spacing w:val="-6"/>
          <w:sz w:val="18"/>
        </w:rPr>
        <w:t> </w:t>
      </w:r>
      <w:r>
        <w:rPr>
          <w:b/>
          <w:sz w:val="18"/>
        </w:rPr>
        <w:t>studies provide the strongest evidence for operational real-time twins, whereas</w:t>
      </w:r>
      <w:r>
        <w:rPr>
          <w:b/>
          <w:spacing w:val="-6"/>
          <w:sz w:val="18"/>
        </w:rPr>
        <w:t> </w:t>
      </w:r>
      <w:r>
        <w:rPr>
          <w:b/>
          <w:sz w:val="18"/>
        </w:rPr>
        <w:t>environmental</w:t>
      </w:r>
      <w:r>
        <w:rPr>
          <w:b/>
          <w:spacing w:val="-7"/>
          <w:sz w:val="18"/>
        </w:rPr>
        <w:t> </w:t>
      </w:r>
      <w:r>
        <w:rPr>
          <w:b/>
          <w:sz w:val="18"/>
        </w:rPr>
        <w:t>and</w:t>
      </w:r>
      <w:r>
        <w:rPr>
          <w:b/>
          <w:spacing w:val="-5"/>
          <w:sz w:val="18"/>
        </w:rPr>
        <w:t> </w:t>
      </w:r>
      <w:r>
        <w:rPr>
          <w:b/>
          <w:sz w:val="18"/>
        </w:rPr>
        <w:t>resilience</w:t>
      </w:r>
      <w:r>
        <w:rPr>
          <w:b/>
          <w:spacing w:val="-6"/>
          <w:sz w:val="18"/>
        </w:rPr>
        <w:t> </w:t>
      </w:r>
      <w:r>
        <w:rPr>
          <w:b/>
          <w:sz w:val="18"/>
        </w:rPr>
        <w:t>studies</w:t>
      </w:r>
      <w:r>
        <w:rPr>
          <w:b/>
          <w:spacing w:val="-6"/>
          <w:sz w:val="18"/>
        </w:rPr>
        <w:t> </w:t>
      </w:r>
      <w:r>
        <w:rPr>
          <w:b/>
          <w:sz w:val="18"/>
        </w:rPr>
        <w:t>emphasize</w:t>
      </w:r>
      <w:r>
        <w:rPr>
          <w:b/>
          <w:spacing w:val="-6"/>
          <w:sz w:val="18"/>
        </w:rPr>
        <w:t> </w:t>
      </w:r>
      <w:r>
        <w:rPr>
          <w:b/>
          <w:sz w:val="18"/>
        </w:rPr>
        <w:t>spatial modeling and scenario analysis. The review therefore contributes a reproducible comparison structure and an evidence-based</w:t>
      </w:r>
      <w:r>
        <w:rPr>
          <w:b/>
          <w:spacing w:val="-9"/>
          <w:sz w:val="18"/>
        </w:rPr>
        <w:t> </w:t>
      </w:r>
      <w:r>
        <w:rPr>
          <w:b/>
          <w:sz w:val="18"/>
        </w:rPr>
        <w:t>synthesis</w:t>
      </w:r>
      <w:r>
        <w:rPr>
          <w:b/>
          <w:spacing w:val="-10"/>
          <w:sz w:val="18"/>
        </w:rPr>
        <w:t> </w:t>
      </w:r>
      <w:r>
        <w:rPr>
          <w:b/>
          <w:sz w:val="18"/>
        </w:rPr>
        <w:t>of</w:t>
      </w:r>
      <w:r>
        <w:rPr>
          <w:b/>
          <w:spacing w:val="-10"/>
          <w:sz w:val="18"/>
        </w:rPr>
        <w:t> </w:t>
      </w:r>
      <w:r>
        <w:rPr>
          <w:b/>
          <w:sz w:val="18"/>
        </w:rPr>
        <w:t>where</w:t>
      </w:r>
      <w:r>
        <w:rPr>
          <w:b/>
          <w:spacing w:val="-10"/>
          <w:sz w:val="18"/>
        </w:rPr>
        <w:t> </w:t>
      </w:r>
      <w:r>
        <w:rPr>
          <w:b/>
          <w:sz w:val="18"/>
        </w:rPr>
        <w:t>current</w:t>
      </w:r>
      <w:r>
        <w:rPr>
          <w:b/>
          <w:spacing w:val="-10"/>
          <w:sz w:val="18"/>
        </w:rPr>
        <w:t> </w:t>
      </w:r>
      <w:r>
        <w:rPr>
          <w:b/>
          <w:sz w:val="18"/>
        </w:rPr>
        <w:t>urban</w:t>
      </w:r>
      <w:r>
        <w:rPr>
          <w:b/>
          <w:spacing w:val="-9"/>
          <w:sz w:val="18"/>
        </w:rPr>
        <w:t> </w:t>
      </w:r>
      <w:r>
        <w:rPr>
          <w:b/>
          <w:sz w:val="18"/>
        </w:rPr>
        <w:t>DT</w:t>
      </w:r>
      <w:r>
        <w:rPr>
          <w:b/>
          <w:spacing w:val="-12"/>
          <w:sz w:val="18"/>
        </w:rPr>
        <w:t> </w:t>
      </w:r>
      <w:r>
        <w:rPr>
          <w:b/>
          <w:sz w:val="18"/>
        </w:rPr>
        <w:t>research</w:t>
      </w:r>
      <w:r>
        <w:rPr>
          <w:b/>
          <w:spacing w:val="-8"/>
          <w:sz w:val="18"/>
        </w:rPr>
        <w:t> </w:t>
      </w:r>
      <w:r>
        <w:rPr>
          <w:b/>
          <w:sz w:val="18"/>
        </w:rPr>
        <w:t>is concentrated and where integrated end-to-end capability remains limited.</w:t>
      </w:r>
    </w:p>
    <w:p>
      <w:pPr>
        <w:spacing w:before="100"/>
        <w:ind w:left="172" w:right="42" w:firstLine="274"/>
        <w:jc w:val="both"/>
        <w:rPr>
          <w:i/>
          <w:sz w:val="18"/>
        </w:rPr>
      </w:pPr>
      <w:r>
        <w:rPr>
          <w:b/>
          <w:i/>
          <w:sz w:val="18"/>
        </w:rPr>
        <w:t>Keywords—</w:t>
      </w:r>
      <w:r>
        <w:rPr>
          <w:i/>
          <w:sz w:val="18"/>
        </w:rPr>
        <w:t>digital twin, smart city, urban digital twin, comparative review, capability matrix, real-time monitoring, decision support, predictive analytics</w:t>
      </w:r>
    </w:p>
    <w:p>
      <w:pPr>
        <w:pStyle w:val="Heading1"/>
        <w:numPr>
          <w:ilvl w:val="0"/>
          <w:numId w:val="1"/>
        </w:numPr>
        <w:tabs>
          <w:tab w:pos="348" w:val="left" w:leader="none"/>
        </w:tabs>
        <w:spacing w:line="240" w:lineRule="auto" w:before="121" w:after="0"/>
        <w:ind w:left="348" w:right="0" w:hanging="176"/>
        <w:jc w:val="left"/>
      </w:pPr>
      <w:r>
        <w:rPr>
          <w:spacing w:val="-2"/>
        </w:rPr>
        <w:t>INTRODUCTION</w:t>
      </w:r>
    </w:p>
    <w:p>
      <w:pPr>
        <w:pStyle w:val="BodyText"/>
        <w:spacing w:line="228" w:lineRule="auto"/>
        <w:ind w:right="41"/>
      </w:pPr>
      <w:r>
        <w:rPr/>
        <w:t>Urban Digital Twins (UDTs) are increasingly used to represent physical city systems through connected digital models, live or periodically updated data, analytics, simulation, and visualization. In smart-city settings, the physical scope can include transport networks, buildings, utilities, environmental sensors, public infrastructure, vehicles, and citizen-generated information. The practical value</w:t>
      </w:r>
      <w:r>
        <w:rPr>
          <w:spacing w:val="-13"/>
        </w:rPr>
        <w:t> </w:t>
      </w:r>
      <w:r>
        <w:rPr/>
        <w:t>of</w:t>
      </w:r>
      <w:r>
        <w:rPr>
          <w:spacing w:val="-12"/>
        </w:rPr>
        <w:t> </w:t>
      </w:r>
      <w:r>
        <w:rPr/>
        <w:t>a</w:t>
      </w:r>
      <w:r>
        <w:rPr>
          <w:spacing w:val="-13"/>
        </w:rPr>
        <w:t> </w:t>
      </w:r>
      <w:r>
        <w:rPr/>
        <w:t>UDT</w:t>
      </w:r>
      <w:r>
        <w:rPr>
          <w:spacing w:val="-12"/>
        </w:rPr>
        <w:t> </w:t>
      </w:r>
      <w:r>
        <w:rPr/>
        <w:t>therefore</w:t>
      </w:r>
      <w:r>
        <w:rPr>
          <w:spacing w:val="-13"/>
        </w:rPr>
        <w:t> </w:t>
      </w:r>
      <w:r>
        <w:rPr/>
        <w:t>depends</w:t>
      </w:r>
      <w:r>
        <w:rPr>
          <w:spacing w:val="-12"/>
        </w:rPr>
        <w:t> </w:t>
      </w:r>
      <w:r>
        <w:rPr/>
        <w:t>not</w:t>
      </w:r>
      <w:r>
        <w:rPr>
          <w:spacing w:val="-13"/>
        </w:rPr>
        <w:t> </w:t>
      </w:r>
      <w:r>
        <w:rPr/>
        <w:t>only</w:t>
      </w:r>
      <w:r>
        <w:rPr>
          <w:spacing w:val="-12"/>
        </w:rPr>
        <w:t> </w:t>
      </w:r>
      <w:r>
        <w:rPr/>
        <w:t>on</w:t>
      </w:r>
      <w:r>
        <w:rPr>
          <w:spacing w:val="-13"/>
        </w:rPr>
        <w:t> </w:t>
      </w:r>
      <w:r>
        <w:rPr/>
        <w:t>the</w:t>
      </w:r>
      <w:r>
        <w:rPr>
          <w:spacing w:val="-12"/>
        </w:rPr>
        <w:t> </w:t>
      </w:r>
      <w:r>
        <w:rPr/>
        <w:t>existence</w:t>
      </w:r>
      <w:r>
        <w:rPr>
          <w:spacing w:val="-13"/>
        </w:rPr>
        <w:t> </w:t>
      </w:r>
      <w:r>
        <w:rPr/>
        <w:t>of a virtual representation, but on the capabilities that connect observation, integration, analysis, prediction, decision support, and—when demonstrated—physical intervention.</w:t>
      </w:r>
    </w:p>
    <w:p>
      <w:pPr>
        <w:pStyle w:val="BodyText"/>
        <w:spacing w:line="228" w:lineRule="auto" w:before="100"/>
        <w:ind w:right="169"/>
      </w:pPr>
      <w:r>
        <w:rPr/>
        <w:br w:type="column"/>
      </w:r>
      <w:r>
        <w:rPr/>
        <w:t>Recent research illustrates substantial variation in how </w:t>
      </w:r>
      <w:r>
        <w:rPr>
          <w:spacing w:val="-2"/>
        </w:rPr>
        <w:t>these</w:t>
      </w:r>
      <w:r>
        <w:rPr>
          <w:spacing w:val="-9"/>
        </w:rPr>
        <w:t> </w:t>
      </w:r>
      <w:r>
        <w:rPr>
          <w:spacing w:val="-2"/>
        </w:rPr>
        <w:t>capabilities</w:t>
      </w:r>
      <w:r>
        <w:rPr>
          <w:spacing w:val="-10"/>
        </w:rPr>
        <w:t> </w:t>
      </w:r>
      <w:r>
        <w:rPr>
          <w:spacing w:val="-2"/>
        </w:rPr>
        <w:t>are</w:t>
      </w:r>
      <w:r>
        <w:rPr>
          <w:spacing w:val="-9"/>
        </w:rPr>
        <w:t> </w:t>
      </w:r>
      <w:r>
        <w:rPr>
          <w:spacing w:val="-2"/>
        </w:rPr>
        <w:t>implemented.</w:t>
      </w:r>
      <w:r>
        <w:rPr>
          <w:spacing w:val="-8"/>
        </w:rPr>
        <w:t> </w:t>
      </w:r>
      <w:r>
        <w:rPr>
          <w:spacing w:val="-2"/>
        </w:rPr>
        <w:t>Mendula</w:t>
      </w:r>
      <w:r>
        <w:rPr>
          <w:spacing w:val="-11"/>
        </w:rPr>
        <w:t> </w:t>
      </w:r>
      <w:r>
        <w:rPr>
          <w:spacing w:val="-2"/>
        </w:rPr>
        <w:t>et</w:t>
      </w:r>
      <w:r>
        <w:rPr>
          <w:spacing w:val="-9"/>
        </w:rPr>
        <w:t> </w:t>
      </w:r>
      <w:r>
        <w:rPr>
          <w:spacing w:val="-2"/>
        </w:rPr>
        <w:t>al.</w:t>
      </w:r>
      <w:r>
        <w:rPr>
          <w:spacing w:val="-9"/>
        </w:rPr>
        <w:t> </w:t>
      </w:r>
      <w:r>
        <w:rPr>
          <w:spacing w:val="-2"/>
        </w:rPr>
        <w:t>[1]</w:t>
      </w:r>
      <w:r>
        <w:rPr>
          <w:spacing w:val="-8"/>
        </w:rPr>
        <w:t> </w:t>
      </w:r>
      <w:r>
        <w:rPr>
          <w:spacing w:val="-2"/>
        </w:rPr>
        <w:t>describe </w:t>
      </w:r>
      <w:r>
        <w:rPr/>
        <w:t>a data-driven urban activity twin with descriptive and</w:t>
      </w:r>
    </w:p>
    <w:p>
      <w:pPr>
        <w:pStyle w:val="BodyText"/>
        <w:spacing w:before="108"/>
        <w:ind w:left="0" w:firstLine="0"/>
        <w:jc w:val="left"/>
      </w:pPr>
    </w:p>
    <w:p>
      <w:pPr>
        <w:pStyle w:val="BodyText"/>
        <w:spacing w:line="228" w:lineRule="auto" w:before="0"/>
        <w:ind w:right="168" w:firstLine="0"/>
      </w:pPr>
      <w:r>
        <w:rPr>
          <w:spacing w:val="-2"/>
        </w:rPr>
        <w:t>predictive</w:t>
      </w:r>
      <w:r>
        <w:rPr>
          <w:spacing w:val="-10"/>
        </w:rPr>
        <w:t> </w:t>
      </w:r>
      <w:r>
        <w:rPr>
          <w:spacing w:val="-2"/>
        </w:rPr>
        <w:t>functions,</w:t>
      </w:r>
      <w:r>
        <w:rPr>
          <w:spacing w:val="-6"/>
        </w:rPr>
        <w:t> </w:t>
      </w:r>
      <w:r>
        <w:rPr>
          <w:spacing w:val="-2"/>
        </w:rPr>
        <w:t>while</w:t>
      </w:r>
      <w:r>
        <w:rPr>
          <w:spacing w:val="-6"/>
        </w:rPr>
        <w:t> </w:t>
      </w:r>
      <w:r>
        <w:rPr>
          <w:spacing w:val="-2"/>
        </w:rPr>
        <w:t>Kim</w:t>
      </w:r>
      <w:r>
        <w:rPr>
          <w:spacing w:val="-6"/>
        </w:rPr>
        <w:t> </w:t>
      </w:r>
      <w:r>
        <w:rPr>
          <w:spacing w:val="-2"/>
        </w:rPr>
        <w:t>and</w:t>
      </w:r>
      <w:r>
        <w:rPr>
          <w:spacing w:val="-9"/>
        </w:rPr>
        <w:t> </w:t>
      </w:r>
      <w:r>
        <w:rPr>
          <w:spacing w:val="-2"/>
        </w:rPr>
        <w:t>Ham</w:t>
      </w:r>
      <w:r>
        <w:rPr>
          <w:spacing w:val="-6"/>
        </w:rPr>
        <w:t> </w:t>
      </w:r>
      <w:r>
        <w:rPr>
          <w:spacing w:val="-2"/>
        </w:rPr>
        <w:t>[2]</w:t>
      </w:r>
      <w:r>
        <w:rPr>
          <w:spacing w:val="-6"/>
        </w:rPr>
        <w:t> </w:t>
      </w:r>
      <w:r>
        <w:rPr>
          <w:spacing w:val="-2"/>
        </w:rPr>
        <w:t>use</w:t>
      </w:r>
      <w:r>
        <w:rPr>
          <w:spacing w:val="-10"/>
        </w:rPr>
        <w:t> </w:t>
      </w:r>
      <w:r>
        <w:rPr>
          <w:spacing w:val="-2"/>
        </w:rPr>
        <w:t>participatory </w:t>
      </w:r>
      <w:r>
        <w:rPr/>
        <w:t>sensing and deep learning to update representations of built infrastructure. Mobility studies move further toward </w:t>
      </w:r>
      <w:r>
        <w:rPr>
          <w:spacing w:val="-2"/>
        </w:rPr>
        <w:t>operational</w:t>
      </w:r>
      <w:r>
        <w:rPr>
          <w:spacing w:val="-4"/>
        </w:rPr>
        <w:t> </w:t>
      </w:r>
      <w:r>
        <w:rPr>
          <w:spacing w:val="-2"/>
        </w:rPr>
        <w:t>use:</w:t>
      </w:r>
      <w:r>
        <w:rPr>
          <w:spacing w:val="-4"/>
        </w:rPr>
        <w:t> </w:t>
      </w:r>
      <w:r>
        <w:rPr>
          <w:spacing w:val="-2"/>
        </w:rPr>
        <w:t>Xu</w:t>
      </w:r>
      <w:r>
        <w:rPr>
          <w:spacing w:val="-3"/>
        </w:rPr>
        <w:t> </w:t>
      </w:r>
      <w:r>
        <w:rPr>
          <w:spacing w:val="-2"/>
        </w:rPr>
        <w:t>et</w:t>
      </w:r>
      <w:r>
        <w:rPr>
          <w:spacing w:val="-4"/>
        </w:rPr>
        <w:t> </w:t>
      </w:r>
      <w:r>
        <w:rPr>
          <w:spacing w:val="-2"/>
        </w:rPr>
        <w:t>al.</w:t>
      </w:r>
      <w:r>
        <w:rPr>
          <w:spacing w:val="-4"/>
        </w:rPr>
        <w:t> </w:t>
      </w:r>
      <w:r>
        <w:rPr>
          <w:spacing w:val="-2"/>
        </w:rPr>
        <w:t>[3]</w:t>
      </w:r>
      <w:r>
        <w:rPr>
          <w:spacing w:val="-6"/>
        </w:rPr>
        <w:t> </w:t>
      </w:r>
      <w:r>
        <w:rPr>
          <w:spacing w:val="-2"/>
        </w:rPr>
        <w:t>demonstrate</w:t>
      </w:r>
      <w:r>
        <w:rPr>
          <w:spacing w:val="-4"/>
        </w:rPr>
        <w:t> </w:t>
      </w:r>
      <w:r>
        <w:rPr>
          <w:spacing w:val="-2"/>
        </w:rPr>
        <w:t>real-time</w:t>
      </w:r>
      <w:r>
        <w:rPr>
          <w:spacing w:val="-4"/>
        </w:rPr>
        <w:t> </w:t>
      </w:r>
      <w:r>
        <w:rPr>
          <w:spacing w:val="-2"/>
        </w:rPr>
        <w:t>situational awareness</w:t>
      </w:r>
      <w:r>
        <w:rPr>
          <w:spacing w:val="-7"/>
        </w:rPr>
        <w:t> </w:t>
      </w:r>
      <w:r>
        <w:rPr>
          <w:spacing w:val="-2"/>
        </w:rPr>
        <w:t>and cyber-physical</w:t>
      </w:r>
      <w:r>
        <w:rPr>
          <w:spacing w:val="-5"/>
        </w:rPr>
        <w:t> </w:t>
      </w:r>
      <w:r>
        <w:rPr>
          <w:spacing w:val="-2"/>
        </w:rPr>
        <w:t>traffic</w:t>
      </w:r>
      <w:r>
        <w:rPr>
          <w:spacing w:val="-5"/>
        </w:rPr>
        <w:t> </w:t>
      </w:r>
      <w:r>
        <w:rPr>
          <w:spacing w:val="-2"/>
        </w:rPr>
        <w:t>control,</w:t>
      </w:r>
      <w:r>
        <w:rPr>
          <w:spacing w:val="-6"/>
        </w:rPr>
        <w:t> </w:t>
      </w:r>
      <w:r>
        <w:rPr>
          <w:spacing w:val="-2"/>
        </w:rPr>
        <w:t>and Bellini</w:t>
      </w:r>
      <w:r>
        <w:rPr>
          <w:spacing w:val="-3"/>
        </w:rPr>
        <w:t> </w:t>
      </w:r>
      <w:r>
        <w:rPr>
          <w:spacing w:val="-2"/>
        </w:rPr>
        <w:t>et</w:t>
      </w:r>
      <w:r>
        <w:rPr>
          <w:spacing w:val="-3"/>
        </w:rPr>
        <w:t> </w:t>
      </w:r>
      <w:r>
        <w:rPr>
          <w:spacing w:val="-5"/>
        </w:rPr>
        <w:t>al.</w:t>
      </w:r>
    </w:p>
    <w:p>
      <w:pPr>
        <w:pStyle w:val="BodyText"/>
        <w:spacing w:line="228" w:lineRule="auto" w:before="0"/>
        <w:ind w:right="168" w:firstLine="0"/>
      </w:pPr>
      <w:r>
        <w:rPr/>
        <w:t>[4] present a scalable platform for mobility decision support using microservices and AI/ML/RL. Environmental and resilience studies emphasize different requirements, such as spatial accuracy, model–sensor integration, and scenario analysis [5], [6], [7].</w:t>
      </w:r>
    </w:p>
    <w:p>
      <w:pPr>
        <w:pStyle w:val="BodyText"/>
        <w:spacing w:line="228" w:lineRule="auto"/>
        <w:ind w:right="166"/>
      </w:pPr>
      <w:r>
        <w:rPr/>
        <w:t>At the same time, recent review literature has already covered broad smart-city DT domains and implementation challenges.</w:t>
      </w:r>
      <w:r>
        <w:rPr>
          <w:spacing w:val="-1"/>
        </w:rPr>
        <w:t> </w:t>
      </w:r>
      <w:r>
        <w:rPr/>
        <w:t>A</w:t>
      </w:r>
      <w:r>
        <w:rPr>
          <w:spacing w:val="-3"/>
        </w:rPr>
        <w:t> </w:t>
      </w:r>
      <w:r>
        <w:rPr/>
        <w:t>2023 review</w:t>
      </w:r>
      <w:r>
        <w:rPr>
          <w:spacing w:val="-3"/>
        </w:rPr>
        <w:t> </w:t>
      </w:r>
      <w:r>
        <w:rPr/>
        <w:t>by Therias</w:t>
      </w:r>
      <w:r>
        <w:rPr>
          <w:spacing w:val="-2"/>
        </w:rPr>
        <w:t> </w:t>
      </w:r>
      <w:r>
        <w:rPr/>
        <w:t>and Rafiee</w:t>
      </w:r>
      <w:r>
        <w:rPr>
          <w:spacing w:val="-1"/>
        </w:rPr>
        <w:t> </w:t>
      </w:r>
      <w:r>
        <w:rPr/>
        <w:t>focuses</w:t>
      </w:r>
      <w:r>
        <w:rPr>
          <w:spacing w:val="-4"/>
        </w:rPr>
        <w:t> </w:t>
      </w:r>
      <w:r>
        <w:rPr/>
        <w:t>on how city digital twins can support urban resilience and combines literature analysis with expert interviews [8]. A 2025 comprehensive review categorizes enabling technologies and applications across multiple smart-city domains [9]. Most directly relevant to the present study, Yessef</w:t>
      </w:r>
      <w:r>
        <w:rPr>
          <w:spacing w:val="-7"/>
        </w:rPr>
        <w:t> </w:t>
      </w:r>
      <w:r>
        <w:rPr/>
        <w:t>et</w:t>
      </w:r>
      <w:r>
        <w:rPr>
          <w:spacing w:val="-8"/>
        </w:rPr>
        <w:t> </w:t>
      </w:r>
      <w:r>
        <w:rPr/>
        <w:t>al.</w:t>
      </w:r>
      <w:r>
        <w:rPr>
          <w:spacing w:val="-10"/>
        </w:rPr>
        <w:t> </w:t>
      </w:r>
      <w:r>
        <w:rPr/>
        <w:t>[10]</w:t>
      </w:r>
      <w:r>
        <w:rPr>
          <w:spacing w:val="-9"/>
        </w:rPr>
        <w:t> </w:t>
      </w:r>
      <w:r>
        <w:rPr/>
        <w:t>provide</w:t>
      </w:r>
      <w:r>
        <w:rPr>
          <w:spacing w:val="-7"/>
        </w:rPr>
        <w:t> </w:t>
      </w:r>
      <w:r>
        <w:rPr/>
        <w:t>an</w:t>
      </w:r>
      <w:r>
        <w:rPr>
          <w:spacing w:val="-9"/>
        </w:rPr>
        <w:t> </w:t>
      </w:r>
      <w:r>
        <w:rPr/>
        <w:t>implementation-oriented</w:t>
      </w:r>
      <w:r>
        <w:rPr>
          <w:spacing w:val="-8"/>
        </w:rPr>
        <w:t> </w:t>
      </w:r>
      <w:r>
        <w:rPr/>
        <w:t>review that organizes capabilities into an operational pipeline and introduces</w:t>
      </w:r>
      <w:r>
        <w:rPr>
          <w:spacing w:val="-1"/>
        </w:rPr>
        <w:t> </w:t>
      </w:r>
      <w:r>
        <w:rPr/>
        <w:t>a capability/use-case matrix and implementation-readiness scale. These contributions establish that another broad narrative review, or another generic lifecycle, would add limited value.</w:t>
      </w:r>
    </w:p>
    <w:p>
      <w:pPr>
        <w:pStyle w:val="BodyText"/>
        <w:spacing w:line="228" w:lineRule="auto" w:before="62"/>
        <w:ind w:right="167"/>
      </w:pPr>
      <w:r>
        <w:rPr/>
        <w:t>The specific</w:t>
      </w:r>
      <w:r>
        <w:rPr>
          <w:spacing w:val="-2"/>
        </w:rPr>
        <w:t> </w:t>
      </w:r>
      <w:r>
        <w:rPr/>
        <w:t>gap addressed</w:t>
      </w:r>
      <w:r>
        <w:rPr>
          <w:spacing w:val="-2"/>
        </w:rPr>
        <w:t> </w:t>
      </w:r>
      <w:r>
        <w:rPr/>
        <w:t>here</w:t>
      </w:r>
      <w:r>
        <w:rPr>
          <w:spacing w:val="-2"/>
        </w:rPr>
        <w:t> </w:t>
      </w:r>
      <w:r>
        <w:rPr/>
        <w:t>is</w:t>
      </w:r>
      <w:r>
        <w:rPr>
          <w:spacing w:val="-1"/>
        </w:rPr>
        <w:t> </w:t>
      </w:r>
      <w:r>
        <w:rPr/>
        <w:t>therefore</w:t>
      </w:r>
      <w:r>
        <w:rPr>
          <w:spacing w:val="-2"/>
        </w:rPr>
        <w:t> </w:t>
      </w:r>
      <w:r>
        <w:rPr/>
        <w:t>comparative rather than definitional. The existing review literature provides broad domain coverage, resilience-focused </w:t>
      </w:r>
      <w:r>
        <w:rPr>
          <w:spacing w:val="-2"/>
        </w:rPr>
        <w:t>interpretation, or implementation-oriented lifecycle guidance, </w:t>
      </w:r>
      <w:r>
        <w:rPr/>
        <w:t>but</w:t>
      </w:r>
      <w:r>
        <w:rPr>
          <w:spacing w:val="-7"/>
        </w:rPr>
        <w:t> </w:t>
      </w:r>
      <w:r>
        <w:rPr/>
        <w:t>the</w:t>
      </w:r>
      <w:r>
        <w:rPr>
          <w:spacing w:val="-9"/>
        </w:rPr>
        <w:t> </w:t>
      </w:r>
      <w:r>
        <w:rPr/>
        <w:t>20</w:t>
      </w:r>
      <w:r>
        <w:rPr>
          <w:spacing w:val="-7"/>
        </w:rPr>
        <w:t> </w:t>
      </w:r>
      <w:r>
        <w:rPr/>
        <w:t>selected</w:t>
      </w:r>
      <w:r>
        <w:rPr>
          <w:spacing w:val="-8"/>
        </w:rPr>
        <w:t> </w:t>
      </w:r>
      <w:r>
        <w:rPr/>
        <w:t>non-review</w:t>
      </w:r>
      <w:r>
        <w:rPr>
          <w:spacing w:val="-9"/>
        </w:rPr>
        <w:t> </w:t>
      </w:r>
      <w:r>
        <w:rPr/>
        <w:t>research</w:t>
      </w:r>
      <w:r>
        <w:rPr>
          <w:spacing w:val="-8"/>
        </w:rPr>
        <w:t> </w:t>
      </w:r>
      <w:r>
        <w:rPr/>
        <w:t>studies</w:t>
      </w:r>
      <w:r>
        <w:rPr>
          <w:spacing w:val="-10"/>
        </w:rPr>
        <w:t> </w:t>
      </w:r>
      <w:r>
        <w:rPr/>
        <w:t>in</w:t>
      </w:r>
      <w:r>
        <w:rPr>
          <w:spacing w:val="-8"/>
        </w:rPr>
        <w:t> </w:t>
      </w:r>
      <w:r>
        <w:rPr/>
        <w:t>the</w:t>
      </w:r>
      <w:r>
        <w:rPr>
          <w:spacing w:val="-9"/>
        </w:rPr>
        <w:t> </w:t>
      </w:r>
      <w:r>
        <w:rPr/>
        <w:t>present corpus have not been evaluated within one consistent capability coding scheme that makes capability coverage directly comparable across studies. The objective of this review is to fill that gap by constructing a capability-based comparison</w:t>
      </w:r>
      <w:r>
        <w:rPr>
          <w:spacing w:val="-6"/>
        </w:rPr>
        <w:t> </w:t>
      </w:r>
      <w:r>
        <w:rPr/>
        <w:t>of</w:t>
      </w:r>
      <w:r>
        <w:rPr>
          <w:spacing w:val="-4"/>
        </w:rPr>
        <w:t> </w:t>
      </w:r>
      <w:r>
        <w:rPr/>
        <w:t>the</w:t>
      </w:r>
      <w:r>
        <w:rPr>
          <w:spacing w:val="-6"/>
        </w:rPr>
        <w:t> </w:t>
      </w:r>
      <w:r>
        <w:rPr/>
        <w:t>20</w:t>
      </w:r>
      <w:r>
        <w:rPr>
          <w:spacing w:val="-3"/>
        </w:rPr>
        <w:t> </w:t>
      </w:r>
      <w:r>
        <w:rPr/>
        <w:t>studies</w:t>
      </w:r>
      <w:r>
        <w:rPr>
          <w:spacing w:val="-5"/>
        </w:rPr>
        <w:t> </w:t>
      </w:r>
      <w:r>
        <w:rPr/>
        <w:t>and</w:t>
      </w:r>
      <w:r>
        <w:rPr>
          <w:spacing w:val="-6"/>
        </w:rPr>
        <w:t> </w:t>
      </w:r>
      <w:r>
        <w:rPr/>
        <w:t>quantifying</w:t>
      </w:r>
      <w:r>
        <w:rPr>
          <w:spacing w:val="-3"/>
        </w:rPr>
        <w:t> </w:t>
      </w:r>
      <w:r>
        <w:rPr/>
        <w:t>the</w:t>
      </w:r>
      <w:r>
        <w:rPr>
          <w:spacing w:val="-6"/>
        </w:rPr>
        <w:t> </w:t>
      </w:r>
      <w:r>
        <w:rPr/>
        <w:t>presence</w:t>
      </w:r>
      <w:r>
        <w:rPr>
          <w:spacing w:val="-6"/>
        </w:rPr>
        <w:t> </w:t>
      </w:r>
      <w:r>
        <w:rPr/>
        <w:t>of key</w:t>
      </w:r>
      <w:r>
        <w:rPr>
          <w:spacing w:val="45"/>
        </w:rPr>
        <w:t> </w:t>
      </w:r>
      <w:r>
        <w:rPr/>
        <w:t>capabilities.</w:t>
      </w:r>
      <w:r>
        <w:rPr>
          <w:spacing w:val="44"/>
        </w:rPr>
        <w:t> </w:t>
      </w:r>
      <w:r>
        <w:rPr/>
        <w:t>The</w:t>
      </w:r>
      <w:r>
        <w:rPr>
          <w:spacing w:val="44"/>
        </w:rPr>
        <w:t> </w:t>
      </w:r>
      <w:r>
        <w:rPr/>
        <w:t>review</w:t>
      </w:r>
      <w:r>
        <w:rPr>
          <w:spacing w:val="44"/>
        </w:rPr>
        <w:t> </w:t>
      </w:r>
      <w:r>
        <w:rPr/>
        <w:t>asks</w:t>
      </w:r>
      <w:r>
        <w:rPr>
          <w:spacing w:val="44"/>
        </w:rPr>
        <w:t> </w:t>
      </w:r>
      <w:r>
        <w:rPr/>
        <w:t>three</w:t>
      </w:r>
      <w:r>
        <w:rPr>
          <w:spacing w:val="45"/>
        </w:rPr>
        <w:t> </w:t>
      </w:r>
      <w:r>
        <w:rPr/>
        <w:t>questions:</w:t>
      </w:r>
      <w:r>
        <w:rPr>
          <w:spacing w:val="44"/>
        </w:rPr>
        <w:t> </w:t>
      </w:r>
      <w:r>
        <w:rPr>
          <w:spacing w:val="-4"/>
        </w:rPr>
        <w:t>(RQ1)</w:t>
      </w:r>
    </w:p>
    <w:p>
      <w:pPr>
        <w:pStyle w:val="BodyText"/>
        <w:spacing w:after="0" w:line="228" w:lineRule="auto"/>
        <w:sectPr>
          <w:type w:val="continuous"/>
          <w:pgSz w:w="12240" w:h="15840"/>
          <w:pgMar w:top="1020" w:bottom="280" w:left="720" w:right="720"/>
          <w:cols w:num="2" w:equalWidth="0">
            <w:col w:w="5087" w:space="502"/>
            <w:col w:w="5211"/>
          </w:cols>
        </w:sectPr>
      </w:pPr>
    </w:p>
    <w:p>
      <w:pPr>
        <w:pStyle w:val="BodyText"/>
        <w:spacing w:line="228" w:lineRule="auto" w:before="80"/>
        <w:ind w:right="41" w:firstLine="0"/>
      </w:pPr>
      <w:r>
        <w:rPr>
          <w:spacing w:val="-2"/>
        </w:rPr>
        <w:t>Which</w:t>
      </w:r>
      <w:r>
        <w:rPr>
          <w:spacing w:val="-5"/>
        </w:rPr>
        <w:t> </w:t>
      </w:r>
      <w:r>
        <w:rPr>
          <w:spacing w:val="-2"/>
        </w:rPr>
        <w:t>technical</w:t>
      </w:r>
      <w:r>
        <w:rPr>
          <w:spacing w:val="-6"/>
        </w:rPr>
        <w:t> </w:t>
      </w:r>
      <w:r>
        <w:rPr>
          <w:spacing w:val="-2"/>
        </w:rPr>
        <w:t>and</w:t>
      </w:r>
      <w:r>
        <w:rPr>
          <w:spacing w:val="-6"/>
        </w:rPr>
        <w:t> </w:t>
      </w:r>
      <w:r>
        <w:rPr>
          <w:spacing w:val="-2"/>
        </w:rPr>
        <w:t>operational</w:t>
      </w:r>
      <w:r>
        <w:rPr>
          <w:spacing w:val="-6"/>
        </w:rPr>
        <w:t> </w:t>
      </w:r>
      <w:r>
        <w:rPr>
          <w:spacing w:val="-2"/>
        </w:rPr>
        <w:t>capabilities</w:t>
      </w:r>
      <w:r>
        <w:rPr>
          <w:spacing w:val="-7"/>
        </w:rPr>
        <w:t> </w:t>
      </w:r>
      <w:r>
        <w:rPr>
          <w:spacing w:val="-2"/>
        </w:rPr>
        <w:t>are</w:t>
      </w:r>
      <w:r>
        <w:rPr>
          <w:spacing w:val="-9"/>
        </w:rPr>
        <w:t> </w:t>
      </w:r>
      <w:r>
        <w:rPr>
          <w:spacing w:val="-2"/>
        </w:rPr>
        <w:t>demonstrated </w:t>
      </w:r>
      <w:r>
        <w:rPr/>
        <w:t>across</w:t>
      </w:r>
      <w:r>
        <w:rPr>
          <w:spacing w:val="-9"/>
        </w:rPr>
        <w:t> </w:t>
      </w:r>
      <w:r>
        <w:rPr/>
        <w:t>the</w:t>
      </w:r>
      <w:r>
        <w:rPr>
          <w:spacing w:val="-7"/>
        </w:rPr>
        <w:t> </w:t>
      </w:r>
      <w:r>
        <w:rPr/>
        <w:t>selected</w:t>
      </w:r>
      <w:r>
        <w:rPr>
          <w:spacing w:val="-6"/>
        </w:rPr>
        <w:t> </w:t>
      </w:r>
      <w:r>
        <w:rPr/>
        <w:t>studies?</w:t>
      </w:r>
      <w:r>
        <w:rPr>
          <w:spacing w:val="-8"/>
        </w:rPr>
        <w:t> </w:t>
      </w:r>
      <w:r>
        <w:rPr/>
        <w:t>(RQ2)</w:t>
      </w:r>
      <w:r>
        <w:rPr>
          <w:spacing w:val="-6"/>
        </w:rPr>
        <w:t> </w:t>
      </w:r>
      <w:r>
        <w:rPr/>
        <w:t>How</w:t>
      </w:r>
      <w:r>
        <w:rPr>
          <w:spacing w:val="-10"/>
        </w:rPr>
        <w:t> </w:t>
      </w:r>
      <w:r>
        <w:rPr/>
        <w:t>frequently</w:t>
      </w:r>
      <w:r>
        <w:rPr>
          <w:spacing w:val="-7"/>
        </w:rPr>
        <w:t> </w:t>
      </w:r>
      <w:r>
        <w:rPr/>
        <w:t>does</w:t>
      </w:r>
      <w:r>
        <w:rPr>
          <w:spacing w:val="-8"/>
        </w:rPr>
        <w:t> </w:t>
      </w:r>
      <w:r>
        <w:rPr/>
        <w:t>each </w:t>
      </w:r>
      <w:r>
        <w:rPr>
          <w:spacing w:val="-2"/>
        </w:rPr>
        <w:t>capability</w:t>
      </w:r>
      <w:r>
        <w:rPr>
          <w:spacing w:val="-8"/>
        </w:rPr>
        <w:t> </w:t>
      </w:r>
      <w:r>
        <w:rPr>
          <w:spacing w:val="-2"/>
        </w:rPr>
        <w:t>occur,</w:t>
      </w:r>
      <w:r>
        <w:rPr>
          <w:spacing w:val="-9"/>
        </w:rPr>
        <w:t> </w:t>
      </w:r>
      <w:r>
        <w:rPr>
          <w:spacing w:val="-2"/>
        </w:rPr>
        <w:t>and</w:t>
      </w:r>
      <w:r>
        <w:rPr>
          <w:spacing w:val="-8"/>
        </w:rPr>
        <w:t> </w:t>
      </w:r>
      <w:r>
        <w:rPr>
          <w:spacing w:val="-2"/>
        </w:rPr>
        <w:t>which</w:t>
      </w:r>
      <w:r>
        <w:rPr>
          <w:spacing w:val="-7"/>
        </w:rPr>
        <w:t> </w:t>
      </w:r>
      <w:r>
        <w:rPr>
          <w:spacing w:val="-2"/>
        </w:rPr>
        <w:t>combinations</w:t>
      </w:r>
      <w:r>
        <w:rPr>
          <w:spacing w:val="-10"/>
        </w:rPr>
        <w:t> </w:t>
      </w:r>
      <w:r>
        <w:rPr>
          <w:spacing w:val="-2"/>
        </w:rPr>
        <w:t>remain</w:t>
      </w:r>
      <w:r>
        <w:rPr>
          <w:spacing w:val="-10"/>
        </w:rPr>
        <w:t> </w:t>
      </w:r>
      <w:r>
        <w:rPr>
          <w:spacing w:val="-2"/>
        </w:rPr>
        <w:t>uncommon? </w:t>
      </w:r>
      <w:r>
        <w:rPr/>
        <w:t>(RQ3) What research gaps become visible when the studies are compared using the same criteria?</w:t>
      </w:r>
    </w:p>
    <w:p>
      <w:pPr>
        <w:pStyle w:val="BodyText"/>
        <w:spacing w:line="228" w:lineRule="auto"/>
        <w:ind w:right="38"/>
      </w:pPr>
      <w:r>
        <w:rPr/>
        <w:t>The contribution is intentionally limited to a review </w:t>
      </w:r>
      <w:r>
        <w:rPr>
          <w:spacing w:val="-2"/>
        </w:rPr>
        <w:t>contribution.</w:t>
      </w:r>
      <w:r>
        <w:rPr>
          <w:spacing w:val="-11"/>
        </w:rPr>
        <w:t> </w:t>
      </w:r>
      <w:r>
        <w:rPr>
          <w:spacing w:val="-2"/>
        </w:rPr>
        <w:t>This</w:t>
      </w:r>
      <w:r>
        <w:rPr>
          <w:spacing w:val="-10"/>
        </w:rPr>
        <w:t> </w:t>
      </w:r>
      <w:r>
        <w:rPr>
          <w:spacing w:val="-2"/>
        </w:rPr>
        <w:t>paper</w:t>
      </w:r>
      <w:r>
        <w:rPr>
          <w:spacing w:val="-9"/>
        </w:rPr>
        <w:t> </w:t>
      </w:r>
      <w:r>
        <w:rPr>
          <w:spacing w:val="-2"/>
        </w:rPr>
        <w:t>does</w:t>
      </w:r>
      <w:r>
        <w:rPr>
          <w:spacing w:val="-11"/>
        </w:rPr>
        <w:t> </w:t>
      </w:r>
      <w:r>
        <w:rPr>
          <w:spacing w:val="-2"/>
        </w:rPr>
        <w:t>not</w:t>
      </w:r>
      <w:r>
        <w:rPr>
          <w:spacing w:val="-9"/>
        </w:rPr>
        <w:t> </w:t>
      </w:r>
      <w:r>
        <w:rPr>
          <w:spacing w:val="-2"/>
        </w:rPr>
        <w:t>claim</w:t>
      </w:r>
      <w:r>
        <w:rPr>
          <w:spacing w:val="-6"/>
        </w:rPr>
        <w:t> </w:t>
      </w:r>
      <w:r>
        <w:rPr>
          <w:spacing w:val="-2"/>
        </w:rPr>
        <w:t>to</w:t>
      </w:r>
      <w:r>
        <w:rPr>
          <w:spacing w:val="-8"/>
        </w:rPr>
        <w:t> </w:t>
      </w:r>
      <w:r>
        <w:rPr>
          <w:spacing w:val="-2"/>
        </w:rPr>
        <w:t>invent</w:t>
      </w:r>
      <w:r>
        <w:rPr>
          <w:spacing w:val="-9"/>
        </w:rPr>
        <w:t> </w:t>
      </w:r>
      <w:r>
        <w:rPr>
          <w:spacing w:val="-2"/>
        </w:rPr>
        <w:t>a</w:t>
      </w:r>
      <w:r>
        <w:rPr>
          <w:spacing w:val="-9"/>
        </w:rPr>
        <w:t> </w:t>
      </w:r>
      <w:r>
        <w:rPr>
          <w:spacing w:val="-2"/>
        </w:rPr>
        <w:t>new</w:t>
      </w:r>
      <w:r>
        <w:rPr>
          <w:spacing w:val="-8"/>
        </w:rPr>
        <w:t> </w:t>
      </w:r>
      <w:r>
        <w:rPr>
          <w:spacing w:val="-2"/>
        </w:rPr>
        <w:t>Digital </w:t>
      </w:r>
      <w:r>
        <w:rPr/>
        <w:t>Twin architecture or a new city-control pipeline. Instead, it contributes a reproducible comparison framework, a coded capability matrix, a quantitative synthesis of the selected evidence, and an evidence-derived interpretation of the remaining integration gaps.</w:t>
      </w:r>
    </w:p>
    <w:p>
      <w:pPr>
        <w:pStyle w:val="BodyText"/>
        <w:spacing w:before="180"/>
        <w:ind w:left="0" w:firstLine="0"/>
        <w:jc w:val="left"/>
      </w:pPr>
    </w:p>
    <w:p>
      <w:pPr>
        <w:pStyle w:val="Heading1"/>
        <w:numPr>
          <w:ilvl w:val="0"/>
          <w:numId w:val="1"/>
        </w:numPr>
        <w:tabs>
          <w:tab w:pos="424" w:val="left" w:leader="none"/>
        </w:tabs>
        <w:spacing w:line="240" w:lineRule="auto" w:before="0" w:after="0"/>
        <w:ind w:left="424" w:right="0" w:hanging="252"/>
        <w:jc w:val="both"/>
      </w:pPr>
      <w:r>
        <w:rPr/>
        <w:t>REVIEW</w:t>
      </w:r>
      <w:r>
        <w:rPr>
          <w:spacing w:val="-8"/>
        </w:rPr>
        <w:t> </w:t>
      </w:r>
      <w:r>
        <w:rPr>
          <w:spacing w:val="-2"/>
        </w:rPr>
        <w:t>METHODOLOGY</w:t>
      </w:r>
    </w:p>
    <w:p>
      <w:pPr>
        <w:pStyle w:val="Heading2"/>
        <w:numPr>
          <w:ilvl w:val="1"/>
          <w:numId w:val="1"/>
        </w:numPr>
        <w:tabs>
          <w:tab w:pos="459" w:val="left" w:leader="none"/>
        </w:tabs>
        <w:spacing w:line="240" w:lineRule="auto" w:before="80" w:after="0"/>
        <w:ind w:left="459" w:right="0" w:hanging="287"/>
        <w:jc w:val="both"/>
      </w:pPr>
      <w:r>
        <w:rPr/>
        <w:t>Review</w:t>
      </w:r>
      <w:r>
        <w:rPr>
          <w:spacing w:val="-5"/>
        </w:rPr>
        <w:t> </w:t>
      </w:r>
      <w:r>
        <w:rPr/>
        <w:t>Scope</w:t>
      </w:r>
      <w:r>
        <w:rPr>
          <w:spacing w:val="-4"/>
        </w:rPr>
        <w:t> </w:t>
      </w:r>
      <w:r>
        <w:rPr/>
        <w:t>and</w:t>
      </w:r>
      <w:r>
        <w:rPr>
          <w:spacing w:val="-4"/>
        </w:rPr>
        <w:t> </w:t>
      </w:r>
      <w:r>
        <w:rPr>
          <w:spacing w:val="-2"/>
        </w:rPr>
        <w:t>Corpus</w:t>
      </w:r>
    </w:p>
    <w:p>
      <w:pPr>
        <w:pStyle w:val="BodyText"/>
        <w:spacing w:line="228" w:lineRule="auto" w:before="41"/>
        <w:ind w:right="38"/>
      </w:pPr>
      <w:r>
        <w:rPr/>
        <w:t>The review corpus contains 20 peer-reviewed research studies addressing urban or smart-city Digital Twin applications, architectures, data integration, simulation, or decision support. The core set excludes survey papers, systematic reviews, bibliometric studies, and review-only articles.</w:t>
      </w:r>
      <w:r>
        <w:rPr>
          <w:spacing w:val="-8"/>
        </w:rPr>
        <w:t> </w:t>
      </w:r>
      <w:r>
        <w:rPr/>
        <w:t>The</w:t>
      </w:r>
      <w:r>
        <w:rPr>
          <w:spacing w:val="-7"/>
        </w:rPr>
        <w:t> </w:t>
      </w:r>
      <w:r>
        <w:rPr/>
        <w:t>publication</w:t>
      </w:r>
      <w:r>
        <w:rPr>
          <w:spacing w:val="-7"/>
        </w:rPr>
        <w:t> </w:t>
      </w:r>
      <w:r>
        <w:rPr/>
        <w:t>years</w:t>
      </w:r>
      <w:r>
        <w:rPr>
          <w:spacing w:val="-8"/>
        </w:rPr>
        <w:t> </w:t>
      </w:r>
      <w:r>
        <w:rPr/>
        <w:t>represented</w:t>
      </w:r>
      <w:r>
        <w:rPr>
          <w:spacing w:val="-4"/>
        </w:rPr>
        <w:t> </w:t>
      </w:r>
      <w:r>
        <w:rPr/>
        <w:t>in</w:t>
      </w:r>
      <w:r>
        <w:rPr>
          <w:spacing w:val="-4"/>
        </w:rPr>
        <w:t> </w:t>
      </w:r>
      <w:r>
        <w:rPr/>
        <w:t>the</w:t>
      </w:r>
      <w:r>
        <w:rPr>
          <w:spacing w:val="-7"/>
        </w:rPr>
        <w:t> </w:t>
      </w:r>
      <w:r>
        <w:rPr/>
        <w:t>final</w:t>
      </w:r>
      <w:r>
        <w:rPr>
          <w:spacing w:val="-8"/>
        </w:rPr>
        <w:t> </w:t>
      </w:r>
      <w:r>
        <w:rPr/>
        <w:t>corpus are 2021–2026; the inclusion of the 2021 disaster-decision study [7] is deliberate and is reported explicitly rather than being described as part of a 2022–2026-only set.</w:t>
      </w:r>
    </w:p>
    <w:p>
      <w:pPr>
        <w:pStyle w:val="Heading2"/>
        <w:numPr>
          <w:ilvl w:val="1"/>
          <w:numId w:val="1"/>
        </w:numPr>
        <w:tabs>
          <w:tab w:pos="459" w:val="left" w:leader="none"/>
        </w:tabs>
        <w:spacing w:line="240" w:lineRule="auto" w:before="79" w:after="0"/>
        <w:ind w:left="459" w:right="0" w:hanging="287"/>
        <w:jc w:val="both"/>
      </w:pPr>
      <w:r>
        <w:rPr/>
        <w:t>Source</w:t>
      </w:r>
      <w:r>
        <w:rPr>
          <w:spacing w:val="-9"/>
        </w:rPr>
        <w:t> </w:t>
      </w:r>
      <w:r>
        <w:rPr>
          <w:spacing w:val="-2"/>
        </w:rPr>
        <w:t>Classification</w:t>
      </w:r>
    </w:p>
    <w:p>
      <w:pPr>
        <w:pStyle w:val="BodyText"/>
        <w:spacing w:line="228" w:lineRule="auto" w:before="41"/>
        <w:ind w:right="39"/>
      </w:pPr>
      <w:r>
        <w:rPr/>
        <w:t>The source mix was also recorded accurately. Sixteen of the 20 selected studies are IEEE publications; the remaining </w:t>
      </w:r>
      <w:r>
        <w:rPr>
          <w:spacing w:val="-2"/>
        </w:rPr>
        <w:t>four</w:t>
      </w:r>
      <w:r>
        <w:rPr>
          <w:spacing w:val="-5"/>
        </w:rPr>
        <w:t> </w:t>
      </w:r>
      <w:r>
        <w:rPr>
          <w:spacing w:val="-2"/>
        </w:rPr>
        <w:t>are</w:t>
      </w:r>
      <w:r>
        <w:rPr>
          <w:spacing w:val="-5"/>
        </w:rPr>
        <w:t> </w:t>
      </w:r>
      <w:r>
        <w:rPr>
          <w:spacing w:val="-2"/>
        </w:rPr>
        <w:t>published</w:t>
      </w:r>
      <w:r>
        <w:rPr>
          <w:spacing w:val="-4"/>
        </w:rPr>
        <w:t> </w:t>
      </w:r>
      <w:r>
        <w:rPr>
          <w:spacing w:val="-2"/>
        </w:rPr>
        <w:t>through</w:t>
      </w:r>
      <w:r>
        <w:rPr>
          <w:spacing w:val="-4"/>
        </w:rPr>
        <w:t> </w:t>
      </w:r>
      <w:r>
        <w:rPr>
          <w:spacing w:val="-2"/>
        </w:rPr>
        <w:t>other</w:t>
      </w:r>
      <w:r>
        <w:rPr>
          <w:spacing w:val="-4"/>
        </w:rPr>
        <w:t> </w:t>
      </w:r>
      <w:r>
        <w:rPr>
          <w:spacing w:val="-2"/>
        </w:rPr>
        <w:t>scholarly</w:t>
      </w:r>
      <w:r>
        <w:rPr>
          <w:spacing w:val="-4"/>
        </w:rPr>
        <w:t> </w:t>
      </w:r>
      <w:r>
        <w:rPr>
          <w:spacing w:val="-2"/>
        </w:rPr>
        <w:t>venues:</w:t>
      </w:r>
      <w:r>
        <w:rPr>
          <w:spacing w:val="-3"/>
        </w:rPr>
        <w:t> </w:t>
      </w:r>
      <w:r>
        <w:rPr>
          <w:spacing w:val="-2"/>
        </w:rPr>
        <w:t>the Journal </w:t>
      </w:r>
      <w:r>
        <w:rPr/>
        <w:t>of Computational Design and Engineering [11], the ASCE Construction Research Congress proceedings [2], Procedia Computer Science [12], and Nature Computational Science </w:t>
      </w:r>
      <w:r>
        <w:rPr>
          <w:spacing w:val="-2"/>
        </w:rPr>
        <w:t>[7].</w:t>
      </w:r>
      <w:r>
        <w:rPr>
          <w:spacing w:val="-11"/>
        </w:rPr>
        <w:t> </w:t>
      </w:r>
      <w:r>
        <w:rPr>
          <w:spacing w:val="-2"/>
        </w:rPr>
        <w:t>Thus,</w:t>
      </w:r>
      <w:r>
        <w:rPr>
          <w:spacing w:val="-10"/>
        </w:rPr>
        <w:t> </w:t>
      </w:r>
      <w:r>
        <w:rPr>
          <w:spacing w:val="-2"/>
        </w:rPr>
        <w:t>the</w:t>
      </w:r>
      <w:r>
        <w:rPr>
          <w:spacing w:val="-11"/>
        </w:rPr>
        <w:t> </w:t>
      </w:r>
      <w:r>
        <w:rPr>
          <w:spacing w:val="-2"/>
        </w:rPr>
        <w:t>corpus</w:t>
      </w:r>
      <w:r>
        <w:rPr>
          <w:spacing w:val="-10"/>
        </w:rPr>
        <w:t> </w:t>
      </w:r>
      <w:r>
        <w:rPr>
          <w:spacing w:val="-2"/>
        </w:rPr>
        <w:t>is</w:t>
      </w:r>
      <w:r>
        <w:rPr>
          <w:spacing w:val="-11"/>
        </w:rPr>
        <w:t> </w:t>
      </w:r>
      <w:r>
        <w:rPr>
          <w:spacing w:val="-2"/>
        </w:rPr>
        <w:t>described</w:t>
      </w:r>
      <w:r>
        <w:rPr>
          <w:spacing w:val="-10"/>
        </w:rPr>
        <w:t> </w:t>
      </w:r>
      <w:r>
        <w:rPr>
          <w:spacing w:val="-2"/>
        </w:rPr>
        <w:t>as</w:t>
      </w:r>
      <w:r>
        <w:rPr>
          <w:spacing w:val="-11"/>
        </w:rPr>
        <w:t> </w:t>
      </w:r>
      <w:r>
        <w:rPr>
          <w:spacing w:val="-2"/>
        </w:rPr>
        <w:t>20</w:t>
      </w:r>
      <w:r>
        <w:rPr>
          <w:spacing w:val="-10"/>
        </w:rPr>
        <w:t> </w:t>
      </w:r>
      <w:r>
        <w:rPr>
          <w:spacing w:val="-2"/>
        </w:rPr>
        <w:t>peer-reviewed</w:t>
      </w:r>
      <w:r>
        <w:rPr>
          <w:spacing w:val="-11"/>
        </w:rPr>
        <w:t> </w:t>
      </w:r>
      <w:r>
        <w:rPr>
          <w:spacing w:val="-2"/>
        </w:rPr>
        <w:t>research </w:t>
      </w:r>
      <w:r>
        <w:rPr/>
        <w:t>studies, not as 20 IEEE papers.</w:t>
      </w:r>
    </w:p>
    <w:p>
      <w:pPr>
        <w:pStyle w:val="Heading2"/>
        <w:numPr>
          <w:ilvl w:val="1"/>
          <w:numId w:val="1"/>
        </w:numPr>
        <w:tabs>
          <w:tab w:pos="459" w:val="left" w:leader="none"/>
        </w:tabs>
        <w:spacing w:line="240" w:lineRule="auto" w:before="79" w:after="0"/>
        <w:ind w:left="459" w:right="0" w:hanging="287"/>
        <w:jc w:val="both"/>
      </w:pPr>
      <w:r>
        <w:rPr/>
        <w:t>Search</w:t>
      </w:r>
      <w:r>
        <w:rPr>
          <w:spacing w:val="-7"/>
        </w:rPr>
        <w:t> </w:t>
      </w:r>
      <w:r>
        <w:rPr>
          <w:spacing w:val="-2"/>
        </w:rPr>
        <w:t>Strategy</w:t>
      </w:r>
    </w:p>
    <w:p>
      <w:pPr>
        <w:pStyle w:val="BodyText"/>
        <w:spacing w:line="228" w:lineRule="auto" w:before="41"/>
        <w:ind w:right="38"/>
      </w:pPr>
      <w:r>
        <w:rPr/>
        <w:t>The revised protocol uses the following core Boolean expression for discovery: ("digital twin" OR "urban digital twin" OR "city digital twin") AND ("smart city" OR urban) AND ("real-time monitoring" OR synchronization OR prediction</w:t>
      </w:r>
      <w:r>
        <w:rPr>
          <w:spacing w:val="-13"/>
        </w:rPr>
        <w:t> </w:t>
      </w:r>
      <w:r>
        <w:rPr/>
        <w:t>OR</w:t>
      </w:r>
      <w:r>
        <w:rPr>
          <w:spacing w:val="-12"/>
        </w:rPr>
        <w:t> </w:t>
      </w:r>
      <w:r>
        <w:rPr/>
        <w:t>simulation</w:t>
      </w:r>
      <w:r>
        <w:rPr>
          <w:spacing w:val="-13"/>
        </w:rPr>
        <w:t> </w:t>
      </w:r>
      <w:r>
        <w:rPr/>
        <w:t>OR</w:t>
      </w:r>
      <w:r>
        <w:rPr>
          <w:spacing w:val="-12"/>
        </w:rPr>
        <w:t> </w:t>
      </w:r>
      <w:r>
        <w:rPr/>
        <w:t>"decision</w:t>
      </w:r>
      <w:r>
        <w:rPr>
          <w:spacing w:val="-13"/>
        </w:rPr>
        <w:t> </w:t>
      </w:r>
      <w:r>
        <w:rPr/>
        <w:t>support"</w:t>
      </w:r>
      <w:r>
        <w:rPr>
          <w:spacing w:val="-12"/>
        </w:rPr>
        <w:t> </w:t>
      </w:r>
      <w:r>
        <w:rPr/>
        <w:t>OR</w:t>
      </w:r>
      <w:r>
        <w:rPr>
          <w:spacing w:val="-13"/>
        </w:rPr>
        <w:t> </w:t>
      </w:r>
      <w:r>
        <w:rPr/>
        <w:t>mobility OR</w:t>
      </w:r>
      <w:r>
        <w:rPr>
          <w:spacing w:val="-13"/>
        </w:rPr>
        <w:t> </w:t>
      </w:r>
      <w:r>
        <w:rPr/>
        <w:t>traffic</w:t>
      </w:r>
      <w:r>
        <w:rPr>
          <w:spacing w:val="-12"/>
        </w:rPr>
        <w:t> </w:t>
      </w:r>
      <w:r>
        <w:rPr/>
        <w:t>OR</w:t>
      </w:r>
      <w:r>
        <w:rPr>
          <w:spacing w:val="-13"/>
        </w:rPr>
        <w:t> </w:t>
      </w:r>
      <w:r>
        <w:rPr/>
        <w:t>environment).</w:t>
      </w:r>
      <w:r>
        <w:rPr>
          <w:spacing w:val="-12"/>
        </w:rPr>
        <w:t> </w:t>
      </w:r>
      <w:r>
        <w:rPr/>
        <w:t>Application-specific</w:t>
      </w:r>
      <w:r>
        <w:rPr>
          <w:spacing w:val="-13"/>
        </w:rPr>
        <w:t> </w:t>
      </w:r>
      <w:r>
        <w:rPr/>
        <w:t>terms</w:t>
      </w:r>
      <w:r>
        <w:rPr>
          <w:spacing w:val="-12"/>
        </w:rPr>
        <w:t> </w:t>
      </w:r>
      <w:r>
        <w:rPr/>
        <w:t>such as "air quality," flood, water, building, resilience, and participatory sensing were used as secondary searches when </w:t>
      </w:r>
      <w:r>
        <w:rPr>
          <w:spacing w:val="-2"/>
        </w:rPr>
        <w:t>needed</w:t>
      </w:r>
      <w:r>
        <w:rPr>
          <w:spacing w:val="-4"/>
        </w:rPr>
        <w:t> </w:t>
      </w:r>
      <w:r>
        <w:rPr>
          <w:spacing w:val="-2"/>
        </w:rPr>
        <w:t>to</w:t>
      </w:r>
      <w:r>
        <w:rPr>
          <w:spacing w:val="-4"/>
        </w:rPr>
        <w:t> </w:t>
      </w:r>
      <w:r>
        <w:rPr>
          <w:spacing w:val="-2"/>
        </w:rPr>
        <w:t>identify</w:t>
      </w:r>
      <w:r>
        <w:rPr>
          <w:spacing w:val="-6"/>
        </w:rPr>
        <w:t> </w:t>
      </w:r>
      <w:r>
        <w:rPr>
          <w:spacing w:val="-2"/>
        </w:rPr>
        <w:t>directly</w:t>
      </w:r>
      <w:r>
        <w:rPr>
          <w:spacing w:val="-7"/>
        </w:rPr>
        <w:t> </w:t>
      </w:r>
      <w:r>
        <w:rPr>
          <w:spacing w:val="-2"/>
        </w:rPr>
        <w:t>relevant</w:t>
      </w:r>
      <w:r>
        <w:rPr>
          <w:spacing w:val="-8"/>
        </w:rPr>
        <w:t> </w:t>
      </w:r>
      <w:r>
        <w:rPr>
          <w:spacing w:val="-2"/>
        </w:rPr>
        <w:t>studies.</w:t>
      </w:r>
      <w:r>
        <w:rPr>
          <w:spacing w:val="-5"/>
        </w:rPr>
        <w:t> </w:t>
      </w:r>
      <w:r>
        <w:rPr>
          <w:spacing w:val="-2"/>
        </w:rPr>
        <w:t>Discovery sources </w:t>
      </w:r>
      <w:r>
        <w:rPr/>
        <w:t>were IEEE Xplore, Scopus, Web of Science, ScienceDirect, and SpringerLink; Crossref and publisher records were used for</w:t>
      </w:r>
      <w:r>
        <w:rPr>
          <w:spacing w:val="-10"/>
        </w:rPr>
        <w:t> </w:t>
      </w:r>
      <w:r>
        <w:rPr/>
        <w:t>bibliographic</w:t>
      </w:r>
      <w:r>
        <w:rPr>
          <w:spacing w:val="-11"/>
        </w:rPr>
        <w:t> </w:t>
      </w:r>
      <w:r>
        <w:rPr/>
        <w:t>verification.</w:t>
      </w:r>
      <w:r>
        <w:rPr>
          <w:spacing w:val="-11"/>
        </w:rPr>
        <w:t> </w:t>
      </w:r>
      <w:r>
        <w:rPr/>
        <w:t>The</w:t>
      </w:r>
      <w:r>
        <w:rPr>
          <w:spacing w:val="-9"/>
        </w:rPr>
        <w:t> </w:t>
      </w:r>
      <w:r>
        <w:rPr/>
        <w:t>search</w:t>
      </w:r>
      <w:r>
        <w:rPr>
          <w:spacing w:val="-8"/>
        </w:rPr>
        <w:t> </w:t>
      </w:r>
      <w:r>
        <w:rPr/>
        <w:t>window</w:t>
      </w:r>
      <w:r>
        <w:rPr>
          <w:spacing w:val="-10"/>
        </w:rPr>
        <w:t> </w:t>
      </w:r>
      <w:r>
        <w:rPr/>
        <w:t>was</w:t>
      </w:r>
      <w:r>
        <w:rPr>
          <w:spacing w:val="-10"/>
        </w:rPr>
        <w:t> </w:t>
      </w:r>
      <w:r>
        <w:rPr/>
        <w:t>2021–</w:t>
      </w:r>
      <w:r>
        <w:rPr>
          <w:spacing w:val="-2"/>
        </w:rPr>
        <w:t>2026</w:t>
      </w:r>
      <w:r>
        <w:rPr>
          <w:spacing w:val="-9"/>
        </w:rPr>
        <w:t> </w:t>
      </w:r>
      <w:r>
        <w:rPr>
          <w:spacing w:val="-2"/>
        </w:rPr>
        <w:t>so</w:t>
      </w:r>
      <w:r>
        <w:rPr>
          <w:spacing w:val="-8"/>
        </w:rPr>
        <w:t> </w:t>
      </w:r>
      <w:r>
        <w:rPr>
          <w:spacing w:val="-2"/>
        </w:rPr>
        <w:t>that</w:t>
      </w:r>
      <w:r>
        <w:rPr>
          <w:spacing w:val="-9"/>
        </w:rPr>
        <w:t> </w:t>
      </w:r>
      <w:r>
        <w:rPr>
          <w:spacing w:val="-2"/>
        </w:rPr>
        <w:t>the</w:t>
      </w:r>
      <w:r>
        <w:rPr>
          <w:spacing w:val="-11"/>
        </w:rPr>
        <w:t> </w:t>
      </w:r>
      <w:r>
        <w:rPr>
          <w:spacing w:val="-2"/>
        </w:rPr>
        <w:t>final</w:t>
      </w:r>
      <w:r>
        <w:rPr>
          <w:spacing w:val="-10"/>
        </w:rPr>
        <w:t> </w:t>
      </w:r>
      <w:r>
        <w:rPr>
          <w:spacing w:val="-2"/>
        </w:rPr>
        <w:t>corpus</w:t>
      </w:r>
      <w:r>
        <w:rPr>
          <w:spacing w:val="-10"/>
        </w:rPr>
        <w:t> </w:t>
      </w:r>
      <w:r>
        <w:rPr>
          <w:spacing w:val="-2"/>
        </w:rPr>
        <w:t>remains</w:t>
      </w:r>
      <w:r>
        <w:rPr>
          <w:spacing w:val="-10"/>
        </w:rPr>
        <w:t> </w:t>
      </w:r>
      <w:r>
        <w:rPr>
          <w:spacing w:val="-2"/>
        </w:rPr>
        <w:t>consistent</w:t>
      </w:r>
      <w:r>
        <w:rPr>
          <w:spacing w:val="-9"/>
        </w:rPr>
        <w:t> </w:t>
      </w:r>
      <w:r>
        <w:rPr>
          <w:spacing w:val="-2"/>
        </w:rPr>
        <w:t>with</w:t>
      </w:r>
      <w:r>
        <w:rPr>
          <w:spacing w:val="-8"/>
        </w:rPr>
        <w:t> </w:t>
      </w:r>
      <w:r>
        <w:rPr>
          <w:spacing w:val="-2"/>
        </w:rPr>
        <w:t>the</w:t>
      </w:r>
      <w:r>
        <w:rPr>
          <w:spacing w:val="-11"/>
        </w:rPr>
        <w:t> </w:t>
      </w:r>
      <w:r>
        <w:rPr>
          <w:spacing w:val="-2"/>
        </w:rPr>
        <w:t>oldest </w:t>
      </w:r>
      <w:r>
        <w:rPr/>
        <w:t>included study.</w:t>
      </w:r>
    </w:p>
    <w:p>
      <w:pPr>
        <w:pStyle w:val="Heading2"/>
        <w:numPr>
          <w:ilvl w:val="1"/>
          <w:numId w:val="1"/>
        </w:numPr>
        <w:tabs>
          <w:tab w:pos="459" w:val="left" w:leader="none"/>
        </w:tabs>
        <w:spacing w:line="240" w:lineRule="auto" w:before="81" w:after="0"/>
        <w:ind w:left="459" w:right="0" w:hanging="287"/>
        <w:jc w:val="both"/>
      </w:pPr>
      <w:r>
        <w:rPr/>
        <w:t>Inclusion</w:t>
      </w:r>
      <w:r>
        <w:rPr>
          <w:spacing w:val="-10"/>
        </w:rPr>
        <w:t> </w:t>
      </w:r>
      <w:r>
        <w:rPr/>
        <w:t>and</w:t>
      </w:r>
      <w:r>
        <w:rPr>
          <w:spacing w:val="-8"/>
        </w:rPr>
        <w:t> </w:t>
      </w:r>
      <w:r>
        <w:rPr/>
        <w:t>Exclusion</w:t>
      </w:r>
      <w:r>
        <w:rPr>
          <w:spacing w:val="-9"/>
        </w:rPr>
        <w:t> </w:t>
      </w:r>
      <w:r>
        <w:rPr>
          <w:spacing w:val="-2"/>
        </w:rPr>
        <w:t>Criteria</w:t>
      </w:r>
    </w:p>
    <w:p>
      <w:pPr>
        <w:pStyle w:val="BodyText"/>
        <w:spacing w:line="228" w:lineRule="auto" w:before="39"/>
        <w:ind w:right="38"/>
      </w:pPr>
      <w:r>
        <w:rPr/>
        <w:t>Studies were included when they (i) addressed a Digital Twin or city-scale digital-twin application, (ii) concerned a smart-city or urban-management problem, (iii) reported a research contribution rather than only a conceptual review, and (iv) provided enough information to identify its data sources, methods, architecture, application, or decision function. Studies were excluded when they were surveys or </w:t>
      </w:r>
      <w:r>
        <w:rPr>
          <w:spacing w:val="-2"/>
        </w:rPr>
        <w:t>systematic</w:t>
      </w:r>
      <w:r>
        <w:rPr>
          <w:spacing w:val="-1"/>
        </w:rPr>
        <w:t> </w:t>
      </w:r>
      <w:r>
        <w:rPr>
          <w:spacing w:val="-2"/>
        </w:rPr>
        <w:t>reviews,</w:t>
      </w:r>
      <w:r>
        <w:rPr>
          <w:spacing w:val="1"/>
        </w:rPr>
        <w:t> </w:t>
      </w:r>
      <w:r>
        <w:rPr>
          <w:spacing w:val="-2"/>
        </w:rPr>
        <w:t>unrelated</w:t>
      </w:r>
      <w:r>
        <w:rPr>
          <w:spacing w:val="2"/>
        </w:rPr>
        <w:t> </w:t>
      </w:r>
      <w:r>
        <w:rPr>
          <w:spacing w:val="-2"/>
        </w:rPr>
        <w:t>industrial/product</w:t>
      </w:r>
      <w:r>
        <w:rPr>
          <w:spacing w:val="2"/>
        </w:rPr>
        <w:t> </w:t>
      </w:r>
      <w:r>
        <w:rPr>
          <w:spacing w:val="-2"/>
        </w:rPr>
        <w:t>twins,</w:t>
      </w:r>
      <w:r>
        <w:rPr>
          <w:spacing w:val="1"/>
        </w:rPr>
        <w:t> </w:t>
      </w:r>
      <w:r>
        <w:rPr>
          <w:spacing w:val="-2"/>
        </w:rPr>
        <w:t>purely</w:t>
      </w:r>
    </w:p>
    <w:p>
      <w:pPr>
        <w:pStyle w:val="BodyText"/>
        <w:spacing w:line="228" w:lineRule="auto" w:before="80"/>
        <w:ind w:right="166" w:firstLine="0"/>
      </w:pPr>
      <w:r>
        <w:rPr/>
        <w:br w:type="column"/>
      </w:r>
      <w:r>
        <w:rPr/>
        <w:t>theoretical papers without a relevant urban contribution, duplicates,</w:t>
      </w:r>
      <w:r>
        <w:rPr>
          <w:spacing w:val="-12"/>
        </w:rPr>
        <w:t> </w:t>
      </w:r>
      <w:r>
        <w:rPr/>
        <w:t>or</w:t>
      </w:r>
      <w:r>
        <w:rPr>
          <w:spacing w:val="-12"/>
        </w:rPr>
        <w:t> </w:t>
      </w:r>
      <w:r>
        <w:rPr/>
        <w:t>papers</w:t>
      </w:r>
      <w:r>
        <w:rPr>
          <w:spacing w:val="-13"/>
        </w:rPr>
        <w:t> </w:t>
      </w:r>
      <w:r>
        <w:rPr/>
        <w:t>whose</w:t>
      </w:r>
      <w:r>
        <w:rPr>
          <w:spacing w:val="-11"/>
        </w:rPr>
        <w:t> </w:t>
      </w:r>
      <w:r>
        <w:rPr/>
        <w:t>primary</w:t>
      </w:r>
      <w:r>
        <w:rPr>
          <w:spacing w:val="-13"/>
        </w:rPr>
        <w:t> </w:t>
      </w:r>
      <w:r>
        <w:rPr/>
        <w:t>focus</w:t>
      </w:r>
      <w:r>
        <w:rPr>
          <w:spacing w:val="-10"/>
        </w:rPr>
        <w:t> </w:t>
      </w:r>
      <w:r>
        <w:rPr/>
        <w:t>was</w:t>
      </w:r>
      <w:r>
        <w:rPr>
          <w:spacing w:val="-12"/>
        </w:rPr>
        <w:t> </w:t>
      </w:r>
      <w:r>
        <w:rPr/>
        <w:t>outside</w:t>
      </w:r>
      <w:r>
        <w:rPr>
          <w:spacing w:val="-12"/>
        </w:rPr>
        <w:t> </w:t>
      </w:r>
      <w:r>
        <w:rPr/>
        <w:t>smart-city management.</w:t>
      </w:r>
    </w:p>
    <w:p>
      <w:pPr>
        <w:pStyle w:val="Heading2"/>
        <w:numPr>
          <w:ilvl w:val="1"/>
          <w:numId w:val="1"/>
        </w:numPr>
        <w:tabs>
          <w:tab w:pos="458" w:val="left" w:leader="none"/>
        </w:tabs>
        <w:spacing w:line="240" w:lineRule="auto" w:before="80" w:after="0"/>
        <w:ind w:left="458" w:right="0" w:hanging="286"/>
        <w:jc w:val="both"/>
      </w:pPr>
      <w:r>
        <w:rPr/>
        <w:t>Screening</w:t>
      </w:r>
      <w:r>
        <w:rPr>
          <w:spacing w:val="-6"/>
        </w:rPr>
        <w:t> </w:t>
      </w:r>
      <w:r>
        <w:rPr/>
        <w:t>and</w:t>
      </w:r>
      <w:r>
        <w:rPr>
          <w:spacing w:val="-6"/>
        </w:rPr>
        <w:t> </w:t>
      </w:r>
      <w:r>
        <w:rPr/>
        <w:t>Coding</w:t>
      </w:r>
      <w:r>
        <w:rPr>
          <w:spacing w:val="-6"/>
        </w:rPr>
        <w:t> </w:t>
      </w:r>
      <w:r>
        <w:rPr>
          <w:spacing w:val="-2"/>
        </w:rPr>
        <w:t>Procedure</w:t>
      </w:r>
    </w:p>
    <w:p>
      <w:pPr>
        <w:pStyle w:val="BodyText"/>
        <w:spacing w:line="228" w:lineRule="auto" w:before="40"/>
        <w:ind w:right="166"/>
      </w:pPr>
      <w:r>
        <w:rPr/>
        <w:t>Screening was performed in three stages: title/abstract relevance, full-text or publisher-record relevance, and final eligibility against the inclusion criteria. Duplicates and review-only records were removed before the 20-study core set</w:t>
      </w:r>
      <w:r>
        <w:rPr>
          <w:spacing w:val="-13"/>
        </w:rPr>
        <w:t> </w:t>
      </w:r>
      <w:r>
        <w:rPr/>
        <w:t>was</w:t>
      </w:r>
      <w:r>
        <w:rPr>
          <w:spacing w:val="-12"/>
        </w:rPr>
        <w:t> </w:t>
      </w:r>
      <w:r>
        <w:rPr/>
        <w:t>fixed.</w:t>
      </w:r>
      <w:r>
        <w:rPr>
          <w:spacing w:val="-13"/>
        </w:rPr>
        <w:t> </w:t>
      </w:r>
      <w:r>
        <w:rPr/>
        <w:t>Each</w:t>
      </w:r>
      <w:r>
        <w:rPr>
          <w:spacing w:val="-12"/>
        </w:rPr>
        <w:t> </w:t>
      </w:r>
      <w:r>
        <w:rPr/>
        <w:t>included</w:t>
      </w:r>
      <w:r>
        <w:rPr>
          <w:spacing w:val="-13"/>
        </w:rPr>
        <w:t> </w:t>
      </w:r>
      <w:r>
        <w:rPr/>
        <w:t>study</w:t>
      </w:r>
      <w:r>
        <w:rPr>
          <w:spacing w:val="-12"/>
        </w:rPr>
        <w:t> </w:t>
      </w:r>
      <w:r>
        <w:rPr/>
        <w:t>was</w:t>
      </w:r>
      <w:r>
        <w:rPr>
          <w:spacing w:val="-13"/>
        </w:rPr>
        <w:t> </w:t>
      </w:r>
      <w:r>
        <w:rPr/>
        <w:t>then</w:t>
      </w:r>
      <w:r>
        <w:rPr>
          <w:spacing w:val="-12"/>
        </w:rPr>
        <w:t> </w:t>
      </w:r>
      <w:r>
        <w:rPr/>
        <w:t>coded</w:t>
      </w:r>
      <w:r>
        <w:rPr>
          <w:spacing w:val="-13"/>
        </w:rPr>
        <w:t> </w:t>
      </w:r>
      <w:r>
        <w:rPr/>
        <w:t>against</w:t>
      </w:r>
      <w:r>
        <w:rPr>
          <w:spacing w:val="-12"/>
        </w:rPr>
        <w:t> </w:t>
      </w:r>
      <w:r>
        <w:rPr/>
        <w:t>the same</w:t>
      </w:r>
      <w:r>
        <w:rPr>
          <w:spacing w:val="-7"/>
        </w:rPr>
        <w:t> </w:t>
      </w:r>
      <w:r>
        <w:rPr/>
        <w:t>capability</w:t>
      </w:r>
      <w:r>
        <w:rPr>
          <w:spacing w:val="-7"/>
        </w:rPr>
        <w:t> </w:t>
      </w:r>
      <w:r>
        <w:rPr/>
        <w:t>definitions.</w:t>
      </w:r>
      <w:r>
        <w:rPr>
          <w:spacing w:val="-7"/>
        </w:rPr>
        <w:t> </w:t>
      </w:r>
      <w:r>
        <w:rPr/>
        <w:t>A</w:t>
      </w:r>
      <w:r>
        <w:rPr>
          <w:spacing w:val="-7"/>
        </w:rPr>
        <w:t> </w:t>
      </w:r>
      <w:r>
        <w:rPr/>
        <w:t>capability</w:t>
      </w:r>
      <w:r>
        <w:rPr>
          <w:spacing w:val="-4"/>
        </w:rPr>
        <w:t> </w:t>
      </w:r>
      <w:r>
        <w:rPr/>
        <w:t>was</w:t>
      </w:r>
      <w:r>
        <w:rPr>
          <w:spacing w:val="-8"/>
        </w:rPr>
        <w:t> </w:t>
      </w:r>
      <w:r>
        <w:rPr/>
        <w:t>marked</w:t>
      </w:r>
      <w:r>
        <w:rPr>
          <w:spacing w:val="-7"/>
        </w:rPr>
        <w:t> </w:t>
      </w:r>
      <w:r>
        <w:rPr/>
        <w:t>present only</w:t>
      </w:r>
      <w:r>
        <w:rPr>
          <w:spacing w:val="-6"/>
        </w:rPr>
        <w:t> </w:t>
      </w:r>
      <w:r>
        <w:rPr/>
        <w:t>when</w:t>
      </w:r>
      <w:r>
        <w:rPr>
          <w:spacing w:val="-8"/>
        </w:rPr>
        <w:t> </w:t>
      </w:r>
      <w:r>
        <w:rPr/>
        <w:t>it</w:t>
      </w:r>
      <w:r>
        <w:rPr>
          <w:spacing w:val="-10"/>
        </w:rPr>
        <w:t> </w:t>
      </w:r>
      <w:r>
        <w:rPr/>
        <w:t>was</w:t>
      </w:r>
      <w:r>
        <w:rPr>
          <w:spacing w:val="-10"/>
        </w:rPr>
        <w:t> </w:t>
      </w:r>
      <w:r>
        <w:rPr/>
        <w:t>explicitly</w:t>
      </w:r>
      <w:r>
        <w:rPr>
          <w:spacing w:val="-8"/>
        </w:rPr>
        <w:t> </w:t>
      </w:r>
      <w:r>
        <w:rPr/>
        <w:t>demonstrated</w:t>
      </w:r>
      <w:r>
        <w:rPr>
          <w:spacing w:val="-8"/>
        </w:rPr>
        <w:t> </w:t>
      </w:r>
      <w:r>
        <w:rPr/>
        <w:t>or</w:t>
      </w:r>
      <w:r>
        <w:rPr>
          <w:spacing w:val="-9"/>
        </w:rPr>
        <w:t> </w:t>
      </w:r>
      <w:r>
        <w:rPr/>
        <w:t>described</w:t>
      </w:r>
      <w:r>
        <w:rPr>
          <w:spacing w:val="-8"/>
        </w:rPr>
        <w:t> </w:t>
      </w:r>
      <w:r>
        <w:rPr/>
        <w:t>as</w:t>
      </w:r>
      <w:r>
        <w:rPr>
          <w:spacing w:val="-10"/>
        </w:rPr>
        <w:t> </w:t>
      </w:r>
      <w:r>
        <w:rPr/>
        <w:t>part of</w:t>
      </w:r>
      <w:r>
        <w:rPr>
          <w:spacing w:val="-13"/>
        </w:rPr>
        <w:t> </w:t>
      </w:r>
      <w:r>
        <w:rPr/>
        <w:t>the</w:t>
      </w:r>
      <w:r>
        <w:rPr>
          <w:spacing w:val="-12"/>
        </w:rPr>
        <w:t> </w:t>
      </w:r>
      <w:r>
        <w:rPr/>
        <w:t>study</w:t>
      </w:r>
      <w:r>
        <w:rPr>
          <w:spacing w:val="-13"/>
        </w:rPr>
        <w:t> </w:t>
      </w:r>
      <w:r>
        <w:rPr/>
        <w:t>contribution;</w:t>
      </w:r>
      <w:r>
        <w:rPr>
          <w:spacing w:val="-12"/>
        </w:rPr>
        <w:t> </w:t>
      </w:r>
      <w:r>
        <w:rPr/>
        <w:t>a</w:t>
      </w:r>
      <w:r>
        <w:rPr>
          <w:spacing w:val="-13"/>
        </w:rPr>
        <w:t> </w:t>
      </w:r>
      <w:r>
        <w:rPr/>
        <w:t>capability</w:t>
      </w:r>
      <w:r>
        <w:rPr>
          <w:spacing w:val="-12"/>
        </w:rPr>
        <w:t> </w:t>
      </w:r>
      <w:r>
        <w:rPr/>
        <w:t>was</w:t>
      </w:r>
      <w:r>
        <w:rPr>
          <w:spacing w:val="-13"/>
        </w:rPr>
        <w:t> </w:t>
      </w:r>
      <w:r>
        <w:rPr/>
        <w:t>not</w:t>
      </w:r>
      <w:r>
        <w:rPr>
          <w:spacing w:val="-12"/>
        </w:rPr>
        <w:t> </w:t>
      </w:r>
      <w:r>
        <w:rPr/>
        <w:t>inferred</w:t>
      </w:r>
      <w:r>
        <w:rPr>
          <w:spacing w:val="-13"/>
        </w:rPr>
        <w:t> </w:t>
      </w:r>
      <w:r>
        <w:rPr/>
        <w:t>merely because the technology could theoretically support it. This rule</w:t>
      </w:r>
      <w:r>
        <w:rPr>
          <w:spacing w:val="-11"/>
        </w:rPr>
        <w:t> </w:t>
      </w:r>
      <w:r>
        <w:rPr/>
        <w:t>is</w:t>
      </w:r>
      <w:r>
        <w:rPr>
          <w:spacing w:val="-13"/>
        </w:rPr>
        <w:t> </w:t>
      </w:r>
      <w:r>
        <w:rPr/>
        <w:t>important</w:t>
      </w:r>
      <w:r>
        <w:rPr>
          <w:spacing w:val="-12"/>
        </w:rPr>
        <w:t> </w:t>
      </w:r>
      <w:r>
        <w:rPr/>
        <w:t>for</w:t>
      </w:r>
      <w:r>
        <w:rPr>
          <w:spacing w:val="-12"/>
        </w:rPr>
        <w:t> </w:t>
      </w:r>
      <w:r>
        <w:rPr/>
        <w:t>distinguishing</w:t>
      </w:r>
      <w:r>
        <w:rPr>
          <w:spacing w:val="-10"/>
        </w:rPr>
        <w:t> </w:t>
      </w:r>
      <w:r>
        <w:rPr/>
        <w:t>a</w:t>
      </w:r>
      <w:r>
        <w:rPr>
          <w:spacing w:val="-12"/>
        </w:rPr>
        <w:t> </w:t>
      </w:r>
      <w:r>
        <w:rPr/>
        <w:t>reported</w:t>
      </w:r>
      <w:r>
        <w:rPr>
          <w:spacing w:val="-10"/>
        </w:rPr>
        <w:t> </w:t>
      </w:r>
      <w:r>
        <w:rPr/>
        <w:t>capability</w:t>
      </w:r>
      <w:r>
        <w:rPr>
          <w:spacing w:val="-10"/>
        </w:rPr>
        <w:t> </w:t>
      </w:r>
      <w:r>
        <w:rPr/>
        <w:t>from a possible future extension.</w:t>
      </w:r>
    </w:p>
    <w:p>
      <w:pPr>
        <w:pStyle w:val="Heading2"/>
        <w:numPr>
          <w:ilvl w:val="1"/>
          <w:numId w:val="1"/>
        </w:numPr>
        <w:tabs>
          <w:tab w:pos="458" w:val="left" w:leader="none"/>
        </w:tabs>
        <w:spacing w:line="240" w:lineRule="auto" w:before="80" w:after="0"/>
        <w:ind w:left="458" w:right="0" w:hanging="286"/>
        <w:jc w:val="both"/>
      </w:pPr>
      <w:r>
        <w:rPr/>
        <w:t>Capability</w:t>
      </w:r>
      <w:r>
        <w:rPr>
          <w:spacing w:val="-7"/>
        </w:rPr>
        <w:t> </w:t>
      </w:r>
      <w:r>
        <w:rPr>
          <w:spacing w:val="-2"/>
        </w:rPr>
        <w:t>Definitions</w:t>
      </w:r>
    </w:p>
    <w:p>
      <w:pPr>
        <w:pStyle w:val="BodyText"/>
        <w:spacing w:line="228" w:lineRule="auto" w:before="41"/>
        <w:ind w:right="166"/>
      </w:pPr>
      <w:r>
        <w:rPr/>
        <w:t>The comparison framework uses eleven dimensions: multi-source data (DS), real-time/update capability (RT), integration or semantic interoperability (INT), AI/ML (AI), prediction/forecasting (PR), simulation or scenario analysis (SIM), visualization or 3D/AR/MR (VIS), decision support (DEC), physical actuation/control (ACT), scalable or distributed</w:t>
      </w:r>
      <w:r>
        <w:rPr>
          <w:spacing w:val="-12"/>
        </w:rPr>
        <w:t> </w:t>
      </w:r>
      <w:r>
        <w:rPr/>
        <w:t>computing</w:t>
      </w:r>
      <w:r>
        <w:rPr>
          <w:spacing w:val="-12"/>
        </w:rPr>
        <w:t> </w:t>
      </w:r>
      <w:r>
        <w:rPr/>
        <w:t>(SC),</w:t>
      </w:r>
      <w:r>
        <w:rPr>
          <w:spacing w:val="-12"/>
        </w:rPr>
        <w:t> </w:t>
      </w:r>
      <w:r>
        <w:rPr/>
        <w:t>and</w:t>
      </w:r>
      <w:r>
        <w:rPr>
          <w:spacing w:val="-11"/>
        </w:rPr>
        <w:t> </w:t>
      </w:r>
      <w:r>
        <w:rPr/>
        <w:t>explicit</w:t>
      </w:r>
      <w:r>
        <w:rPr>
          <w:spacing w:val="-10"/>
        </w:rPr>
        <w:t> </w:t>
      </w:r>
      <w:r>
        <w:rPr/>
        <w:t>security/governance treatment (SEC). The first ten dimensions are used for the main quantitative comparison; SEC is retained as a cross-cutting gap indicator because explicit security/governance treatment is not consistently reported in the corpus.</w:t>
      </w:r>
    </w:p>
    <w:p>
      <w:pPr>
        <w:pStyle w:val="Heading1"/>
        <w:numPr>
          <w:ilvl w:val="0"/>
          <w:numId w:val="1"/>
        </w:numPr>
        <w:tabs>
          <w:tab w:pos="501" w:val="left" w:leader="none"/>
        </w:tabs>
        <w:spacing w:line="240" w:lineRule="auto" w:before="119" w:after="0"/>
        <w:ind w:left="172" w:right="1131" w:firstLine="0"/>
        <w:jc w:val="left"/>
      </w:pPr>
      <w:r>
        <w:rPr/>
        <w:t>CAPABILITY-BASED</w:t>
      </w:r>
      <w:r>
        <w:rPr>
          <w:spacing w:val="-13"/>
        </w:rPr>
        <w:t> </w:t>
      </w:r>
      <w:r>
        <w:rPr/>
        <w:t>COMPARATIVE </w:t>
      </w:r>
      <w:r>
        <w:rPr>
          <w:spacing w:val="-2"/>
        </w:rPr>
        <w:t>FRAMEWORK</w:t>
      </w:r>
    </w:p>
    <w:p>
      <w:pPr>
        <w:pStyle w:val="BodyText"/>
        <w:spacing w:line="228" w:lineRule="auto" w:before="61"/>
        <w:ind w:right="166"/>
      </w:pPr>
      <w:r>
        <w:rPr>
          <w:spacing w:val="-2"/>
        </w:rPr>
        <w:t>The</w:t>
      </w:r>
      <w:r>
        <w:rPr>
          <w:spacing w:val="-10"/>
        </w:rPr>
        <w:t> </w:t>
      </w:r>
      <w:r>
        <w:rPr>
          <w:spacing w:val="-2"/>
        </w:rPr>
        <w:t>framework</w:t>
      </w:r>
      <w:r>
        <w:rPr>
          <w:spacing w:val="-8"/>
        </w:rPr>
        <w:t> </w:t>
      </w:r>
      <w:r>
        <w:rPr>
          <w:spacing w:val="-2"/>
        </w:rPr>
        <w:t>is</w:t>
      </w:r>
      <w:r>
        <w:rPr>
          <w:spacing w:val="-11"/>
        </w:rPr>
        <w:t> </w:t>
      </w:r>
      <w:r>
        <w:rPr>
          <w:spacing w:val="-2"/>
        </w:rPr>
        <w:t>designed</w:t>
      </w:r>
      <w:r>
        <w:rPr>
          <w:spacing w:val="-7"/>
        </w:rPr>
        <w:t> </w:t>
      </w:r>
      <w:r>
        <w:rPr>
          <w:spacing w:val="-2"/>
        </w:rPr>
        <w:t>specifically</w:t>
      </w:r>
      <w:r>
        <w:rPr>
          <w:spacing w:val="-8"/>
        </w:rPr>
        <w:t> </w:t>
      </w:r>
      <w:r>
        <w:rPr>
          <w:spacing w:val="-2"/>
        </w:rPr>
        <w:t>to</w:t>
      </w:r>
      <w:r>
        <w:rPr>
          <w:spacing w:val="-8"/>
        </w:rPr>
        <w:t> </w:t>
      </w:r>
      <w:r>
        <w:rPr>
          <w:spacing w:val="-2"/>
        </w:rPr>
        <w:t>compare</w:t>
      </w:r>
      <w:r>
        <w:rPr>
          <w:spacing w:val="-9"/>
        </w:rPr>
        <w:t> </w:t>
      </w:r>
      <w:r>
        <w:rPr>
          <w:spacing w:val="-2"/>
        </w:rPr>
        <w:t>studies </w:t>
      </w:r>
      <w:r>
        <w:rPr/>
        <w:t>rather</w:t>
      </w:r>
      <w:r>
        <w:rPr>
          <w:spacing w:val="-9"/>
        </w:rPr>
        <w:t> </w:t>
      </w:r>
      <w:r>
        <w:rPr/>
        <w:t>than</w:t>
      </w:r>
      <w:r>
        <w:rPr>
          <w:spacing w:val="-9"/>
        </w:rPr>
        <w:t> </w:t>
      </w:r>
      <w:r>
        <w:rPr/>
        <w:t>to</w:t>
      </w:r>
      <w:r>
        <w:rPr>
          <w:spacing w:val="-9"/>
        </w:rPr>
        <w:t> </w:t>
      </w:r>
      <w:r>
        <w:rPr/>
        <w:t>propose</w:t>
      </w:r>
      <w:r>
        <w:rPr>
          <w:spacing w:val="-9"/>
        </w:rPr>
        <w:t> </w:t>
      </w:r>
      <w:r>
        <w:rPr/>
        <w:t>a</w:t>
      </w:r>
      <w:r>
        <w:rPr>
          <w:spacing w:val="-11"/>
        </w:rPr>
        <w:t> </w:t>
      </w:r>
      <w:r>
        <w:rPr/>
        <w:t>new</w:t>
      </w:r>
      <w:r>
        <w:rPr>
          <w:spacing w:val="-9"/>
        </w:rPr>
        <w:t> </w:t>
      </w:r>
      <w:r>
        <w:rPr/>
        <w:t>Digital</w:t>
      </w:r>
      <w:r>
        <w:rPr>
          <w:spacing w:val="-10"/>
        </w:rPr>
        <w:t> </w:t>
      </w:r>
      <w:r>
        <w:rPr/>
        <w:t>Twin</w:t>
      </w:r>
      <w:r>
        <w:rPr>
          <w:spacing w:val="-7"/>
        </w:rPr>
        <w:t> </w:t>
      </w:r>
      <w:r>
        <w:rPr/>
        <w:t>lifecycle.</w:t>
      </w:r>
      <w:r>
        <w:rPr>
          <w:spacing w:val="-9"/>
        </w:rPr>
        <w:t> </w:t>
      </w:r>
      <w:r>
        <w:rPr/>
        <w:t>It</w:t>
      </w:r>
      <w:r>
        <w:rPr>
          <w:spacing w:val="-10"/>
        </w:rPr>
        <w:t> </w:t>
      </w:r>
      <w:r>
        <w:rPr/>
        <w:t>treats</w:t>
      </w:r>
      <w:r>
        <w:rPr>
          <w:spacing w:val="-10"/>
        </w:rPr>
        <w:t> </w:t>
      </w:r>
      <w:r>
        <w:rPr/>
        <w:t>a </w:t>
      </w:r>
      <w:r>
        <w:rPr>
          <w:spacing w:val="-2"/>
        </w:rPr>
        <w:t>UDT</w:t>
      </w:r>
      <w:r>
        <w:rPr>
          <w:spacing w:val="-8"/>
        </w:rPr>
        <w:t> </w:t>
      </w:r>
      <w:r>
        <w:rPr>
          <w:spacing w:val="-2"/>
        </w:rPr>
        <w:t>as</w:t>
      </w:r>
      <w:r>
        <w:rPr>
          <w:spacing w:val="-9"/>
        </w:rPr>
        <w:t> </w:t>
      </w:r>
      <w:r>
        <w:rPr>
          <w:spacing w:val="-2"/>
        </w:rPr>
        <w:t>a</w:t>
      </w:r>
      <w:r>
        <w:rPr>
          <w:spacing w:val="-9"/>
        </w:rPr>
        <w:t> </w:t>
      </w:r>
      <w:r>
        <w:rPr>
          <w:spacing w:val="-2"/>
        </w:rPr>
        <w:t>set</w:t>
      </w:r>
      <w:r>
        <w:rPr>
          <w:spacing w:val="-11"/>
        </w:rPr>
        <w:t> </w:t>
      </w:r>
      <w:r>
        <w:rPr>
          <w:spacing w:val="-2"/>
        </w:rPr>
        <w:t>of</w:t>
      </w:r>
      <w:r>
        <w:rPr>
          <w:spacing w:val="-10"/>
        </w:rPr>
        <w:t> </w:t>
      </w:r>
      <w:r>
        <w:rPr>
          <w:spacing w:val="-2"/>
        </w:rPr>
        <w:t>observable</w:t>
      </w:r>
      <w:r>
        <w:rPr>
          <w:spacing w:val="-9"/>
        </w:rPr>
        <w:t> </w:t>
      </w:r>
      <w:r>
        <w:rPr>
          <w:spacing w:val="-2"/>
        </w:rPr>
        <w:t>capabilities.</w:t>
      </w:r>
      <w:r>
        <w:rPr>
          <w:spacing w:val="-9"/>
        </w:rPr>
        <w:t> </w:t>
      </w:r>
      <w:r>
        <w:rPr>
          <w:spacing w:val="-2"/>
        </w:rPr>
        <w:t>A</w:t>
      </w:r>
      <w:r>
        <w:rPr>
          <w:spacing w:val="-9"/>
        </w:rPr>
        <w:t> </w:t>
      </w:r>
      <w:r>
        <w:rPr>
          <w:spacing w:val="-2"/>
        </w:rPr>
        <w:t>study</w:t>
      </w:r>
      <w:r>
        <w:rPr>
          <w:spacing w:val="-10"/>
        </w:rPr>
        <w:t> </w:t>
      </w:r>
      <w:r>
        <w:rPr>
          <w:spacing w:val="-2"/>
        </w:rPr>
        <w:t>may</w:t>
      </w:r>
      <w:r>
        <w:rPr>
          <w:spacing w:val="-8"/>
        </w:rPr>
        <w:t> </w:t>
      </w:r>
      <w:r>
        <w:rPr>
          <w:spacing w:val="-2"/>
        </w:rPr>
        <w:t>therefore </w:t>
      </w:r>
      <w:r>
        <w:rPr/>
        <w:t>score positively for data integration and prediction without necessarily providing physical actuation, while another may emphasize visualization or semantic modeling without real-time operation. This avoids forcing every paper into one architecture and makes differences between application-oriented and platform-oriented studies visible.</w:t>
      </w:r>
    </w:p>
    <w:p>
      <w:pPr>
        <w:pStyle w:val="BodyText"/>
        <w:spacing w:line="228" w:lineRule="auto" w:before="59"/>
        <w:ind w:right="165"/>
      </w:pPr>
      <w:r>
        <w:rPr/>
        <w:t>DS captures whether the study combines more than one meaningful urban data source, such as IoT sensors, GIS, traffic data, citizen information, administrative records, or environmental measurements. RT captures explicit live, online, continuously updated, or real-time processing. INT captures</w:t>
      </w:r>
      <w:r>
        <w:rPr>
          <w:spacing w:val="-9"/>
        </w:rPr>
        <w:t> </w:t>
      </w:r>
      <w:r>
        <w:rPr/>
        <w:t>data</w:t>
      </w:r>
      <w:r>
        <w:rPr>
          <w:spacing w:val="-8"/>
        </w:rPr>
        <w:t> </w:t>
      </w:r>
      <w:r>
        <w:rPr/>
        <w:t>integration,</w:t>
      </w:r>
      <w:r>
        <w:rPr>
          <w:spacing w:val="-8"/>
        </w:rPr>
        <w:t> </w:t>
      </w:r>
      <w:r>
        <w:rPr/>
        <w:t>semantic</w:t>
      </w:r>
      <w:r>
        <w:rPr>
          <w:spacing w:val="-11"/>
        </w:rPr>
        <w:t> </w:t>
      </w:r>
      <w:r>
        <w:rPr/>
        <w:t>modeling,</w:t>
      </w:r>
      <w:r>
        <w:rPr>
          <w:spacing w:val="-10"/>
        </w:rPr>
        <w:t> </w:t>
      </w:r>
      <w:r>
        <w:rPr/>
        <w:t>common</w:t>
      </w:r>
      <w:r>
        <w:rPr>
          <w:spacing w:val="-10"/>
        </w:rPr>
        <w:t> </w:t>
      </w:r>
      <w:r>
        <w:rPr/>
        <w:t>urban entities, or integration of heterogeneous data streams. AI captures machine learning, artificial intelligence, </w:t>
      </w:r>
      <w:r>
        <w:rPr>
          <w:spacing w:val="-2"/>
        </w:rPr>
        <w:t>reinforcement</w:t>
      </w:r>
      <w:r>
        <w:rPr>
          <w:spacing w:val="-6"/>
        </w:rPr>
        <w:t> </w:t>
      </w:r>
      <w:r>
        <w:rPr>
          <w:spacing w:val="-2"/>
        </w:rPr>
        <w:t>learning,</w:t>
      </w:r>
      <w:r>
        <w:rPr>
          <w:spacing w:val="-5"/>
        </w:rPr>
        <w:t> </w:t>
      </w:r>
      <w:r>
        <w:rPr>
          <w:spacing w:val="-2"/>
        </w:rPr>
        <w:t>or</w:t>
      </w:r>
      <w:r>
        <w:rPr>
          <w:spacing w:val="-5"/>
        </w:rPr>
        <w:t> </w:t>
      </w:r>
      <w:r>
        <w:rPr>
          <w:spacing w:val="-2"/>
        </w:rPr>
        <w:t>related</w:t>
      </w:r>
      <w:r>
        <w:rPr>
          <w:spacing w:val="-6"/>
        </w:rPr>
        <w:t> </w:t>
      </w:r>
      <w:r>
        <w:rPr>
          <w:spacing w:val="-2"/>
        </w:rPr>
        <w:t>data-driven</w:t>
      </w:r>
      <w:r>
        <w:rPr>
          <w:spacing w:val="-4"/>
        </w:rPr>
        <w:t> </w:t>
      </w:r>
      <w:r>
        <w:rPr>
          <w:spacing w:val="-2"/>
        </w:rPr>
        <w:t>intelligence.</w:t>
      </w:r>
      <w:r>
        <w:rPr>
          <w:spacing w:val="-3"/>
        </w:rPr>
        <w:t> </w:t>
      </w:r>
      <w:r>
        <w:rPr>
          <w:spacing w:val="-2"/>
        </w:rPr>
        <w:t>PR captures</w:t>
      </w:r>
      <w:r>
        <w:rPr>
          <w:spacing w:val="-11"/>
        </w:rPr>
        <w:t> </w:t>
      </w:r>
      <w:r>
        <w:rPr>
          <w:spacing w:val="-2"/>
        </w:rPr>
        <w:t>forecasting</w:t>
      </w:r>
      <w:r>
        <w:rPr>
          <w:spacing w:val="-10"/>
        </w:rPr>
        <w:t> </w:t>
      </w:r>
      <w:r>
        <w:rPr>
          <w:spacing w:val="-2"/>
        </w:rPr>
        <w:t>or</w:t>
      </w:r>
      <w:r>
        <w:rPr>
          <w:spacing w:val="-9"/>
        </w:rPr>
        <w:t> </w:t>
      </w:r>
      <w:r>
        <w:rPr>
          <w:spacing w:val="-2"/>
        </w:rPr>
        <w:t>prediction</w:t>
      </w:r>
      <w:r>
        <w:rPr>
          <w:spacing w:val="-11"/>
        </w:rPr>
        <w:t> </w:t>
      </w:r>
      <w:r>
        <w:rPr>
          <w:spacing w:val="-2"/>
        </w:rPr>
        <w:t>of</w:t>
      </w:r>
      <w:r>
        <w:rPr>
          <w:spacing w:val="-9"/>
        </w:rPr>
        <w:t> </w:t>
      </w:r>
      <w:r>
        <w:rPr>
          <w:spacing w:val="-2"/>
        </w:rPr>
        <w:t>future</w:t>
      </w:r>
      <w:r>
        <w:rPr>
          <w:spacing w:val="-9"/>
        </w:rPr>
        <w:t> </w:t>
      </w:r>
      <w:r>
        <w:rPr>
          <w:spacing w:val="-2"/>
        </w:rPr>
        <w:t>states</w:t>
      </w:r>
      <w:r>
        <w:rPr>
          <w:spacing w:val="-10"/>
        </w:rPr>
        <w:t> </w:t>
      </w:r>
      <w:r>
        <w:rPr>
          <w:spacing w:val="-2"/>
        </w:rPr>
        <w:t>or</w:t>
      </w:r>
      <w:r>
        <w:rPr>
          <w:spacing w:val="-9"/>
        </w:rPr>
        <w:t> </w:t>
      </w:r>
      <w:r>
        <w:rPr>
          <w:spacing w:val="-2"/>
        </w:rPr>
        <w:t>indicators. </w:t>
      </w:r>
      <w:r>
        <w:rPr/>
        <w:t>SIM captures explicit simulation, what-if analysis, geosimulation, or scenario evaluation. VIS captures 3D city models, visualization, augmented reality, mixed reality, or related</w:t>
      </w:r>
      <w:r>
        <w:rPr>
          <w:spacing w:val="-1"/>
        </w:rPr>
        <w:t> </w:t>
      </w:r>
      <w:r>
        <w:rPr/>
        <w:t>human-facing representations. DEC captures explicit </w:t>
      </w:r>
      <w:r>
        <w:rPr>
          <w:spacing w:val="-2"/>
        </w:rPr>
        <w:t>decision support, planning, recommendation, optimization, or </w:t>
      </w:r>
      <w:r>
        <w:rPr/>
        <w:t>intervention selection. ACT is reserved for demonstrated physical control or cyber-physical actuation rather than a generic statement that the twin could control something. SC captures edge-cloud, microservices, cloud, distributed, or other</w:t>
      </w:r>
      <w:r>
        <w:rPr>
          <w:spacing w:val="22"/>
        </w:rPr>
        <w:t> </w:t>
      </w:r>
      <w:r>
        <w:rPr/>
        <w:t>explicit</w:t>
      </w:r>
      <w:r>
        <w:rPr>
          <w:spacing w:val="21"/>
        </w:rPr>
        <w:t> </w:t>
      </w:r>
      <w:r>
        <w:rPr/>
        <w:t>mechanisms</w:t>
      </w:r>
      <w:r>
        <w:rPr>
          <w:spacing w:val="18"/>
        </w:rPr>
        <w:t> </w:t>
      </w:r>
      <w:r>
        <w:rPr/>
        <w:t>for</w:t>
      </w:r>
      <w:r>
        <w:rPr>
          <w:spacing w:val="22"/>
        </w:rPr>
        <w:t> </w:t>
      </w:r>
      <w:r>
        <w:rPr/>
        <w:t>handling</w:t>
      </w:r>
      <w:r>
        <w:rPr>
          <w:spacing w:val="22"/>
        </w:rPr>
        <w:t> </w:t>
      </w:r>
      <w:r>
        <w:rPr/>
        <w:t>scale.</w:t>
      </w:r>
      <w:r>
        <w:rPr>
          <w:spacing w:val="24"/>
        </w:rPr>
        <w:t> </w:t>
      </w:r>
      <w:r>
        <w:rPr/>
        <w:t>SEC</w:t>
      </w:r>
      <w:r>
        <w:rPr>
          <w:spacing w:val="24"/>
        </w:rPr>
        <w:t> </w:t>
      </w:r>
      <w:r>
        <w:rPr>
          <w:spacing w:val="-2"/>
        </w:rPr>
        <w:t>records</w:t>
      </w:r>
    </w:p>
    <w:p>
      <w:pPr>
        <w:pStyle w:val="BodyText"/>
        <w:spacing w:after="0" w:line="228" w:lineRule="auto"/>
        <w:sectPr>
          <w:pgSz w:w="12240" w:h="15840"/>
          <w:pgMar w:top="1000" w:bottom="280" w:left="720" w:right="720"/>
          <w:cols w:num="2" w:equalWidth="0">
            <w:col w:w="5083" w:space="505"/>
            <w:col w:w="5212"/>
          </w:cols>
        </w:sectPr>
      </w:pPr>
    </w:p>
    <w:p>
      <w:pPr>
        <w:pStyle w:val="BodyText"/>
        <w:spacing w:line="228" w:lineRule="auto" w:before="80"/>
        <w:ind w:right="43" w:firstLine="0"/>
      </w:pPr>
      <w:r>
        <w:rPr>
          <w:spacing w:val="-2"/>
        </w:rPr>
        <w:t>explicit</w:t>
      </w:r>
      <w:r>
        <w:rPr>
          <w:spacing w:val="-3"/>
        </w:rPr>
        <w:t> </w:t>
      </w:r>
      <w:r>
        <w:rPr>
          <w:spacing w:val="-2"/>
        </w:rPr>
        <w:t>security,</w:t>
      </w:r>
      <w:r>
        <w:rPr>
          <w:spacing w:val="-3"/>
        </w:rPr>
        <w:t> </w:t>
      </w:r>
      <w:r>
        <w:rPr>
          <w:spacing w:val="-2"/>
        </w:rPr>
        <w:t>privacy, identity,</w:t>
      </w:r>
      <w:r>
        <w:rPr>
          <w:spacing w:val="-3"/>
        </w:rPr>
        <w:t> </w:t>
      </w:r>
      <w:r>
        <w:rPr>
          <w:spacing w:val="-2"/>
        </w:rPr>
        <w:t>provenance,</w:t>
      </w:r>
      <w:r>
        <w:rPr>
          <w:spacing w:val="-3"/>
        </w:rPr>
        <w:t> </w:t>
      </w:r>
      <w:r>
        <w:rPr>
          <w:spacing w:val="-2"/>
        </w:rPr>
        <w:t>or governance mechanisms.</w:t>
      </w:r>
    </w:p>
    <w:p>
      <w:pPr>
        <w:pStyle w:val="BodyText"/>
        <w:spacing w:line="228" w:lineRule="auto"/>
        <w:ind w:right="39"/>
      </w:pPr>
      <w:r>
        <w:rPr/>
        <w:t>The</w:t>
      </w:r>
      <w:r>
        <w:rPr>
          <w:spacing w:val="-4"/>
        </w:rPr>
        <w:t> </w:t>
      </w:r>
      <w:r>
        <w:rPr/>
        <w:t>framework</w:t>
      </w:r>
      <w:r>
        <w:rPr>
          <w:spacing w:val="-6"/>
        </w:rPr>
        <w:t> </w:t>
      </w:r>
      <w:r>
        <w:rPr/>
        <w:t>differs</w:t>
      </w:r>
      <w:r>
        <w:rPr>
          <w:spacing w:val="-7"/>
        </w:rPr>
        <w:t> </w:t>
      </w:r>
      <w:r>
        <w:rPr/>
        <w:t>from</w:t>
      </w:r>
      <w:r>
        <w:rPr>
          <w:spacing w:val="-1"/>
        </w:rPr>
        <w:t> </w:t>
      </w:r>
      <w:r>
        <w:rPr/>
        <w:t>existing</w:t>
      </w:r>
      <w:r>
        <w:rPr>
          <w:spacing w:val="-3"/>
        </w:rPr>
        <w:t> </w:t>
      </w:r>
      <w:r>
        <w:rPr/>
        <w:t>reviews</w:t>
      </w:r>
      <w:r>
        <w:rPr>
          <w:spacing w:val="-5"/>
        </w:rPr>
        <w:t> </w:t>
      </w:r>
      <w:r>
        <w:rPr/>
        <w:t>in</w:t>
      </w:r>
      <w:r>
        <w:rPr>
          <w:spacing w:val="-4"/>
        </w:rPr>
        <w:t> </w:t>
      </w:r>
      <w:r>
        <w:rPr/>
        <w:t>both</w:t>
      </w:r>
      <w:r>
        <w:rPr>
          <w:spacing w:val="-4"/>
        </w:rPr>
        <w:t> </w:t>
      </w:r>
      <w:r>
        <w:rPr/>
        <w:t>unit of analysis and output. The 2023 resilience review [8] organizes findings around resilience concepts, stakeholder needs, and technical implementation. The 2025 comprehensive review [9] compares enabling technologies and smart-city domains. Yessef et al. [10] organize capabilities into an implementation-oriented pipeline and readiness scale. The present review instead treats the individual research study as the coding unit and produces a capability-by-study matrix followed by numerical coverage statistics. Consequently, the framework is not intended to </w:t>
      </w:r>
      <w:r>
        <w:rPr>
          <w:spacing w:val="-2"/>
        </w:rPr>
        <w:t>replace</w:t>
      </w:r>
      <w:r>
        <w:rPr>
          <w:spacing w:val="-9"/>
        </w:rPr>
        <w:t> </w:t>
      </w:r>
      <w:r>
        <w:rPr>
          <w:spacing w:val="-2"/>
        </w:rPr>
        <w:t>those</w:t>
      </w:r>
      <w:r>
        <w:rPr>
          <w:spacing w:val="-9"/>
        </w:rPr>
        <w:t> </w:t>
      </w:r>
      <w:r>
        <w:rPr>
          <w:spacing w:val="-2"/>
        </w:rPr>
        <w:t>reviews;</w:t>
      </w:r>
      <w:r>
        <w:rPr>
          <w:spacing w:val="-7"/>
        </w:rPr>
        <w:t> </w:t>
      </w:r>
      <w:r>
        <w:rPr>
          <w:spacing w:val="-2"/>
        </w:rPr>
        <w:t>it</w:t>
      </w:r>
      <w:r>
        <w:rPr>
          <w:spacing w:val="-9"/>
        </w:rPr>
        <w:t> </w:t>
      </w:r>
      <w:r>
        <w:rPr>
          <w:spacing w:val="-2"/>
        </w:rPr>
        <w:t>provides</w:t>
      </w:r>
      <w:r>
        <w:rPr>
          <w:spacing w:val="-7"/>
        </w:rPr>
        <w:t> </w:t>
      </w:r>
      <w:r>
        <w:rPr>
          <w:spacing w:val="-2"/>
        </w:rPr>
        <w:t>a</w:t>
      </w:r>
      <w:r>
        <w:rPr>
          <w:spacing w:val="-9"/>
        </w:rPr>
        <w:t> </w:t>
      </w:r>
      <w:r>
        <w:rPr>
          <w:spacing w:val="-2"/>
        </w:rPr>
        <w:t>narrower</w:t>
      </w:r>
      <w:r>
        <w:rPr>
          <w:spacing w:val="-5"/>
        </w:rPr>
        <w:t> </w:t>
      </w:r>
      <w:r>
        <w:rPr>
          <w:spacing w:val="-2"/>
        </w:rPr>
        <w:t>comparative</w:t>
      </w:r>
      <w:r>
        <w:rPr>
          <w:spacing w:val="-5"/>
        </w:rPr>
        <w:t> </w:t>
      </w:r>
      <w:r>
        <w:rPr>
          <w:spacing w:val="-2"/>
        </w:rPr>
        <w:t>lens </w:t>
      </w:r>
      <w:r>
        <w:rPr/>
        <w:t>over a fixed 20-study research corpus.</w:t>
      </w:r>
    </w:p>
    <w:p>
      <w:pPr>
        <w:pStyle w:val="BodyText"/>
        <w:spacing w:line="228" w:lineRule="auto" w:before="62"/>
        <w:ind w:right="40"/>
      </w:pPr>
      <w:r>
        <w:rPr>
          <w:spacing w:val="-2"/>
        </w:rPr>
        <w:t>Because</w:t>
      </w:r>
      <w:r>
        <w:rPr>
          <w:spacing w:val="-6"/>
        </w:rPr>
        <w:t> </w:t>
      </w:r>
      <w:r>
        <w:rPr>
          <w:spacing w:val="-2"/>
        </w:rPr>
        <w:t>established</w:t>
      </w:r>
      <w:r>
        <w:rPr>
          <w:spacing w:val="-6"/>
        </w:rPr>
        <w:t> </w:t>
      </w:r>
      <w:r>
        <w:rPr>
          <w:spacing w:val="-2"/>
        </w:rPr>
        <w:t>Digital</w:t>
      </w:r>
      <w:r>
        <w:rPr>
          <w:spacing w:val="-7"/>
        </w:rPr>
        <w:t> </w:t>
      </w:r>
      <w:r>
        <w:rPr>
          <w:spacing w:val="-2"/>
        </w:rPr>
        <w:t>Twin</w:t>
      </w:r>
      <w:r>
        <w:rPr>
          <w:spacing w:val="-4"/>
        </w:rPr>
        <w:t> </w:t>
      </w:r>
      <w:r>
        <w:rPr>
          <w:spacing w:val="-2"/>
        </w:rPr>
        <w:t>pipelines</w:t>
      </w:r>
      <w:r>
        <w:rPr>
          <w:spacing w:val="-7"/>
        </w:rPr>
        <w:t> </w:t>
      </w:r>
      <w:r>
        <w:rPr>
          <w:spacing w:val="-2"/>
        </w:rPr>
        <w:t>already appear </w:t>
      </w:r>
      <w:r>
        <w:rPr/>
        <w:t>in the literature, the earlier sequence “sense, integrate, synchronize,</w:t>
      </w:r>
      <w:r>
        <w:rPr>
          <w:spacing w:val="-7"/>
        </w:rPr>
        <w:t> </w:t>
      </w:r>
      <w:r>
        <w:rPr/>
        <w:t>model,</w:t>
      </w:r>
      <w:r>
        <w:rPr>
          <w:spacing w:val="-7"/>
        </w:rPr>
        <w:t> </w:t>
      </w:r>
      <w:r>
        <w:rPr/>
        <w:t>predict,</w:t>
      </w:r>
      <w:r>
        <w:rPr>
          <w:spacing w:val="-7"/>
        </w:rPr>
        <w:t> </w:t>
      </w:r>
      <w:r>
        <w:rPr/>
        <w:t>simulate,</w:t>
      </w:r>
      <w:r>
        <w:rPr>
          <w:spacing w:val="-9"/>
        </w:rPr>
        <w:t> </w:t>
      </w:r>
      <w:r>
        <w:rPr/>
        <w:t>decide,</w:t>
      </w:r>
      <w:r>
        <w:rPr>
          <w:spacing w:val="-7"/>
        </w:rPr>
        <w:t> </w:t>
      </w:r>
      <w:r>
        <w:rPr/>
        <w:t>act,</w:t>
      </w:r>
      <w:r>
        <w:rPr>
          <w:spacing w:val="-7"/>
        </w:rPr>
        <w:t> </w:t>
      </w:r>
      <w:r>
        <w:rPr/>
        <w:t>and</w:t>
      </w:r>
      <w:r>
        <w:rPr>
          <w:spacing w:val="-6"/>
        </w:rPr>
        <w:t> </w:t>
      </w:r>
      <w:r>
        <w:rPr/>
        <w:t>learn” is not retained as an original architectural proposal. Where useful, related stages are discussed only as an evidence-derived interpretation of the capability patterns observed in the matrix.</w:t>
      </w:r>
    </w:p>
    <w:p>
      <w:pPr>
        <w:pStyle w:val="Heading1"/>
        <w:numPr>
          <w:ilvl w:val="0"/>
          <w:numId w:val="1"/>
        </w:numPr>
        <w:tabs>
          <w:tab w:pos="492" w:val="left" w:leader="none"/>
        </w:tabs>
        <w:spacing w:line="240" w:lineRule="auto" w:before="120" w:after="0"/>
        <w:ind w:left="492" w:right="0" w:hanging="320"/>
        <w:jc w:val="left"/>
      </w:pPr>
      <w:r>
        <w:rPr>
          <w:spacing w:val="-2"/>
        </w:rPr>
        <w:t>COMPARATIVE</w:t>
      </w:r>
      <w:r>
        <w:rPr>
          <w:spacing w:val="6"/>
        </w:rPr>
        <w:t> </w:t>
      </w:r>
      <w:r>
        <w:rPr>
          <w:spacing w:val="-2"/>
        </w:rPr>
        <w:t>CAPABILITY</w:t>
      </w:r>
      <w:r>
        <w:rPr>
          <w:spacing w:val="9"/>
        </w:rPr>
        <w:t> </w:t>
      </w:r>
      <w:r>
        <w:rPr>
          <w:spacing w:val="-2"/>
        </w:rPr>
        <w:t>MATRIX</w:t>
      </w:r>
    </w:p>
    <w:p>
      <w:pPr>
        <w:pStyle w:val="BodyText"/>
        <w:spacing w:line="228" w:lineRule="auto"/>
        <w:ind w:right="38"/>
      </w:pPr>
      <w:r>
        <w:rPr/>
        <w:t>The matrix below</w:t>
      </w:r>
      <w:r>
        <w:rPr>
          <w:spacing w:val="-1"/>
        </w:rPr>
        <w:t> </w:t>
      </w:r>
      <w:r>
        <w:rPr/>
        <w:t>is</w:t>
      </w:r>
      <w:r>
        <w:rPr>
          <w:spacing w:val="-2"/>
        </w:rPr>
        <w:t> </w:t>
      </w:r>
      <w:r>
        <w:rPr/>
        <w:t>the principal comparison instrument </w:t>
      </w:r>
      <w:r>
        <w:rPr>
          <w:spacing w:val="-2"/>
        </w:rPr>
        <w:t>of</w:t>
      </w:r>
      <w:r>
        <w:rPr>
          <w:spacing w:val="-8"/>
        </w:rPr>
        <w:t> </w:t>
      </w:r>
      <w:r>
        <w:rPr>
          <w:spacing w:val="-2"/>
        </w:rPr>
        <w:t>this</w:t>
      </w:r>
      <w:r>
        <w:rPr>
          <w:spacing w:val="-7"/>
        </w:rPr>
        <w:t> </w:t>
      </w:r>
      <w:r>
        <w:rPr>
          <w:spacing w:val="-2"/>
        </w:rPr>
        <w:t>review.</w:t>
      </w:r>
      <w:r>
        <w:rPr>
          <w:spacing w:val="-6"/>
        </w:rPr>
        <w:t> </w:t>
      </w:r>
      <w:r>
        <w:rPr>
          <w:spacing w:val="-2"/>
        </w:rPr>
        <w:t>DS</w:t>
      </w:r>
      <w:r>
        <w:rPr>
          <w:spacing w:val="-9"/>
        </w:rPr>
        <w:t> </w:t>
      </w:r>
      <w:r>
        <w:rPr>
          <w:spacing w:val="-2"/>
        </w:rPr>
        <w:t>=</w:t>
      </w:r>
      <w:r>
        <w:rPr>
          <w:spacing w:val="-6"/>
        </w:rPr>
        <w:t> </w:t>
      </w:r>
      <w:r>
        <w:rPr>
          <w:spacing w:val="-2"/>
        </w:rPr>
        <w:t>multi-source</w:t>
      </w:r>
      <w:r>
        <w:rPr>
          <w:spacing w:val="-8"/>
        </w:rPr>
        <w:t> </w:t>
      </w:r>
      <w:r>
        <w:rPr>
          <w:spacing w:val="-2"/>
        </w:rPr>
        <w:t>data;</w:t>
      </w:r>
      <w:r>
        <w:rPr>
          <w:spacing w:val="-6"/>
        </w:rPr>
        <w:t> </w:t>
      </w:r>
      <w:r>
        <w:rPr>
          <w:spacing w:val="-2"/>
        </w:rPr>
        <w:t>RT</w:t>
      </w:r>
      <w:r>
        <w:rPr>
          <w:spacing w:val="-8"/>
        </w:rPr>
        <w:t> </w:t>
      </w:r>
      <w:r>
        <w:rPr>
          <w:spacing w:val="-2"/>
        </w:rPr>
        <w:t>=</w:t>
      </w:r>
      <w:r>
        <w:rPr>
          <w:spacing w:val="-6"/>
        </w:rPr>
        <w:t> </w:t>
      </w:r>
      <w:r>
        <w:rPr>
          <w:spacing w:val="-2"/>
        </w:rPr>
        <w:t>real-time/update; </w:t>
      </w:r>
      <w:r>
        <w:rPr/>
        <w:t>INT = integration/semantics; AI = artificial intelligence or </w:t>
      </w:r>
      <w:r>
        <w:rPr>
          <w:spacing w:val="-2"/>
        </w:rPr>
        <w:t>machine</w:t>
      </w:r>
      <w:r>
        <w:rPr>
          <w:spacing w:val="-8"/>
        </w:rPr>
        <w:t> </w:t>
      </w:r>
      <w:r>
        <w:rPr>
          <w:spacing w:val="-2"/>
        </w:rPr>
        <w:t>learning;</w:t>
      </w:r>
      <w:r>
        <w:rPr>
          <w:spacing w:val="-8"/>
        </w:rPr>
        <w:t> </w:t>
      </w:r>
      <w:r>
        <w:rPr>
          <w:spacing w:val="-2"/>
        </w:rPr>
        <w:t>PR</w:t>
      </w:r>
      <w:r>
        <w:rPr>
          <w:spacing w:val="-9"/>
        </w:rPr>
        <w:t> </w:t>
      </w:r>
      <w:r>
        <w:rPr>
          <w:spacing w:val="-2"/>
        </w:rPr>
        <w:t>=</w:t>
      </w:r>
      <w:r>
        <w:rPr>
          <w:spacing w:val="-8"/>
        </w:rPr>
        <w:t> </w:t>
      </w:r>
      <w:r>
        <w:rPr>
          <w:spacing w:val="-2"/>
        </w:rPr>
        <w:t>prediction;</w:t>
      </w:r>
      <w:r>
        <w:rPr>
          <w:spacing w:val="-8"/>
        </w:rPr>
        <w:t> </w:t>
      </w:r>
      <w:r>
        <w:rPr>
          <w:spacing w:val="-2"/>
        </w:rPr>
        <w:t>SIM</w:t>
      </w:r>
      <w:r>
        <w:rPr>
          <w:spacing w:val="-7"/>
        </w:rPr>
        <w:t> </w:t>
      </w:r>
      <w:r>
        <w:rPr>
          <w:spacing w:val="-2"/>
        </w:rPr>
        <w:t>=</w:t>
      </w:r>
      <w:r>
        <w:rPr>
          <w:spacing w:val="-8"/>
        </w:rPr>
        <w:t> </w:t>
      </w:r>
      <w:r>
        <w:rPr>
          <w:spacing w:val="-2"/>
        </w:rPr>
        <w:t>simulation/scenario </w:t>
      </w:r>
      <w:r>
        <w:rPr/>
        <w:t>analysis; VIS = visualization/3D/AR/MR; DEC = decision support; ACT = physical actuation/control; SC = scalable/distributed</w:t>
      </w:r>
      <w:r>
        <w:rPr>
          <w:spacing w:val="-9"/>
        </w:rPr>
        <w:t> </w:t>
      </w:r>
      <w:r>
        <w:rPr/>
        <w:t>computing.</w:t>
      </w:r>
      <w:r>
        <w:rPr>
          <w:spacing w:val="-8"/>
        </w:rPr>
        <w:t> </w:t>
      </w:r>
      <w:r>
        <w:rPr/>
        <w:t>A</w:t>
      </w:r>
      <w:r>
        <w:rPr>
          <w:spacing w:val="-11"/>
        </w:rPr>
        <w:t> </w:t>
      </w:r>
      <w:r>
        <w:rPr/>
        <w:t>check</w:t>
      </w:r>
      <w:r>
        <w:rPr>
          <w:spacing w:val="-10"/>
        </w:rPr>
        <w:t> </w:t>
      </w:r>
      <w:r>
        <w:rPr/>
        <w:t>mark</w:t>
      </w:r>
      <w:r>
        <w:rPr>
          <w:spacing w:val="-10"/>
        </w:rPr>
        <w:t> </w:t>
      </w:r>
      <w:r>
        <w:rPr/>
        <w:t>means</w:t>
      </w:r>
      <w:r>
        <w:rPr>
          <w:spacing w:val="-12"/>
        </w:rPr>
        <w:t> </w:t>
      </w:r>
      <w:r>
        <w:rPr/>
        <w:t>explicit </w:t>
      </w:r>
      <w:r>
        <w:rPr>
          <w:spacing w:val="-2"/>
        </w:rPr>
        <w:t>evidence</w:t>
      </w:r>
      <w:r>
        <w:rPr>
          <w:spacing w:val="-11"/>
        </w:rPr>
        <w:t> </w:t>
      </w:r>
      <w:r>
        <w:rPr>
          <w:spacing w:val="-2"/>
        </w:rPr>
        <w:t>in</w:t>
      </w:r>
      <w:r>
        <w:rPr>
          <w:spacing w:val="-10"/>
        </w:rPr>
        <w:t> </w:t>
      </w:r>
      <w:r>
        <w:rPr>
          <w:spacing w:val="-2"/>
        </w:rPr>
        <w:t>the</w:t>
      </w:r>
      <w:r>
        <w:rPr>
          <w:spacing w:val="-11"/>
        </w:rPr>
        <w:t> </w:t>
      </w:r>
      <w:r>
        <w:rPr>
          <w:spacing w:val="-2"/>
        </w:rPr>
        <w:t>selected</w:t>
      </w:r>
      <w:r>
        <w:rPr>
          <w:spacing w:val="-10"/>
        </w:rPr>
        <w:t> </w:t>
      </w:r>
      <w:r>
        <w:rPr>
          <w:spacing w:val="-2"/>
        </w:rPr>
        <w:t>study;</w:t>
      </w:r>
      <w:r>
        <w:rPr>
          <w:spacing w:val="-11"/>
        </w:rPr>
        <w:t> </w:t>
      </w:r>
      <w:r>
        <w:rPr>
          <w:spacing w:val="-2"/>
        </w:rPr>
        <w:t>a</w:t>
      </w:r>
      <w:r>
        <w:rPr>
          <w:spacing w:val="-10"/>
        </w:rPr>
        <w:t> </w:t>
      </w:r>
      <w:r>
        <w:rPr>
          <w:spacing w:val="-2"/>
        </w:rPr>
        <w:t>dash</w:t>
      </w:r>
      <w:r>
        <w:rPr>
          <w:spacing w:val="-9"/>
        </w:rPr>
        <w:t> </w:t>
      </w:r>
      <w:r>
        <w:rPr>
          <w:spacing w:val="-2"/>
        </w:rPr>
        <w:t>means</w:t>
      </w:r>
      <w:r>
        <w:rPr>
          <w:spacing w:val="-10"/>
        </w:rPr>
        <w:t> </w:t>
      </w:r>
      <w:r>
        <w:rPr>
          <w:spacing w:val="-2"/>
        </w:rPr>
        <w:t>that</w:t>
      </w:r>
      <w:r>
        <w:rPr>
          <w:spacing w:val="-9"/>
        </w:rPr>
        <w:t> </w:t>
      </w:r>
      <w:r>
        <w:rPr>
          <w:spacing w:val="-2"/>
        </w:rPr>
        <w:t>the</w:t>
      </w:r>
      <w:r>
        <w:rPr>
          <w:spacing w:val="-9"/>
        </w:rPr>
        <w:t> </w:t>
      </w:r>
      <w:r>
        <w:rPr>
          <w:spacing w:val="-2"/>
        </w:rPr>
        <w:t>capability </w:t>
      </w:r>
      <w:r>
        <w:rPr/>
        <w:t>was not identified under the coding rule.</w:t>
      </w:r>
    </w:p>
    <w:p>
      <w:pPr>
        <w:pStyle w:val="BodyText"/>
        <w:spacing w:before="0"/>
        <w:ind w:left="0" w:firstLine="0"/>
        <w:jc w:val="left"/>
      </w:pPr>
    </w:p>
    <w:p>
      <w:pPr>
        <w:pStyle w:val="BodyText"/>
        <w:spacing w:before="0"/>
        <w:ind w:left="0" w:firstLine="0"/>
        <w:jc w:val="left"/>
      </w:pPr>
    </w:p>
    <w:p>
      <w:pPr>
        <w:pStyle w:val="BodyText"/>
        <w:spacing w:before="0"/>
        <w:ind w:left="0" w:firstLine="0"/>
        <w:jc w:val="left"/>
      </w:pPr>
    </w:p>
    <w:p>
      <w:pPr>
        <w:pStyle w:val="BodyText"/>
        <w:spacing w:before="57"/>
        <w:ind w:left="0" w:firstLine="0"/>
        <w:jc w:val="left"/>
      </w:pPr>
    </w:p>
    <w:p>
      <w:pPr>
        <w:spacing w:before="1"/>
        <w:ind w:left="128" w:right="0" w:firstLine="0"/>
        <w:jc w:val="center"/>
        <w:rPr>
          <w:sz w:val="14"/>
        </w:rPr>
      </w:pPr>
      <w:r>
        <w:rPr>
          <w:sz w:val="14"/>
        </w:rPr>
        <w:t>DS=data</w:t>
      </w:r>
      <w:r>
        <w:rPr>
          <w:spacing w:val="-8"/>
          <w:sz w:val="14"/>
        </w:rPr>
        <w:t> </w:t>
      </w:r>
      <w:r>
        <w:rPr>
          <w:sz w:val="14"/>
        </w:rPr>
        <w:t>sources;</w:t>
      </w:r>
      <w:r>
        <w:rPr>
          <w:spacing w:val="-9"/>
          <w:sz w:val="14"/>
        </w:rPr>
        <w:t> </w:t>
      </w:r>
      <w:r>
        <w:rPr>
          <w:sz w:val="14"/>
        </w:rPr>
        <w:t>RT=real-time/update;</w:t>
      </w:r>
      <w:r>
        <w:rPr>
          <w:spacing w:val="-8"/>
          <w:sz w:val="14"/>
        </w:rPr>
        <w:t> </w:t>
      </w:r>
      <w:r>
        <w:rPr>
          <w:sz w:val="14"/>
        </w:rPr>
        <w:t>INT=integration;</w:t>
      </w:r>
      <w:r>
        <w:rPr>
          <w:spacing w:val="-9"/>
          <w:sz w:val="14"/>
        </w:rPr>
        <w:t> </w:t>
      </w:r>
      <w:r>
        <w:rPr>
          <w:sz w:val="14"/>
        </w:rPr>
        <w:t>AI=AI/ML;</w:t>
      </w:r>
      <w:r>
        <w:rPr>
          <w:spacing w:val="-8"/>
          <w:sz w:val="14"/>
        </w:rPr>
        <w:t> </w:t>
      </w:r>
      <w:r>
        <w:rPr>
          <w:sz w:val="14"/>
        </w:rPr>
        <w:t>PR=prediction;</w:t>
      </w:r>
      <w:r>
        <w:rPr>
          <w:spacing w:val="40"/>
          <w:sz w:val="14"/>
        </w:rPr>
        <w:t> </w:t>
      </w:r>
      <w:r>
        <w:rPr>
          <w:sz w:val="14"/>
        </w:rPr>
        <w:t>SIM=simulation; VIS=visualization; DEC=decision support; ACT=actuation;</w:t>
      </w:r>
      <w:r>
        <w:rPr>
          <w:spacing w:val="40"/>
          <w:sz w:val="14"/>
        </w:rPr>
        <w:t> </w:t>
      </w:r>
      <w:r>
        <w:rPr>
          <w:spacing w:val="-2"/>
          <w:sz w:val="14"/>
        </w:rPr>
        <w:t>SC=scalable/distributed.</w:t>
      </w:r>
    </w:p>
    <w:tbl>
      <w:tblPr>
        <w:tblW w:w="0" w:type="auto"/>
        <w:jc w:val="left"/>
        <w:tblInd w:w="45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720"/>
        <w:gridCol w:w="720"/>
        <w:gridCol w:w="721"/>
        <w:gridCol w:w="720"/>
        <w:gridCol w:w="720"/>
        <w:gridCol w:w="720"/>
      </w:tblGrid>
      <w:tr>
        <w:trPr>
          <w:trHeight w:val="234" w:hRule="atLeast"/>
        </w:trPr>
        <w:tc>
          <w:tcPr>
            <w:tcW w:w="720" w:type="dxa"/>
          </w:tcPr>
          <w:p>
            <w:pPr>
              <w:pStyle w:val="TableParagraph"/>
              <w:spacing w:line="118" w:lineRule="exact"/>
              <w:ind w:left="213" w:right="108" w:hanging="87"/>
              <w:jc w:val="left"/>
              <w:rPr>
                <w:b/>
                <w:sz w:val="12"/>
              </w:rPr>
            </w:pPr>
            <w:r>
              <w:rPr>
                <w:b/>
                <w:sz w:val="12"/>
              </w:rPr>
              <w:t>Study</w:t>
            </w:r>
            <w:r>
              <w:rPr>
                <w:b/>
                <w:spacing w:val="-8"/>
                <w:sz w:val="12"/>
              </w:rPr>
              <w:t> </w:t>
            </w:r>
            <w:r>
              <w:rPr>
                <w:b/>
                <w:sz w:val="12"/>
              </w:rPr>
              <w:t>ID</w:t>
            </w:r>
            <w:r>
              <w:rPr>
                <w:b/>
                <w:spacing w:val="40"/>
                <w:sz w:val="12"/>
              </w:rPr>
              <w:t> </w:t>
            </w:r>
            <w:r>
              <w:rPr>
                <w:b/>
                <w:spacing w:val="-2"/>
                <w:sz w:val="12"/>
              </w:rPr>
              <w:t>[Ref.]</w:t>
            </w:r>
          </w:p>
        </w:tc>
        <w:tc>
          <w:tcPr>
            <w:tcW w:w="720" w:type="dxa"/>
          </w:tcPr>
          <w:p>
            <w:pPr>
              <w:pStyle w:val="TableParagraph"/>
              <w:spacing w:line="122" w:lineRule="exact"/>
              <w:ind w:left="8"/>
              <w:rPr>
                <w:b/>
                <w:sz w:val="12"/>
              </w:rPr>
            </w:pPr>
            <w:r>
              <w:rPr>
                <w:b/>
                <w:spacing w:val="-5"/>
                <w:sz w:val="12"/>
              </w:rPr>
              <w:t>DS</w:t>
            </w:r>
          </w:p>
        </w:tc>
        <w:tc>
          <w:tcPr>
            <w:tcW w:w="721" w:type="dxa"/>
          </w:tcPr>
          <w:p>
            <w:pPr>
              <w:pStyle w:val="TableParagraph"/>
              <w:spacing w:line="122" w:lineRule="exact"/>
              <w:ind w:left="6"/>
              <w:rPr>
                <w:b/>
                <w:sz w:val="12"/>
              </w:rPr>
            </w:pPr>
            <w:r>
              <w:rPr>
                <w:b/>
                <w:spacing w:val="-5"/>
                <w:sz w:val="12"/>
              </w:rPr>
              <w:t>RT</w:t>
            </w:r>
          </w:p>
        </w:tc>
        <w:tc>
          <w:tcPr>
            <w:tcW w:w="720" w:type="dxa"/>
          </w:tcPr>
          <w:p>
            <w:pPr>
              <w:pStyle w:val="TableParagraph"/>
              <w:spacing w:line="122" w:lineRule="exact"/>
              <w:ind w:left="292"/>
              <w:jc w:val="left"/>
              <w:rPr>
                <w:b/>
                <w:sz w:val="12"/>
              </w:rPr>
            </w:pPr>
            <w:r>
              <w:rPr>
                <w:b/>
                <w:spacing w:val="-5"/>
                <w:sz w:val="12"/>
              </w:rPr>
              <w:t>AI</w:t>
            </w:r>
          </w:p>
        </w:tc>
        <w:tc>
          <w:tcPr>
            <w:tcW w:w="720" w:type="dxa"/>
          </w:tcPr>
          <w:p>
            <w:pPr>
              <w:pStyle w:val="TableParagraph"/>
              <w:spacing w:line="122" w:lineRule="exact"/>
              <w:rPr>
                <w:b/>
                <w:sz w:val="12"/>
              </w:rPr>
            </w:pPr>
            <w:r>
              <w:rPr>
                <w:b/>
                <w:spacing w:val="-5"/>
                <w:sz w:val="12"/>
              </w:rPr>
              <w:t>PR</w:t>
            </w:r>
          </w:p>
        </w:tc>
        <w:tc>
          <w:tcPr>
            <w:tcW w:w="720" w:type="dxa"/>
          </w:tcPr>
          <w:p>
            <w:pPr>
              <w:pStyle w:val="TableParagraph"/>
              <w:spacing w:line="122" w:lineRule="exact"/>
              <w:ind w:left="6"/>
              <w:rPr>
                <w:b/>
                <w:sz w:val="12"/>
              </w:rPr>
            </w:pPr>
            <w:r>
              <w:rPr>
                <w:b/>
                <w:spacing w:val="-5"/>
                <w:sz w:val="12"/>
              </w:rPr>
              <w:t>DEC</w:t>
            </w:r>
          </w:p>
        </w:tc>
      </w:tr>
      <w:tr>
        <w:trPr>
          <w:trHeight w:val="135" w:hRule="atLeast"/>
        </w:trPr>
        <w:tc>
          <w:tcPr>
            <w:tcW w:w="720" w:type="dxa"/>
          </w:tcPr>
          <w:p>
            <w:pPr>
              <w:pStyle w:val="TableParagraph"/>
              <w:spacing w:line="115" w:lineRule="exact"/>
              <w:ind w:left="10"/>
              <w:rPr>
                <w:b/>
                <w:sz w:val="12"/>
              </w:rPr>
            </w:pPr>
            <w:r>
              <w:rPr>
                <w:b/>
                <w:sz w:val="12"/>
              </w:rPr>
              <w:t>1</w:t>
            </w:r>
            <w:r>
              <w:rPr>
                <w:b/>
                <w:spacing w:val="1"/>
                <w:sz w:val="12"/>
              </w:rPr>
              <w:t> </w:t>
            </w:r>
            <w:r>
              <w:rPr>
                <w:b/>
                <w:spacing w:val="-5"/>
                <w:sz w:val="12"/>
              </w:rPr>
              <w:t>[1]</w:t>
            </w:r>
          </w:p>
        </w:tc>
        <w:tc>
          <w:tcPr>
            <w:tcW w:w="720" w:type="dxa"/>
          </w:tcPr>
          <w:p>
            <w:pPr>
              <w:pStyle w:val="TableParagraph"/>
              <w:spacing w:line="115" w:lineRule="exact"/>
              <w:ind w:left="8"/>
              <w:rPr>
                <w:rFonts w:ascii="Segoe UI Symbol" w:hAnsi="Segoe UI Symbol"/>
                <w:sz w:val="12"/>
              </w:rPr>
            </w:pPr>
            <w:r>
              <w:rPr>
                <w:rFonts w:ascii="Segoe UI Symbol" w:hAnsi="Segoe UI Symbol"/>
                <w:spacing w:val="-10"/>
                <w:sz w:val="12"/>
              </w:rPr>
              <w:t>✓</w:t>
            </w:r>
          </w:p>
        </w:tc>
        <w:tc>
          <w:tcPr>
            <w:tcW w:w="721" w:type="dxa"/>
          </w:tcPr>
          <w:p>
            <w:pPr>
              <w:pStyle w:val="TableParagraph"/>
              <w:spacing w:line="115" w:lineRule="exact"/>
              <w:rPr>
                <w:rFonts w:ascii="Segoe UI Symbol" w:hAnsi="Segoe UI Symbol"/>
                <w:sz w:val="12"/>
              </w:rPr>
            </w:pPr>
            <w:r>
              <w:rPr>
                <w:rFonts w:ascii="Segoe UI Symbol" w:hAnsi="Segoe UI Symbol"/>
                <w:spacing w:val="-10"/>
                <w:sz w:val="12"/>
              </w:rPr>
              <w:t>✓</w:t>
            </w:r>
          </w:p>
        </w:tc>
        <w:tc>
          <w:tcPr>
            <w:tcW w:w="720" w:type="dxa"/>
          </w:tcPr>
          <w:p>
            <w:pPr>
              <w:pStyle w:val="TableParagraph"/>
              <w:spacing w:line="115" w:lineRule="exact"/>
              <w:ind w:left="313"/>
              <w:jc w:val="left"/>
              <w:rPr>
                <w:rFonts w:ascii="Segoe UI Symbol" w:hAnsi="Segoe UI Symbol"/>
                <w:sz w:val="12"/>
              </w:rPr>
            </w:pPr>
            <w:r>
              <w:rPr>
                <w:rFonts w:ascii="Segoe UI Symbol" w:hAnsi="Segoe UI Symbol"/>
                <w:spacing w:val="-10"/>
                <w:sz w:val="12"/>
              </w:rPr>
              <w:t>✓</w:t>
            </w:r>
          </w:p>
        </w:tc>
        <w:tc>
          <w:tcPr>
            <w:tcW w:w="720" w:type="dxa"/>
          </w:tcPr>
          <w:p>
            <w:pPr>
              <w:pStyle w:val="TableParagraph"/>
              <w:spacing w:line="115" w:lineRule="exact"/>
              <w:rPr>
                <w:rFonts w:ascii="Segoe UI Symbol" w:hAnsi="Segoe UI Symbol"/>
                <w:sz w:val="12"/>
              </w:rPr>
            </w:pPr>
            <w:r>
              <w:rPr>
                <w:rFonts w:ascii="Segoe UI Symbol" w:hAnsi="Segoe UI Symbol"/>
                <w:spacing w:val="-10"/>
                <w:sz w:val="12"/>
              </w:rPr>
              <w:t>✓</w:t>
            </w:r>
          </w:p>
        </w:tc>
        <w:tc>
          <w:tcPr>
            <w:tcW w:w="720" w:type="dxa"/>
          </w:tcPr>
          <w:p>
            <w:pPr>
              <w:pStyle w:val="TableParagraph"/>
              <w:spacing w:line="115" w:lineRule="exact"/>
              <w:rPr>
                <w:rFonts w:ascii="Segoe UI Symbol" w:hAnsi="Segoe UI Symbol"/>
                <w:sz w:val="12"/>
              </w:rPr>
            </w:pPr>
            <w:r>
              <w:rPr>
                <w:rFonts w:ascii="Segoe UI Symbol" w:hAnsi="Segoe UI Symbol"/>
                <w:spacing w:val="-10"/>
                <w:sz w:val="12"/>
              </w:rPr>
              <w:t>✓</w:t>
            </w:r>
          </w:p>
        </w:tc>
      </w:tr>
      <w:tr>
        <w:trPr>
          <w:trHeight w:val="136" w:hRule="atLeast"/>
        </w:trPr>
        <w:tc>
          <w:tcPr>
            <w:tcW w:w="720" w:type="dxa"/>
          </w:tcPr>
          <w:p>
            <w:pPr>
              <w:pStyle w:val="TableParagraph"/>
              <w:ind w:left="8"/>
              <w:rPr>
                <w:b/>
                <w:sz w:val="12"/>
              </w:rPr>
            </w:pPr>
            <w:r>
              <w:rPr>
                <w:b/>
                <w:sz w:val="12"/>
              </w:rPr>
              <w:t>2</w:t>
            </w:r>
            <w:r>
              <w:rPr>
                <w:b/>
                <w:spacing w:val="1"/>
                <w:sz w:val="12"/>
              </w:rPr>
              <w:t> </w:t>
            </w:r>
            <w:r>
              <w:rPr>
                <w:b/>
                <w:spacing w:val="-4"/>
                <w:sz w:val="12"/>
              </w:rPr>
              <w:t>[18]</w:t>
            </w:r>
          </w:p>
        </w:tc>
        <w:tc>
          <w:tcPr>
            <w:tcW w:w="720" w:type="dxa"/>
          </w:tcPr>
          <w:p>
            <w:pPr>
              <w:pStyle w:val="TableParagraph"/>
              <w:ind w:left="8"/>
              <w:rPr>
                <w:rFonts w:ascii="Segoe UI Symbol" w:hAnsi="Segoe UI Symbol"/>
                <w:sz w:val="12"/>
              </w:rPr>
            </w:pPr>
            <w:r>
              <w:rPr>
                <w:rFonts w:ascii="Segoe UI Symbol" w:hAnsi="Segoe UI Symbol"/>
                <w:spacing w:val="-10"/>
                <w:sz w:val="12"/>
              </w:rPr>
              <w:t>✓</w:t>
            </w:r>
          </w:p>
        </w:tc>
        <w:tc>
          <w:tcPr>
            <w:tcW w:w="721" w:type="dxa"/>
          </w:tcPr>
          <w:p>
            <w:pPr>
              <w:pStyle w:val="TableParagraph"/>
              <w:rPr>
                <w:rFonts w:ascii="Segoe UI Symbol" w:hAnsi="Segoe UI Symbol"/>
                <w:sz w:val="12"/>
              </w:rPr>
            </w:pPr>
            <w:r>
              <w:rPr>
                <w:rFonts w:ascii="Segoe UI Symbol" w:hAnsi="Segoe UI Symbol"/>
                <w:spacing w:val="-10"/>
                <w:sz w:val="12"/>
              </w:rPr>
              <w:t>✓</w:t>
            </w:r>
          </w:p>
        </w:tc>
        <w:tc>
          <w:tcPr>
            <w:tcW w:w="720" w:type="dxa"/>
          </w:tcPr>
          <w:p>
            <w:pPr>
              <w:pStyle w:val="TableParagraph"/>
              <w:ind w:left="328"/>
              <w:jc w:val="left"/>
              <w:rPr>
                <w:sz w:val="12"/>
              </w:rPr>
            </w:pPr>
            <w:r>
              <w:rPr>
                <w:sz w:val="12"/>
              </w:rPr>
              <w:t>–</w:t>
            </w:r>
          </w:p>
        </w:tc>
        <w:tc>
          <w:tcPr>
            <w:tcW w:w="720" w:type="dxa"/>
          </w:tcPr>
          <w:p>
            <w:pPr>
              <w:pStyle w:val="TableParagraph"/>
              <w:rPr>
                <w:rFonts w:ascii="Segoe UI Symbol" w:hAnsi="Segoe UI Symbol"/>
                <w:sz w:val="12"/>
              </w:rPr>
            </w:pPr>
            <w:r>
              <w:rPr>
                <w:rFonts w:ascii="Segoe UI Symbol" w:hAnsi="Segoe UI Symbol"/>
                <w:spacing w:val="-10"/>
                <w:sz w:val="12"/>
              </w:rPr>
              <w:t>✓</w:t>
            </w:r>
          </w:p>
        </w:tc>
        <w:tc>
          <w:tcPr>
            <w:tcW w:w="720" w:type="dxa"/>
          </w:tcPr>
          <w:p>
            <w:pPr>
              <w:pStyle w:val="TableParagraph"/>
              <w:rPr>
                <w:rFonts w:ascii="Segoe UI Symbol" w:hAnsi="Segoe UI Symbol"/>
                <w:sz w:val="12"/>
              </w:rPr>
            </w:pPr>
            <w:r>
              <w:rPr>
                <w:rFonts w:ascii="Segoe UI Symbol" w:hAnsi="Segoe UI Symbol"/>
                <w:spacing w:val="-10"/>
                <w:sz w:val="12"/>
              </w:rPr>
              <w:t>✓</w:t>
            </w:r>
          </w:p>
        </w:tc>
      </w:tr>
      <w:tr>
        <w:trPr>
          <w:trHeight w:val="133" w:hRule="atLeast"/>
        </w:trPr>
        <w:tc>
          <w:tcPr>
            <w:tcW w:w="720" w:type="dxa"/>
          </w:tcPr>
          <w:p>
            <w:pPr>
              <w:pStyle w:val="TableParagraph"/>
              <w:spacing w:line="114" w:lineRule="exact"/>
              <w:ind w:left="10"/>
              <w:rPr>
                <w:b/>
                <w:sz w:val="12"/>
              </w:rPr>
            </w:pPr>
            <w:r>
              <w:rPr>
                <w:b/>
                <w:sz w:val="12"/>
              </w:rPr>
              <w:t>3</w:t>
            </w:r>
            <w:r>
              <w:rPr>
                <w:b/>
                <w:spacing w:val="1"/>
                <w:sz w:val="12"/>
              </w:rPr>
              <w:t> </w:t>
            </w:r>
            <w:r>
              <w:rPr>
                <w:b/>
                <w:spacing w:val="-5"/>
                <w:sz w:val="12"/>
              </w:rPr>
              <w:t>[5]</w:t>
            </w:r>
          </w:p>
        </w:tc>
        <w:tc>
          <w:tcPr>
            <w:tcW w:w="720" w:type="dxa"/>
          </w:tcPr>
          <w:p>
            <w:pPr>
              <w:pStyle w:val="TableParagraph"/>
              <w:spacing w:line="114" w:lineRule="exact"/>
              <w:ind w:left="8"/>
              <w:rPr>
                <w:rFonts w:ascii="Segoe UI Symbol" w:hAnsi="Segoe UI Symbol"/>
                <w:sz w:val="12"/>
              </w:rPr>
            </w:pPr>
            <w:r>
              <w:rPr>
                <w:rFonts w:ascii="Segoe UI Symbol" w:hAnsi="Segoe UI Symbol"/>
                <w:spacing w:val="-10"/>
                <w:sz w:val="12"/>
              </w:rPr>
              <w:t>✓</w:t>
            </w:r>
          </w:p>
        </w:tc>
        <w:tc>
          <w:tcPr>
            <w:tcW w:w="721" w:type="dxa"/>
          </w:tcPr>
          <w:p>
            <w:pPr>
              <w:pStyle w:val="TableParagraph"/>
              <w:spacing w:line="114" w:lineRule="exact"/>
              <w:ind w:left="6"/>
              <w:rPr>
                <w:sz w:val="12"/>
              </w:rPr>
            </w:pPr>
            <w:r>
              <w:rPr>
                <w:sz w:val="12"/>
              </w:rPr>
              <w:t>–</w:t>
            </w:r>
          </w:p>
        </w:tc>
        <w:tc>
          <w:tcPr>
            <w:tcW w:w="720" w:type="dxa"/>
          </w:tcPr>
          <w:p>
            <w:pPr>
              <w:pStyle w:val="TableParagraph"/>
              <w:spacing w:line="114" w:lineRule="exact"/>
              <w:ind w:left="328"/>
              <w:jc w:val="left"/>
              <w:rPr>
                <w:sz w:val="12"/>
              </w:rPr>
            </w:pPr>
            <w:r>
              <w:rPr>
                <w:sz w:val="12"/>
              </w:rPr>
              <w:t>–</w:t>
            </w:r>
          </w:p>
        </w:tc>
        <w:tc>
          <w:tcPr>
            <w:tcW w:w="720" w:type="dxa"/>
          </w:tcPr>
          <w:p>
            <w:pPr>
              <w:pStyle w:val="TableParagraph"/>
              <w:spacing w:line="114" w:lineRule="exact"/>
              <w:ind w:left="6"/>
              <w:rPr>
                <w:sz w:val="12"/>
              </w:rPr>
            </w:pPr>
            <w:r>
              <w:rPr>
                <w:sz w:val="12"/>
              </w:rPr>
              <w:t>–</w:t>
            </w:r>
          </w:p>
        </w:tc>
        <w:tc>
          <w:tcPr>
            <w:tcW w:w="720" w:type="dxa"/>
          </w:tcPr>
          <w:p>
            <w:pPr>
              <w:pStyle w:val="TableParagraph"/>
              <w:spacing w:line="114" w:lineRule="exact"/>
              <w:ind w:left="6"/>
              <w:rPr>
                <w:sz w:val="12"/>
              </w:rPr>
            </w:pPr>
            <w:r>
              <w:rPr>
                <w:sz w:val="12"/>
              </w:rPr>
              <w:t>–</w:t>
            </w:r>
          </w:p>
        </w:tc>
      </w:tr>
      <w:tr>
        <w:trPr>
          <w:trHeight w:val="136" w:hRule="atLeast"/>
        </w:trPr>
        <w:tc>
          <w:tcPr>
            <w:tcW w:w="720" w:type="dxa"/>
          </w:tcPr>
          <w:p>
            <w:pPr>
              <w:pStyle w:val="TableParagraph"/>
              <w:ind w:left="8"/>
              <w:rPr>
                <w:b/>
                <w:sz w:val="12"/>
              </w:rPr>
            </w:pPr>
            <w:r>
              <w:rPr>
                <w:b/>
                <w:sz w:val="12"/>
              </w:rPr>
              <w:t>4</w:t>
            </w:r>
            <w:r>
              <w:rPr>
                <w:b/>
                <w:spacing w:val="1"/>
                <w:sz w:val="12"/>
              </w:rPr>
              <w:t> </w:t>
            </w:r>
            <w:r>
              <w:rPr>
                <w:b/>
                <w:spacing w:val="-4"/>
                <w:sz w:val="12"/>
              </w:rPr>
              <w:t>[11]</w:t>
            </w:r>
          </w:p>
        </w:tc>
        <w:tc>
          <w:tcPr>
            <w:tcW w:w="720" w:type="dxa"/>
          </w:tcPr>
          <w:p>
            <w:pPr>
              <w:pStyle w:val="TableParagraph"/>
              <w:ind w:left="8"/>
              <w:rPr>
                <w:rFonts w:ascii="Segoe UI Symbol" w:hAnsi="Segoe UI Symbol"/>
                <w:sz w:val="12"/>
              </w:rPr>
            </w:pPr>
            <w:r>
              <w:rPr>
                <w:rFonts w:ascii="Segoe UI Symbol" w:hAnsi="Segoe UI Symbol"/>
                <w:spacing w:val="-10"/>
                <w:sz w:val="12"/>
              </w:rPr>
              <w:t>✓</w:t>
            </w:r>
          </w:p>
        </w:tc>
        <w:tc>
          <w:tcPr>
            <w:tcW w:w="721" w:type="dxa"/>
          </w:tcPr>
          <w:p>
            <w:pPr>
              <w:pStyle w:val="TableParagraph"/>
              <w:ind w:left="6"/>
              <w:rPr>
                <w:sz w:val="12"/>
              </w:rPr>
            </w:pPr>
            <w:r>
              <w:rPr>
                <w:sz w:val="12"/>
              </w:rPr>
              <w:t>–</w:t>
            </w:r>
          </w:p>
        </w:tc>
        <w:tc>
          <w:tcPr>
            <w:tcW w:w="720" w:type="dxa"/>
          </w:tcPr>
          <w:p>
            <w:pPr>
              <w:pStyle w:val="TableParagraph"/>
              <w:ind w:left="328"/>
              <w:jc w:val="left"/>
              <w:rPr>
                <w:sz w:val="12"/>
              </w:rPr>
            </w:pPr>
            <w:r>
              <w:rPr>
                <w:sz w:val="12"/>
              </w:rPr>
              <w:t>–</w:t>
            </w:r>
          </w:p>
        </w:tc>
        <w:tc>
          <w:tcPr>
            <w:tcW w:w="720" w:type="dxa"/>
          </w:tcPr>
          <w:p>
            <w:pPr>
              <w:pStyle w:val="TableParagraph"/>
              <w:ind w:left="6"/>
              <w:rPr>
                <w:sz w:val="12"/>
              </w:rPr>
            </w:pPr>
            <w:r>
              <w:rPr>
                <w:sz w:val="12"/>
              </w:rPr>
              <w:t>–</w:t>
            </w:r>
          </w:p>
        </w:tc>
        <w:tc>
          <w:tcPr>
            <w:tcW w:w="720" w:type="dxa"/>
          </w:tcPr>
          <w:p>
            <w:pPr>
              <w:pStyle w:val="TableParagraph"/>
              <w:ind w:left="6"/>
              <w:rPr>
                <w:sz w:val="12"/>
              </w:rPr>
            </w:pPr>
            <w:r>
              <w:rPr>
                <w:sz w:val="12"/>
              </w:rPr>
              <w:t>–</w:t>
            </w:r>
          </w:p>
        </w:tc>
      </w:tr>
      <w:tr>
        <w:trPr>
          <w:trHeight w:val="137" w:hRule="atLeast"/>
        </w:trPr>
        <w:tc>
          <w:tcPr>
            <w:tcW w:w="720" w:type="dxa"/>
          </w:tcPr>
          <w:p>
            <w:pPr>
              <w:pStyle w:val="TableParagraph"/>
              <w:spacing w:line="117" w:lineRule="exact"/>
              <w:ind w:left="10"/>
              <w:rPr>
                <w:b/>
                <w:sz w:val="12"/>
              </w:rPr>
            </w:pPr>
            <w:r>
              <w:rPr>
                <w:b/>
                <w:sz w:val="12"/>
              </w:rPr>
              <w:t>5</w:t>
            </w:r>
            <w:r>
              <w:rPr>
                <w:b/>
                <w:spacing w:val="1"/>
                <w:sz w:val="12"/>
              </w:rPr>
              <w:t> </w:t>
            </w:r>
            <w:r>
              <w:rPr>
                <w:b/>
                <w:spacing w:val="-5"/>
                <w:sz w:val="12"/>
              </w:rPr>
              <w:t>[2]</w:t>
            </w:r>
          </w:p>
        </w:tc>
        <w:tc>
          <w:tcPr>
            <w:tcW w:w="720" w:type="dxa"/>
          </w:tcPr>
          <w:p>
            <w:pPr>
              <w:pStyle w:val="TableParagraph"/>
              <w:spacing w:line="117" w:lineRule="exact"/>
              <w:ind w:left="8"/>
              <w:rPr>
                <w:rFonts w:ascii="Segoe UI Symbol" w:hAnsi="Segoe UI Symbol"/>
                <w:sz w:val="12"/>
              </w:rPr>
            </w:pPr>
            <w:r>
              <w:rPr>
                <w:rFonts w:ascii="Segoe UI Symbol" w:hAnsi="Segoe UI Symbol"/>
                <w:spacing w:val="-10"/>
                <w:sz w:val="12"/>
              </w:rPr>
              <w:t>✓</w:t>
            </w:r>
          </w:p>
        </w:tc>
        <w:tc>
          <w:tcPr>
            <w:tcW w:w="721" w:type="dxa"/>
          </w:tcPr>
          <w:p>
            <w:pPr>
              <w:pStyle w:val="TableParagraph"/>
              <w:spacing w:line="117" w:lineRule="exact"/>
              <w:rPr>
                <w:rFonts w:ascii="Segoe UI Symbol" w:hAnsi="Segoe UI Symbol"/>
                <w:sz w:val="12"/>
              </w:rPr>
            </w:pPr>
            <w:r>
              <w:rPr>
                <w:rFonts w:ascii="Segoe UI Symbol" w:hAnsi="Segoe UI Symbol"/>
                <w:spacing w:val="-10"/>
                <w:sz w:val="12"/>
              </w:rPr>
              <w:t>✓</w:t>
            </w:r>
          </w:p>
        </w:tc>
        <w:tc>
          <w:tcPr>
            <w:tcW w:w="720" w:type="dxa"/>
          </w:tcPr>
          <w:p>
            <w:pPr>
              <w:pStyle w:val="TableParagraph"/>
              <w:spacing w:line="117" w:lineRule="exact"/>
              <w:ind w:left="313"/>
              <w:jc w:val="left"/>
              <w:rPr>
                <w:rFonts w:ascii="Segoe UI Symbol" w:hAnsi="Segoe UI Symbol"/>
                <w:sz w:val="12"/>
              </w:rPr>
            </w:pPr>
            <w:r>
              <w:rPr>
                <w:rFonts w:ascii="Segoe UI Symbol" w:hAnsi="Segoe UI Symbol"/>
                <w:spacing w:val="-10"/>
                <w:sz w:val="12"/>
              </w:rPr>
              <w:t>✓</w:t>
            </w:r>
          </w:p>
        </w:tc>
        <w:tc>
          <w:tcPr>
            <w:tcW w:w="720" w:type="dxa"/>
          </w:tcPr>
          <w:p>
            <w:pPr>
              <w:pStyle w:val="TableParagraph"/>
              <w:spacing w:line="117" w:lineRule="exact"/>
              <w:ind w:left="6"/>
              <w:rPr>
                <w:sz w:val="12"/>
              </w:rPr>
            </w:pPr>
            <w:r>
              <w:rPr>
                <w:sz w:val="12"/>
              </w:rPr>
              <w:t>–</w:t>
            </w:r>
          </w:p>
        </w:tc>
        <w:tc>
          <w:tcPr>
            <w:tcW w:w="720" w:type="dxa"/>
          </w:tcPr>
          <w:p>
            <w:pPr>
              <w:pStyle w:val="TableParagraph"/>
              <w:spacing w:line="117" w:lineRule="exact"/>
              <w:rPr>
                <w:rFonts w:ascii="Segoe UI Symbol" w:hAnsi="Segoe UI Symbol"/>
                <w:sz w:val="12"/>
              </w:rPr>
            </w:pPr>
            <w:r>
              <w:rPr>
                <w:rFonts w:ascii="Segoe UI Symbol" w:hAnsi="Segoe UI Symbol"/>
                <w:spacing w:val="-10"/>
                <w:sz w:val="12"/>
              </w:rPr>
              <w:t>✓</w:t>
            </w:r>
          </w:p>
        </w:tc>
      </w:tr>
      <w:tr>
        <w:trPr>
          <w:trHeight w:val="133" w:hRule="atLeast"/>
        </w:trPr>
        <w:tc>
          <w:tcPr>
            <w:tcW w:w="720" w:type="dxa"/>
          </w:tcPr>
          <w:p>
            <w:pPr>
              <w:pStyle w:val="TableParagraph"/>
              <w:spacing w:line="114" w:lineRule="exact"/>
              <w:ind w:left="8"/>
              <w:rPr>
                <w:b/>
                <w:sz w:val="12"/>
              </w:rPr>
            </w:pPr>
            <w:r>
              <w:rPr>
                <w:b/>
                <w:sz w:val="12"/>
              </w:rPr>
              <w:t>6</w:t>
            </w:r>
            <w:r>
              <w:rPr>
                <w:b/>
                <w:spacing w:val="1"/>
                <w:sz w:val="12"/>
              </w:rPr>
              <w:t> </w:t>
            </w:r>
            <w:r>
              <w:rPr>
                <w:b/>
                <w:spacing w:val="-4"/>
                <w:sz w:val="12"/>
              </w:rPr>
              <w:t>[19]</w:t>
            </w:r>
          </w:p>
        </w:tc>
        <w:tc>
          <w:tcPr>
            <w:tcW w:w="720" w:type="dxa"/>
          </w:tcPr>
          <w:p>
            <w:pPr>
              <w:pStyle w:val="TableParagraph"/>
              <w:spacing w:line="114" w:lineRule="exact"/>
              <w:ind w:left="8"/>
              <w:rPr>
                <w:rFonts w:ascii="Segoe UI Symbol" w:hAnsi="Segoe UI Symbol"/>
                <w:sz w:val="12"/>
              </w:rPr>
            </w:pPr>
            <w:r>
              <w:rPr>
                <w:rFonts w:ascii="Segoe UI Symbol" w:hAnsi="Segoe UI Symbol"/>
                <w:spacing w:val="-10"/>
                <w:sz w:val="12"/>
              </w:rPr>
              <w:t>✓</w:t>
            </w:r>
          </w:p>
        </w:tc>
        <w:tc>
          <w:tcPr>
            <w:tcW w:w="721" w:type="dxa"/>
          </w:tcPr>
          <w:p>
            <w:pPr>
              <w:pStyle w:val="TableParagraph"/>
              <w:spacing w:line="114" w:lineRule="exact"/>
              <w:ind w:left="6"/>
              <w:rPr>
                <w:sz w:val="12"/>
              </w:rPr>
            </w:pPr>
            <w:r>
              <w:rPr>
                <w:sz w:val="12"/>
              </w:rPr>
              <w:t>–</w:t>
            </w:r>
          </w:p>
        </w:tc>
        <w:tc>
          <w:tcPr>
            <w:tcW w:w="720" w:type="dxa"/>
          </w:tcPr>
          <w:p>
            <w:pPr>
              <w:pStyle w:val="TableParagraph"/>
              <w:spacing w:line="114" w:lineRule="exact"/>
              <w:ind w:left="313"/>
              <w:jc w:val="left"/>
              <w:rPr>
                <w:rFonts w:ascii="Segoe UI Symbol" w:hAnsi="Segoe UI Symbol"/>
                <w:sz w:val="12"/>
              </w:rPr>
            </w:pPr>
            <w:r>
              <w:rPr>
                <w:rFonts w:ascii="Segoe UI Symbol" w:hAnsi="Segoe UI Symbol"/>
                <w:spacing w:val="-10"/>
                <w:sz w:val="12"/>
              </w:rPr>
              <w:t>✓</w:t>
            </w:r>
          </w:p>
        </w:tc>
        <w:tc>
          <w:tcPr>
            <w:tcW w:w="720" w:type="dxa"/>
          </w:tcPr>
          <w:p>
            <w:pPr>
              <w:pStyle w:val="TableParagraph"/>
              <w:spacing w:line="114" w:lineRule="exact"/>
              <w:ind w:left="6"/>
              <w:rPr>
                <w:sz w:val="12"/>
              </w:rPr>
            </w:pPr>
            <w:r>
              <w:rPr>
                <w:sz w:val="12"/>
              </w:rPr>
              <w:t>–</w:t>
            </w:r>
          </w:p>
        </w:tc>
        <w:tc>
          <w:tcPr>
            <w:tcW w:w="720" w:type="dxa"/>
          </w:tcPr>
          <w:p>
            <w:pPr>
              <w:pStyle w:val="TableParagraph"/>
              <w:spacing w:line="114" w:lineRule="exact"/>
              <w:rPr>
                <w:rFonts w:ascii="Segoe UI Symbol" w:hAnsi="Segoe UI Symbol"/>
                <w:sz w:val="12"/>
              </w:rPr>
            </w:pPr>
            <w:r>
              <w:rPr>
                <w:rFonts w:ascii="Segoe UI Symbol" w:hAnsi="Segoe UI Symbol"/>
                <w:spacing w:val="-10"/>
                <w:sz w:val="12"/>
              </w:rPr>
              <w:t>✓</w:t>
            </w:r>
          </w:p>
        </w:tc>
      </w:tr>
      <w:tr>
        <w:trPr>
          <w:trHeight w:val="136" w:hRule="atLeast"/>
        </w:trPr>
        <w:tc>
          <w:tcPr>
            <w:tcW w:w="720" w:type="dxa"/>
          </w:tcPr>
          <w:p>
            <w:pPr>
              <w:pStyle w:val="TableParagraph"/>
              <w:ind w:left="10"/>
              <w:rPr>
                <w:b/>
                <w:sz w:val="12"/>
              </w:rPr>
            </w:pPr>
            <w:r>
              <w:rPr>
                <w:b/>
                <w:sz w:val="12"/>
              </w:rPr>
              <w:t>7</w:t>
            </w:r>
            <w:r>
              <w:rPr>
                <w:b/>
                <w:spacing w:val="1"/>
                <w:sz w:val="12"/>
              </w:rPr>
              <w:t> </w:t>
            </w:r>
            <w:r>
              <w:rPr>
                <w:b/>
                <w:spacing w:val="-5"/>
                <w:sz w:val="12"/>
              </w:rPr>
              <w:t>[6]</w:t>
            </w:r>
          </w:p>
        </w:tc>
        <w:tc>
          <w:tcPr>
            <w:tcW w:w="720" w:type="dxa"/>
          </w:tcPr>
          <w:p>
            <w:pPr>
              <w:pStyle w:val="TableParagraph"/>
              <w:ind w:left="8"/>
              <w:rPr>
                <w:rFonts w:ascii="Segoe UI Symbol" w:hAnsi="Segoe UI Symbol"/>
                <w:sz w:val="12"/>
              </w:rPr>
            </w:pPr>
            <w:r>
              <w:rPr>
                <w:rFonts w:ascii="Segoe UI Symbol" w:hAnsi="Segoe UI Symbol"/>
                <w:spacing w:val="-10"/>
                <w:sz w:val="12"/>
              </w:rPr>
              <w:t>✓</w:t>
            </w:r>
          </w:p>
        </w:tc>
        <w:tc>
          <w:tcPr>
            <w:tcW w:w="721" w:type="dxa"/>
          </w:tcPr>
          <w:p>
            <w:pPr>
              <w:pStyle w:val="TableParagraph"/>
              <w:ind w:left="6"/>
              <w:rPr>
                <w:sz w:val="12"/>
              </w:rPr>
            </w:pPr>
            <w:r>
              <w:rPr>
                <w:sz w:val="12"/>
              </w:rPr>
              <w:t>–</w:t>
            </w:r>
          </w:p>
        </w:tc>
        <w:tc>
          <w:tcPr>
            <w:tcW w:w="720" w:type="dxa"/>
          </w:tcPr>
          <w:p>
            <w:pPr>
              <w:pStyle w:val="TableParagraph"/>
              <w:ind w:left="313"/>
              <w:jc w:val="left"/>
              <w:rPr>
                <w:rFonts w:ascii="Segoe UI Symbol" w:hAnsi="Segoe UI Symbol"/>
                <w:sz w:val="12"/>
              </w:rPr>
            </w:pPr>
            <w:r>
              <w:rPr>
                <w:rFonts w:ascii="Segoe UI Symbol" w:hAnsi="Segoe UI Symbol"/>
                <w:spacing w:val="-10"/>
                <w:sz w:val="12"/>
              </w:rPr>
              <w:t>✓</w:t>
            </w:r>
          </w:p>
        </w:tc>
        <w:tc>
          <w:tcPr>
            <w:tcW w:w="720" w:type="dxa"/>
          </w:tcPr>
          <w:p>
            <w:pPr>
              <w:pStyle w:val="TableParagraph"/>
              <w:ind w:left="6"/>
              <w:rPr>
                <w:sz w:val="12"/>
              </w:rPr>
            </w:pPr>
            <w:r>
              <w:rPr>
                <w:sz w:val="12"/>
              </w:rPr>
              <w:t>–</w:t>
            </w:r>
          </w:p>
        </w:tc>
        <w:tc>
          <w:tcPr>
            <w:tcW w:w="720" w:type="dxa"/>
          </w:tcPr>
          <w:p>
            <w:pPr>
              <w:pStyle w:val="TableParagraph"/>
              <w:rPr>
                <w:rFonts w:ascii="Segoe UI Symbol" w:hAnsi="Segoe UI Symbol"/>
                <w:sz w:val="12"/>
              </w:rPr>
            </w:pPr>
            <w:r>
              <w:rPr>
                <w:rFonts w:ascii="Segoe UI Symbol" w:hAnsi="Segoe UI Symbol"/>
                <w:spacing w:val="-10"/>
                <w:sz w:val="12"/>
              </w:rPr>
              <w:t>✓</w:t>
            </w:r>
          </w:p>
        </w:tc>
      </w:tr>
      <w:tr>
        <w:trPr>
          <w:trHeight w:val="136" w:hRule="atLeast"/>
        </w:trPr>
        <w:tc>
          <w:tcPr>
            <w:tcW w:w="720" w:type="dxa"/>
          </w:tcPr>
          <w:p>
            <w:pPr>
              <w:pStyle w:val="TableParagraph"/>
              <w:ind w:left="10"/>
              <w:rPr>
                <w:b/>
                <w:sz w:val="12"/>
              </w:rPr>
            </w:pPr>
            <w:r>
              <w:rPr>
                <w:b/>
                <w:sz w:val="12"/>
              </w:rPr>
              <w:t>8</w:t>
            </w:r>
            <w:r>
              <w:rPr>
                <w:b/>
                <w:spacing w:val="1"/>
                <w:sz w:val="12"/>
              </w:rPr>
              <w:t> </w:t>
            </w:r>
            <w:r>
              <w:rPr>
                <w:b/>
                <w:spacing w:val="-5"/>
                <w:sz w:val="12"/>
              </w:rPr>
              <w:t>[3]</w:t>
            </w:r>
          </w:p>
        </w:tc>
        <w:tc>
          <w:tcPr>
            <w:tcW w:w="720" w:type="dxa"/>
          </w:tcPr>
          <w:p>
            <w:pPr>
              <w:pStyle w:val="TableParagraph"/>
              <w:ind w:left="8"/>
              <w:rPr>
                <w:rFonts w:ascii="Segoe UI Symbol" w:hAnsi="Segoe UI Symbol"/>
                <w:sz w:val="12"/>
              </w:rPr>
            </w:pPr>
            <w:r>
              <w:rPr>
                <w:rFonts w:ascii="Segoe UI Symbol" w:hAnsi="Segoe UI Symbol"/>
                <w:spacing w:val="-10"/>
                <w:sz w:val="12"/>
              </w:rPr>
              <w:t>✓</w:t>
            </w:r>
          </w:p>
        </w:tc>
        <w:tc>
          <w:tcPr>
            <w:tcW w:w="721" w:type="dxa"/>
          </w:tcPr>
          <w:p>
            <w:pPr>
              <w:pStyle w:val="TableParagraph"/>
              <w:rPr>
                <w:rFonts w:ascii="Segoe UI Symbol" w:hAnsi="Segoe UI Symbol"/>
                <w:sz w:val="12"/>
              </w:rPr>
            </w:pPr>
            <w:r>
              <w:rPr>
                <w:rFonts w:ascii="Segoe UI Symbol" w:hAnsi="Segoe UI Symbol"/>
                <w:spacing w:val="-10"/>
                <w:sz w:val="12"/>
              </w:rPr>
              <w:t>✓</w:t>
            </w:r>
          </w:p>
        </w:tc>
        <w:tc>
          <w:tcPr>
            <w:tcW w:w="720" w:type="dxa"/>
          </w:tcPr>
          <w:p>
            <w:pPr>
              <w:pStyle w:val="TableParagraph"/>
              <w:ind w:left="313"/>
              <w:jc w:val="left"/>
              <w:rPr>
                <w:rFonts w:ascii="Segoe UI Symbol" w:hAnsi="Segoe UI Symbol"/>
                <w:sz w:val="12"/>
              </w:rPr>
            </w:pPr>
            <w:r>
              <w:rPr>
                <w:rFonts w:ascii="Segoe UI Symbol" w:hAnsi="Segoe UI Symbol"/>
                <w:spacing w:val="-10"/>
                <w:sz w:val="12"/>
              </w:rPr>
              <w:t>✓</w:t>
            </w:r>
          </w:p>
        </w:tc>
        <w:tc>
          <w:tcPr>
            <w:tcW w:w="720" w:type="dxa"/>
          </w:tcPr>
          <w:p>
            <w:pPr>
              <w:pStyle w:val="TableParagraph"/>
              <w:rPr>
                <w:rFonts w:ascii="Segoe UI Symbol" w:hAnsi="Segoe UI Symbol"/>
                <w:sz w:val="12"/>
              </w:rPr>
            </w:pPr>
            <w:r>
              <w:rPr>
                <w:rFonts w:ascii="Segoe UI Symbol" w:hAnsi="Segoe UI Symbol"/>
                <w:spacing w:val="-10"/>
                <w:sz w:val="12"/>
              </w:rPr>
              <w:t>✓</w:t>
            </w:r>
          </w:p>
        </w:tc>
        <w:tc>
          <w:tcPr>
            <w:tcW w:w="720" w:type="dxa"/>
          </w:tcPr>
          <w:p>
            <w:pPr>
              <w:pStyle w:val="TableParagraph"/>
              <w:rPr>
                <w:rFonts w:ascii="Segoe UI Symbol" w:hAnsi="Segoe UI Symbol"/>
                <w:sz w:val="12"/>
              </w:rPr>
            </w:pPr>
            <w:r>
              <w:rPr>
                <w:rFonts w:ascii="Segoe UI Symbol" w:hAnsi="Segoe UI Symbol"/>
                <w:spacing w:val="-10"/>
                <w:sz w:val="12"/>
              </w:rPr>
              <w:t>✓</w:t>
            </w:r>
          </w:p>
        </w:tc>
      </w:tr>
      <w:tr>
        <w:trPr>
          <w:trHeight w:val="136" w:hRule="atLeast"/>
        </w:trPr>
        <w:tc>
          <w:tcPr>
            <w:tcW w:w="720" w:type="dxa"/>
          </w:tcPr>
          <w:p>
            <w:pPr>
              <w:pStyle w:val="TableParagraph"/>
              <w:ind w:left="8"/>
              <w:rPr>
                <w:b/>
                <w:sz w:val="12"/>
              </w:rPr>
            </w:pPr>
            <w:r>
              <w:rPr>
                <w:b/>
                <w:sz w:val="12"/>
              </w:rPr>
              <w:t>9</w:t>
            </w:r>
            <w:r>
              <w:rPr>
                <w:b/>
                <w:spacing w:val="1"/>
                <w:sz w:val="12"/>
              </w:rPr>
              <w:t> </w:t>
            </w:r>
            <w:r>
              <w:rPr>
                <w:b/>
                <w:spacing w:val="-4"/>
                <w:sz w:val="12"/>
              </w:rPr>
              <w:t>[20]</w:t>
            </w:r>
          </w:p>
        </w:tc>
        <w:tc>
          <w:tcPr>
            <w:tcW w:w="720" w:type="dxa"/>
          </w:tcPr>
          <w:p>
            <w:pPr>
              <w:pStyle w:val="TableParagraph"/>
              <w:ind w:left="8"/>
              <w:rPr>
                <w:rFonts w:ascii="Segoe UI Symbol" w:hAnsi="Segoe UI Symbol"/>
                <w:sz w:val="12"/>
              </w:rPr>
            </w:pPr>
            <w:r>
              <w:rPr>
                <w:rFonts w:ascii="Segoe UI Symbol" w:hAnsi="Segoe UI Symbol"/>
                <w:spacing w:val="-10"/>
                <w:sz w:val="12"/>
              </w:rPr>
              <w:t>✓</w:t>
            </w:r>
          </w:p>
        </w:tc>
        <w:tc>
          <w:tcPr>
            <w:tcW w:w="721" w:type="dxa"/>
          </w:tcPr>
          <w:p>
            <w:pPr>
              <w:pStyle w:val="TableParagraph"/>
              <w:ind w:left="6"/>
              <w:rPr>
                <w:sz w:val="12"/>
              </w:rPr>
            </w:pPr>
            <w:r>
              <w:rPr>
                <w:sz w:val="12"/>
              </w:rPr>
              <w:t>–</w:t>
            </w:r>
          </w:p>
        </w:tc>
        <w:tc>
          <w:tcPr>
            <w:tcW w:w="720" w:type="dxa"/>
          </w:tcPr>
          <w:p>
            <w:pPr>
              <w:pStyle w:val="TableParagraph"/>
              <w:ind w:left="313"/>
              <w:jc w:val="left"/>
              <w:rPr>
                <w:rFonts w:ascii="Segoe UI Symbol" w:hAnsi="Segoe UI Symbol"/>
                <w:sz w:val="12"/>
              </w:rPr>
            </w:pPr>
            <w:r>
              <w:rPr>
                <w:rFonts w:ascii="Segoe UI Symbol" w:hAnsi="Segoe UI Symbol"/>
                <w:spacing w:val="-10"/>
                <w:sz w:val="12"/>
              </w:rPr>
              <w:t>✓</w:t>
            </w:r>
          </w:p>
        </w:tc>
        <w:tc>
          <w:tcPr>
            <w:tcW w:w="720" w:type="dxa"/>
          </w:tcPr>
          <w:p>
            <w:pPr>
              <w:pStyle w:val="TableParagraph"/>
              <w:ind w:left="6"/>
              <w:rPr>
                <w:sz w:val="12"/>
              </w:rPr>
            </w:pPr>
            <w:r>
              <w:rPr>
                <w:sz w:val="12"/>
              </w:rPr>
              <w:t>–</w:t>
            </w:r>
          </w:p>
        </w:tc>
        <w:tc>
          <w:tcPr>
            <w:tcW w:w="720" w:type="dxa"/>
          </w:tcPr>
          <w:p>
            <w:pPr>
              <w:pStyle w:val="TableParagraph"/>
              <w:rPr>
                <w:rFonts w:ascii="Segoe UI Symbol" w:hAnsi="Segoe UI Symbol"/>
                <w:sz w:val="12"/>
              </w:rPr>
            </w:pPr>
            <w:r>
              <w:rPr>
                <w:rFonts w:ascii="Segoe UI Symbol" w:hAnsi="Segoe UI Symbol"/>
                <w:spacing w:val="-10"/>
                <w:sz w:val="12"/>
              </w:rPr>
              <w:t>✓</w:t>
            </w:r>
          </w:p>
        </w:tc>
      </w:tr>
      <w:tr>
        <w:trPr>
          <w:trHeight w:val="134" w:hRule="atLeast"/>
        </w:trPr>
        <w:tc>
          <w:tcPr>
            <w:tcW w:w="720" w:type="dxa"/>
          </w:tcPr>
          <w:p>
            <w:pPr>
              <w:pStyle w:val="TableParagraph"/>
              <w:spacing w:line="114" w:lineRule="exact"/>
              <w:ind w:left="10"/>
              <w:rPr>
                <w:b/>
                <w:sz w:val="12"/>
              </w:rPr>
            </w:pPr>
            <w:r>
              <w:rPr>
                <w:b/>
                <w:sz w:val="12"/>
              </w:rPr>
              <w:t>10</w:t>
            </w:r>
            <w:r>
              <w:rPr>
                <w:b/>
                <w:spacing w:val="1"/>
                <w:sz w:val="12"/>
              </w:rPr>
              <w:t> </w:t>
            </w:r>
            <w:r>
              <w:rPr>
                <w:b/>
                <w:spacing w:val="-4"/>
                <w:sz w:val="12"/>
              </w:rPr>
              <w:t>[12]</w:t>
            </w:r>
          </w:p>
        </w:tc>
        <w:tc>
          <w:tcPr>
            <w:tcW w:w="720" w:type="dxa"/>
          </w:tcPr>
          <w:p>
            <w:pPr>
              <w:pStyle w:val="TableParagraph"/>
              <w:spacing w:line="114" w:lineRule="exact"/>
              <w:ind w:left="8"/>
              <w:rPr>
                <w:rFonts w:ascii="Segoe UI Symbol" w:hAnsi="Segoe UI Symbol"/>
                <w:sz w:val="12"/>
              </w:rPr>
            </w:pPr>
            <w:r>
              <w:rPr>
                <w:rFonts w:ascii="Segoe UI Symbol" w:hAnsi="Segoe UI Symbol"/>
                <w:spacing w:val="-10"/>
                <w:sz w:val="12"/>
              </w:rPr>
              <w:t>✓</w:t>
            </w:r>
          </w:p>
        </w:tc>
        <w:tc>
          <w:tcPr>
            <w:tcW w:w="721" w:type="dxa"/>
          </w:tcPr>
          <w:p>
            <w:pPr>
              <w:pStyle w:val="TableParagraph"/>
              <w:spacing w:line="114" w:lineRule="exact"/>
              <w:ind w:left="6"/>
              <w:rPr>
                <w:sz w:val="12"/>
              </w:rPr>
            </w:pPr>
            <w:r>
              <w:rPr>
                <w:sz w:val="12"/>
              </w:rPr>
              <w:t>–</w:t>
            </w:r>
          </w:p>
        </w:tc>
        <w:tc>
          <w:tcPr>
            <w:tcW w:w="720" w:type="dxa"/>
          </w:tcPr>
          <w:p>
            <w:pPr>
              <w:pStyle w:val="TableParagraph"/>
              <w:spacing w:line="114" w:lineRule="exact"/>
              <w:ind w:left="328"/>
              <w:jc w:val="left"/>
              <w:rPr>
                <w:sz w:val="12"/>
              </w:rPr>
            </w:pPr>
            <w:r>
              <w:rPr>
                <w:sz w:val="12"/>
              </w:rPr>
              <w:t>–</w:t>
            </w:r>
          </w:p>
        </w:tc>
        <w:tc>
          <w:tcPr>
            <w:tcW w:w="720" w:type="dxa"/>
          </w:tcPr>
          <w:p>
            <w:pPr>
              <w:pStyle w:val="TableParagraph"/>
              <w:spacing w:line="114" w:lineRule="exact"/>
              <w:ind w:left="6"/>
              <w:rPr>
                <w:sz w:val="12"/>
              </w:rPr>
            </w:pPr>
            <w:r>
              <w:rPr>
                <w:sz w:val="12"/>
              </w:rPr>
              <w:t>–</w:t>
            </w:r>
          </w:p>
        </w:tc>
        <w:tc>
          <w:tcPr>
            <w:tcW w:w="720" w:type="dxa"/>
          </w:tcPr>
          <w:p>
            <w:pPr>
              <w:pStyle w:val="TableParagraph"/>
              <w:spacing w:line="114" w:lineRule="exact"/>
              <w:rPr>
                <w:rFonts w:ascii="Segoe UI Symbol" w:hAnsi="Segoe UI Symbol"/>
                <w:sz w:val="12"/>
              </w:rPr>
            </w:pPr>
            <w:r>
              <w:rPr>
                <w:rFonts w:ascii="Segoe UI Symbol" w:hAnsi="Segoe UI Symbol"/>
                <w:spacing w:val="-10"/>
                <w:sz w:val="12"/>
              </w:rPr>
              <w:t>✓</w:t>
            </w:r>
          </w:p>
        </w:tc>
      </w:tr>
    </w:tbl>
    <w:p>
      <w:pPr>
        <w:spacing w:before="5"/>
        <w:ind w:left="129" w:right="0" w:firstLine="0"/>
        <w:jc w:val="center"/>
        <w:rPr>
          <w:b/>
          <w:sz w:val="14"/>
        </w:rPr>
      </w:pPr>
      <w:r>
        <w:rPr>
          <w:b/>
          <w:sz w:val="14"/>
        </w:rPr>
        <w:t>Table</w:t>
      </w:r>
      <w:r>
        <w:rPr>
          <w:b/>
          <w:spacing w:val="-3"/>
          <w:sz w:val="14"/>
        </w:rPr>
        <w:t> </w:t>
      </w:r>
      <w:r>
        <w:rPr>
          <w:b/>
          <w:sz w:val="14"/>
        </w:rPr>
        <w:t>I-A.</w:t>
      </w:r>
      <w:r>
        <w:rPr>
          <w:b/>
          <w:spacing w:val="-2"/>
          <w:sz w:val="14"/>
        </w:rPr>
        <w:t> </w:t>
      </w:r>
      <w:r>
        <w:rPr>
          <w:b/>
          <w:sz w:val="14"/>
        </w:rPr>
        <w:t>Core</w:t>
      </w:r>
      <w:r>
        <w:rPr>
          <w:b/>
          <w:spacing w:val="-3"/>
          <w:sz w:val="14"/>
        </w:rPr>
        <w:t> </w:t>
      </w:r>
      <w:r>
        <w:rPr>
          <w:b/>
          <w:sz w:val="14"/>
        </w:rPr>
        <w:t>capability</w:t>
      </w:r>
      <w:r>
        <w:rPr>
          <w:b/>
          <w:spacing w:val="-4"/>
          <w:sz w:val="14"/>
        </w:rPr>
        <w:t> </w:t>
      </w:r>
      <w:r>
        <w:rPr>
          <w:b/>
          <w:sz w:val="14"/>
        </w:rPr>
        <w:t>coding</w:t>
      </w:r>
      <w:r>
        <w:rPr>
          <w:b/>
          <w:spacing w:val="-4"/>
          <w:sz w:val="14"/>
        </w:rPr>
        <w:t> </w:t>
      </w:r>
      <w:r>
        <w:rPr>
          <w:b/>
          <w:sz w:val="14"/>
        </w:rPr>
        <w:t>for</w:t>
      </w:r>
      <w:r>
        <w:rPr>
          <w:b/>
          <w:spacing w:val="-3"/>
          <w:sz w:val="14"/>
        </w:rPr>
        <w:t> </w:t>
      </w:r>
      <w:r>
        <w:rPr>
          <w:b/>
          <w:sz w:val="14"/>
        </w:rPr>
        <w:t>Studies</w:t>
      </w:r>
      <w:r>
        <w:rPr>
          <w:b/>
          <w:spacing w:val="-2"/>
          <w:sz w:val="14"/>
        </w:rPr>
        <w:t> </w:t>
      </w:r>
      <w:r>
        <w:rPr>
          <w:b/>
          <w:sz w:val="14"/>
        </w:rPr>
        <w:t>1–10</w:t>
      </w:r>
      <w:r>
        <w:rPr>
          <w:b/>
          <w:spacing w:val="-4"/>
          <w:sz w:val="14"/>
        </w:rPr>
        <w:t> </w:t>
      </w:r>
      <w:r>
        <w:rPr>
          <w:b/>
          <w:sz w:val="14"/>
        </w:rPr>
        <w:t>(</w:t>
      </w:r>
      <w:r>
        <w:rPr>
          <w:rFonts w:ascii="Segoe UI Symbol" w:hAnsi="Segoe UI Symbol"/>
          <w:sz w:val="14"/>
        </w:rPr>
        <w:t>✓</w:t>
      </w:r>
      <w:r>
        <w:rPr>
          <w:rFonts w:ascii="Segoe UI Symbol" w:hAnsi="Segoe UI Symbol"/>
          <w:spacing w:val="-6"/>
          <w:sz w:val="14"/>
        </w:rPr>
        <w:t> </w:t>
      </w:r>
      <w:r>
        <w:rPr>
          <w:b/>
          <w:sz w:val="14"/>
        </w:rPr>
        <w:t>=</w:t>
      </w:r>
      <w:r>
        <w:rPr>
          <w:b/>
          <w:spacing w:val="-4"/>
          <w:sz w:val="14"/>
        </w:rPr>
        <w:t> </w:t>
      </w:r>
      <w:r>
        <w:rPr>
          <w:b/>
          <w:sz w:val="14"/>
        </w:rPr>
        <w:t>explicit</w:t>
      </w:r>
      <w:r>
        <w:rPr>
          <w:b/>
          <w:spacing w:val="-5"/>
          <w:sz w:val="14"/>
        </w:rPr>
        <w:t> </w:t>
      </w:r>
      <w:r>
        <w:rPr>
          <w:b/>
          <w:sz w:val="14"/>
        </w:rPr>
        <w:t>evidence;</w:t>
      </w:r>
      <w:r>
        <w:rPr>
          <w:b/>
          <w:spacing w:val="-3"/>
          <w:sz w:val="14"/>
        </w:rPr>
        <w:t> </w:t>
      </w:r>
      <w:r>
        <w:rPr>
          <w:b/>
          <w:sz w:val="14"/>
        </w:rPr>
        <w:t>–</w:t>
      </w:r>
      <w:r>
        <w:rPr>
          <w:b/>
          <w:spacing w:val="-3"/>
          <w:sz w:val="14"/>
        </w:rPr>
        <w:t> </w:t>
      </w:r>
      <w:r>
        <w:rPr>
          <w:b/>
          <w:sz w:val="14"/>
        </w:rPr>
        <w:t>=</w:t>
      </w:r>
      <w:r>
        <w:rPr>
          <w:b/>
          <w:spacing w:val="-4"/>
          <w:sz w:val="14"/>
        </w:rPr>
        <w:t> </w:t>
      </w:r>
      <w:r>
        <w:rPr>
          <w:b/>
          <w:sz w:val="14"/>
        </w:rPr>
        <w:t>not</w:t>
      </w:r>
      <w:r>
        <w:rPr>
          <w:b/>
          <w:spacing w:val="40"/>
          <w:sz w:val="14"/>
        </w:rPr>
        <w:t> </w:t>
      </w:r>
      <w:r>
        <w:rPr>
          <w:b/>
          <w:spacing w:val="-2"/>
          <w:sz w:val="14"/>
        </w:rPr>
        <w:t>identified).</w:t>
      </w:r>
    </w:p>
    <w:tbl>
      <w:tblPr>
        <w:tblW w:w="0" w:type="auto"/>
        <w:jc w:val="left"/>
        <w:tblInd w:w="45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720"/>
        <w:gridCol w:w="720"/>
        <w:gridCol w:w="721"/>
        <w:gridCol w:w="720"/>
        <w:gridCol w:w="720"/>
        <w:gridCol w:w="720"/>
      </w:tblGrid>
      <w:tr>
        <w:trPr>
          <w:trHeight w:val="234" w:hRule="atLeast"/>
        </w:trPr>
        <w:tc>
          <w:tcPr>
            <w:tcW w:w="720" w:type="dxa"/>
          </w:tcPr>
          <w:p>
            <w:pPr>
              <w:pStyle w:val="TableParagraph"/>
              <w:spacing w:line="118" w:lineRule="exact"/>
              <w:ind w:left="213" w:right="108" w:hanging="87"/>
              <w:jc w:val="left"/>
              <w:rPr>
                <w:b/>
                <w:sz w:val="12"/>
              </w:rPr>
            </w:pPr>
            <w:r>
              <w:rPr>
                <w:b/>
                <w:sz w:val="12"/>
              </w:rPr>
              <w:t>Study</w:t>
            </w:r>
            <w:r>
              <w:rPr>
                <w:b/>
                <w:spacing w:val="-8"/>
                <w:sz w:val="12"/>
              </w:rPr>
              <w:t> </w:t>
            </w:r>
            <w:r>
              <w:rPr>
                <w:b/>
                <w:sz w:val="12"/>
              </w:rPr>
              <w:t>ID</w:t>
            </w:r>
            <w:r>
              <w:rPr>
                <w:b/>
                <w:spacing w:val="40"/>
                <w:sz w:val="12"/>
              </w:rPr>
              <w:t> </w:t>
            </w:r>
            <w:r>
              <w:rPr>
                <w:b/>
                <w:spacing w:val="-2"/>
                <w:sz w:val="12"/>
              </w:rPr>
              <w:t>[Ref.]</w:t>
            </w:r>
          </w:p>
        </w:tc>
        <w:tc>
          <w:tcPr>
            <w:tcW w:w="720" w:type="dxa"/>
          </w:tcPr>
          <w:p>
            <w:pPr>
              <w:pStyle w:val="TableParagraph"/>
              <w:spacing w:line="122" w:lineRule="exact"/>
              <w:ind w:left="8"/>
              <w:rPr>
                <w:b/>
                <w:sz w:val="12"/>
              </w:rPr>
            </w:pPr>
            <w:r>
              <w:rPr>
                <w:b/>
                <w:spacing w:val="-5"/>
                <w:sz w:val="12"/>
              </w:rPr>
              <w:t>DS</w:t>
            </w:r>
          </w:p>
        </w:tc>
        <w:tc>
          <w:tcPr>
            <w:tcW w:w="721" w:type="dxa"/>
          </w:tcPr>
          <w:p>
            <w:pPr>
              <w:pStyle w:val="TableParagraph"/>
              <w:spacing w:line="122" w:lineRule="exact"/>
              <w:ind w:left="6"/>
              <w:rPr>
                <w:b/>
                <w:sz w:val="12"/>
              </w:rPr>
            </w:pPr>
            <w:r>
              <w:rPr>
                <w:b/>
                <w:spacing w:val="-5"/>
                <w:sz w:val="12"/>
              </w:rPr>
              <w:t>RT</w:t>
            </w:r>
          </w:p>
        </w:tc>
        <w:tc>
          <w:tcPr>
            <w:tcW w:w="720" w:type="dxa"/>
          </w:tcPr>
          <w:p>
            <w:pPr>
              <w:pStyle w:val="TableParagraph"/>
              <w:spacing w:line="122" w:lineRule="exact"/>
              <w:ind w:left="292"/>
              <w:jc w:val="left"/>
              <w:rPr>
                <w:b/>
                <w:sz w:val="12"/>
              </w:rPr>
            </w:pPr>
            <w:r>
              <w:rPr>
                <w:b/>
                <w:spacing w:val="-5"/>
                <w:sz w:val="12"/>
              </w:rPr>
              <w:t>AI</w:t>
            </w:r>
          </w:p>
        </w:tc>
        <w:tc>
          <w:tcPr>
            <w:tcW w:w="720" w:type="dxa"/>
          </w:tcPr>
          <w:p>
            <w:pPr>
              <w:pStyle w:val="TableParagraph"/>
              <w:spacing w:line="122" w:lineRule="exact"/>
              <w:rPr>
                <w:b/>
                <w:sz w:val="12"/>
              </w:rPr>
            </w:pPr>
            <w:r>
              <w:rPr>
                <w:b/>
                <w:spacing w:val="-5"/>
                <w:sz w:val="12"/>
              </w:rPr>
              <w:t>PR</w:t>
            </w:r>
          </w:p>
        </w:tc>
        <w:tc>
          <w:tcPr>
            <w:tcW w:w="720" w:type="dxa"/>
          </w:tcPr>
          <w:p>
            <w:pPr>
              <w:pStyle w:val="TableParagraph"/>
              <w:spacing w:line="122" w:lineRule="exact"/>
              <w:ind w:left="6"/>
              <w:rPr>
                <w:b/>
                <w:sz w:val="12"/>
              </w:rPr>
            </w:pPr>
            <w:r>
              <w:rPr>
                <w:b/>
                <w:spacing w:val="-5"/>
                <w:sz w:val="12"/>
              </w:rPr>
              <w:t>DEC</w:t>
            </w:r>
          </w:p>
        </w:tc>
      </w:tr>
      <w:tr>
        <w:trPr>
          <w:trHeight w:val="135" w:hRule="atLeast"/>
        </w:trPr>
        <w:tc>
          <w:tcPr>
            <w:tcW w:w="720" w:type="dxa"/>
          </w:tcPr>
          <w:p>
            <w:pPr>
              <w:pStyle w:val="TableParagraph"/>
              <w:spacing w:line="115" w:lineRule="exact"/>
              <w:ind w:left="10"/>
              <w:rPr>
                <w:b/>
                <w:sz w:val="12"/>
              </w:rPr>
            </w:pPr>
            <w:r>
              <w:rPr>
                <w:b/>
                <w:sz w:val="12"/>
              </w:rPr>
              <w:t>11</w:t>
            </w:r>
            <w:r>
              <w:rPr>
                <w:b/>
                <w:spacing w:val="1"/>
                <w:sz w:val="12"/>
              </w:rPr>
              <w:t> </w:t>
            </w:r>
            <w:r>
              <w:rPr>
                <w:b/>
                <w:spacing w:val="-4"/>
                <w:sz w:val="12"/>
              </w:rPr>
              <w:t>[17]</w:t>
            </w:r>
          </w:p>
        </w:tc>
        <w:tc>
          <w:tcPr>
            <w:tcW w:w="720" w:type="dxa"/>
          </w:tcPr>
          <w:p>
            <w:pPr>
              <w:pStyle w:val="TableParagraph"/>
              <w:spacing w:line="115" w:lineRule="exact"/>
              <w:ind w:left="8"/>
              <w:rPr>
                <w:rFonts w:ascii="Segoe UI Symbol" w:hAnsi="Segoe UI Symbol"/>
                <w:sz w:val="12"/>
              </w:rPr>
            </w:pPr>
            <w:r>
              <w:rPr>
                <w:rFonts w:ascii="Segoe UI Symbol" w:hAnsi="Segoe UI Symbol"/>
                <w:spacing w:val="-10"/>
                <w:sz w:val="12"/>
              </w:rPr>
              <w:t>✓</w:t>
            </w:r>
          </w:p>
        </w:tc>
        <w:tc>
          <w:tcPr>
            <w:tcW w:w="721" w:type="dxa"/>
          </w:tcPr>
          <w:p>
            <w:pPr>
              <w:pStyle w:val="TableParagraph"/>
              <w:spacing w:line="115" w:lineRule="exact"/>
              <w:rPr>
                <w:rFonts w:ascii="Segoe UI Symbol" w:hAnsi="Segoe UI Symbol"/>
                <w:sz w:val="12"/>
              </w:rPr>
            </w:pPr>
            <w:r>
              <w:rPr>
                <w:rFonts w:ascii="Segoe UI Symbol" w:hAnsi="Segoe UI Symbol"/>
                <w:spacing w:val="-10"/>
                <w:sz w:val="12"/>
              </w:rPr>
              <w:t>✓</w:t>
            </w:r>
          </w:p>
        </w:tc>
        <w:tc>
          <w:tcPr>
            <w:tcW w:w="720" w:type="dxa"/>
          </w:tcPr>
          <w:p>
            <w:pPr>
              <w:pStyle w:val="TableParagraph"/>
              <w:spacing w:line="115" w:lineRule="exact"/>
              <w:ind w:left="313"/>
              <w:jc w:val="left"/>
              <w:rPr>
                <w:rFonts w:ascii="Segoe UI Symbol" w:hAnsi="Segoe UI Symbol"/>
                <w:sz w:val="12"/>
              </w:rPr>
            </w:pPr>
            <w:r>
              <w:rPr>
                <w:rFonts w:ascii="Segoe UI Symbol" w:hAnsi="Segoe UI Symbol"/>
                <w:spacing w:val="-10"/>
                <w:sz w:val="12"/>
              </w:rPr>
              <w:t>✓</w:t>
            </w:r>
          </w:p>
        </w:tc>
        <w:tc>
          <w:tcPr>
            <w:tcW w:w="720" w:type="dxa"/>
          </w:tcPr>
          <w:p>
            <w:pPr>
              <w:pStyle w:val="TableParagraph"/>
              <w:spacing w:line="115" w:lineRule="exact"/>
              <w:rPr>
                <w:rFonts w:ascii="Segoe UI Symbol" w:hAnsi="Segoe UI Symbol"/>
                <w:sz w:val="12"/>
              </w:rPr>
            </w:pPr>
            <w:r>
              <w:rPr>
                <w:rFonts w:ascii="Segoe UI Symbol" w:hAnsi="Segoe UI Symbol"/>
                <w:spacing w:val="-10"/>
                <w:sz w:val="12"/>
              </w:rPr>
              <w:t>✓</w:t>
            </w:r>
          </w:p>
        </w:tc>
        <w:tc>
          <w:tcPr>
            <w:tcW w:w="720" w:type="dxa"/>
          </w:tcPr>
          <w:p>
            <w:pPr>
              <w:pStyle w:val="TableParagraph"/>
              <w:spacing w:line="115" w:lineRule="exact"/>
              <w:rPr>
                <w:rFonts w:ascii="Segoe UI Symbol" w:hAnsi="Segoe UI Symbol"/>
                <w:sz w:val="12"/>
              </w:rPr>
            </w:pPr>
            <w:r>
              <w:rPr>
                <w:rFonts w:ascii="Segoe UI Symbol" w:hAnsi="Segoe UI Symbol"/>
                <w:spacing w:val="-10"/>
                <w:sz w:val="12"/>
              </w:rPr>
              <w:t>✓</w:t>
            </w:r>
          </w:p>
        </w:tc>
      </w:tr>
      <w:tr>
        <w:trPr>
          <w:trHeight w:val="133" w:hRule="atLeast"/>
        </w:trPr>
        <w:tc>
          <w:tcPr>
            <w:tcW w:w="720" w:type="dxa"/>
          </w:tcPr>
          <w:p>
            <w:pPr>
              <w:pStyle w:val="TableParagraph"/>
              <w:spacing w:line="114" w:lineRule="exact"/>
              <w:ind w:left="10"/>
              <w:rPr>
                <w:b/>
                <w:sz w:val="12"/>
              </w:rPr>
            </w:pPr>
            <w:r>
              <w:rPr>
                <w:b/>
                <w:sz w:val="12"/>
              </w:rPr>
              <w:t>12</w:t>
            </w:r>
            <w:r>
              <w:rPr>
                <w:b/>
                <w:spacing w:val="1"/>
                <w:sz w:val="12"/>
              </w:rPr>
              <w:t> </w:t>
            </w:r>
            <w:r>
              <w:rPr>
                <w:b/>
                <w:spacing w:val="-4"/>
                <w:sz w:val="12"/>
              </w:rPr>
              <w:t>[16]</w:t>
            </w:r>
          </w:p>
        </w:tc>
        <w:tc>
          <w:tcPr>
            <w:tcW w:w="720" w:type="dxa"/>
          </w:tcPr>
          <w:p>
            <w:pPr>
              <w:pStyle w:val="TableParagraph"/>
              <w:spacing w:line="114" w:lineRule="exact"/>
              <w:ind w:left="8"/>
              <w:rPr>
                <w:rFonts w:ascii="Segoe UI Symbol" w:hAnsi="Segoe UI Symbol"/>
                <w:sz w:val="12"/>
              </w:rPr>
            </w:pPr>
            <w:r>
              <w:rPr>
                <w:rFonts w:ascii="Segoe UI Symbol" w:hAnsi="Segoe UI Symbol"/>
                <w:spacing w:val="-10"/>
                <w:sz w:val="12"/>
              </w:rPr>
              <w:t>✓</w:t>
            </w:r>
          </w:p>
        </w:tc>
        <w:tc>
          <w:tcPr>
            <w:tcW w:w="721" w:type="dxa"/>
          </w:tcPr>
          <w:p>
            <w:pPr>
              <w:pStyle w:val="TableParagraph"/>
              <w:spacing w:line="114" w:lineRule="exact"/>
              <w:ind w:left="6"/>
              <w:rPr>
                <w:sz w:val="12"/>
              </w:rPr>
            </w:pPr>
            <w:r>
              <w:rPr>
                <w:sz w:val="12"/>
              </w:rPr>
              <w:t>–</w:t>
            </w:r>
          </w:p>
        </w:tc>
        <w:tc>
          <w:tcPr>
            <w:tcW w:w="720" w:type="dxa"/>
          </w:tcPr>
          <w:p>
            <w:pPr>
              <w:pStyle w:val="TableParagraph"/>
              <w:spacing w:line="114" w:lineRule="exact"/>
              <w:ind w:left="328"/>
              <w:jc w:val="left"/>
              <w:rPr>
                <w:sz w:val="12"/>
              </w:rPr>
            </w:pPr>
            <w:r>
              <w:rPr>
                <w:sz w:val="12"/>
              </w:rPr>
              <w:t>–</w:t>
            </w:r>
          </w:p>
        </w:tc>
        <w:tc>
          <w:tcPr>
            <w:tcW w:w="720" w:type="dxa"/>
          </w:tcPr>
          <w:p>
            <w:pPr>
              <w:pStyle w:val="TableParagraph"/>
              <w:spacing w:line="114" w:lineRule="exact"/>
              <w:ind w:left="6"/>
              <w:rPr>
                <w:sz w:val="12"/>
              </w:rPr>
            </w:pPr>
            <w:r>
              <w:rPr>
                <w:sz w:val="12"/>
              </w:rPr>
              <w:t>–</w:t>
            </w:r>
          </w:p>
        </w:tc>
        <w:tc>
          <w:tcPr>
            <w:tcW w:w="720" w:type="dxa"/>
          </w:tcPr>
          <w:p>
            <w:pPr>
              <w:pStyle w:val="TableParagraph"/>
              <w:spacing w:line="114" w:lineRule="exact"/>
              <w:ind w:left="6"/>
              <w:rPr>
                <w:sz w:val="12"/>
              </w:rPr>
            </w:pPr>
            <w:r>
              <w:rPr>
                <w:sz w:val="12"/>
              </w:rPr>
              <w:t>–</w:t>
            </w:r>
          </w:p>
        </w:tc>
      </w:tr>
      <w:tr>
        <w:trPr>
          <w:trHeight w:val="136" w:hRule="atLeast"/>
        </w:trPr>
        <w:tc>
          <w:tcPr>
            <w:tcW w:w="720" w:type="dxa"/>
          </w:tcPr>
          <w:p>
            <w:pPr>
              <w:pStyle w:val="TableParagraph"/>
              <w:ind w:left="10"/>
              <w:rPr>
                <w:b/>
                <w:sz w:val="12"/>
              </w:rPr>
            </w:pPr>
            <w:r>
              <w:rPr>
                <w:b/>
                <w:sz w:val="12"/>
              </w:rPr>
              <w:t>13</w:t>
            </w:r>
            <w:r>
              <w:rPr>
                <w:b/>
                <w:spacing w:val="1"/>
                <w:sz w:val="12"/>
              </w:rPr>
              <w:t> </w:t>
            </w:r>
            <w:r>
              <w:rPr>
                <w:b/>
                <w:spacing w:val="-4"/>
                <w:sz w:val="12"/>
              </w:rPr>
              <w:t>[21]</w:t>
            </w:r>
          </w:p>
        </w:tc>
        <w:tc>
          <w:tcPr>
            <w:tcW w:w="720" w:type="dxa"/>
          </w:tcPr>
          <w:p>
            <w:pPr>
              <w:pStyle w:val="TableParagraph"/>
              <w:ind w:left="8"/>
              <w:rPr>
                <w:rFonts w:ascii="Segoe UI Symbol" w:hAnsi="Segoe UI Symbol"/>
                <w:sz w:val="12"/>
              </w:rPr>
            </w:pPr>
            <w:r>
              <w:rPr>
                <w:rFonts w:ascii="Segoe UI Symbol" w:hAnsi="Segoe UI Symbol"/>
                <w:spacing w:val="-10"/>
                <w:sz w:val="12"/>
              </w:rPr>
              <w:t>✓</w:t>
            </w:r>
          </w:p>
        </w:tc>
        <w:tc>
          <w:tcPr>
            <w:tcW w:w="721" w:type="dxa"/>
          </w:tcPr>
          <w:p>
            <w:pPr>
              <w:pStyle w:val="TableParagraph"/>
              <w:rPr>
                <w:rFonts w:ascii="Segoe UI Symbol" w:hAnsi="Segoe UI Symbol"/>
                <w:sz w:val="12"/>
              </w:rPr>
            </w:pPr>
            <w:r>
              <w:rPr>
                <w:rFonts w:ascii="Segoe UI Symbol" w:hAnsi="Segoe UI Symbol"/>
                <w:spacing w:val="-10"/>
                <w:sz w:val="12"/>
              </w:rPr>
              <w:t>✓</w:t>
            </w:r>
          </w:p>
        </w:tc>
        <w:tc>
          <w:tcPr>
            <w:tcW w:w="720" w:type="dxa"/>
          </w:tcPr>
          <w:p>
            <w:pPr>
              <w:pStyle w:val="TableParagraph"/>
              <w:ind w:left="313"/>
              <w:jc w:val="left"/>
              <w:rPr>
                <w:rFonts w:ascii="Segoe UI Symbol" w:hAnsi="Segoe UI Symbol"/>
                <w:sz w:val="12"/>
              </w:rPr>
            </w:pPr>
            <w:r>
              <w:rPr>
                <w:rFonts w:ascii="Segoe UI Symbol" w:hAnsi="Segoe UI Symbol"/>
                <w:spacing w:val="-10"/>
                <w:sz w:val="12"/>
              </w:rPr>
              <w:t>✓</w:t>
            </w:r>
          </w:p>
        </w:tc>
        <w:tc>
          <w:tcPr>
            <w:tcW w:w="720" w:type="dxa"/>
          </w:tcPr>
          <w:p>
            <w:pPr>
              <w:pStyle w:val="TableParagraph"/>
              <w:rPr>
                <w:rFonts w:ascii="Segoe UI Symbol" w:hAnsi="Segoe UI Symbol"/>
                <w:sz w:val="12"/>
              </w:rPr>
            </w:pPr>
            <w:r>
              <w:rPr>
                <w:rFonts w:ascii="Segoe UI Symbol" w:hAnsi="Segoe UI Symbol"/>
                <w:spacing w:val="-10"/>
                <w:sz w:val="12"/>
              </w:rPr>
              <w:t>✓</w:t>
            </w:r>
          </w:p>
        </w:tc>
        <w:tc>
          <w:tcPr>
            <w:tcW w:w="720" w:type="dxa"/>
          </w:tcPr>
          <w:p>
            <w:pPr>
              <w:pStyle w:val="TableParagraph"/>
              <w:rPr>
                <w:rFonts w:ascii="Segoe UI Symbol" w:hAnsi="Segoe UI Symbol"/>
                <w:sz w:val="12"/>
              </w:rPr>
            </w:pPr>
            <w:r>
              <w:rPr>
                <w:rFonts w:ascii="Segoe UI Symbol" w:hAnsi="Segoe UI Symbol"/>
                <w:spacing w:val="-10"/>
                <w:sz w:val="12"/>
              </w:rPr>
              <w:t>✓</w:t>
            </w:r>
          </w:p>
        </w:tc>
      </w:tr>
      <w:tr>
        <w:trPr>
          <w:trHeight w:val="136" w:hRule="atLeast"/>
        </w:trPr>
        <w:tc>
          <w:tcPr>
            <w:tcW w:w="720" w:type="dxa"/>
          </w:tcPr>
          <w:p>
            <w:pPr>
              <w:pStyle w:val="TableParagraph"/>
              <w:ind w:left="10"/>
              <w:rPr>
                <w:b/>
                <w:sz w:val="12"/>
              </w:rPr>
            </w:pPr>
            <w:r>
              <w:rPr>
                <w:b/>
                <w:sz w:val="12"/>
              </w:rPr>
              <w:t>14</w:t>
            </w:r>
            <w:r>
              <w:rPr>
                <w:b/>
                <w:spacing w:val="1"/>
                <w:sz w:val="12"/>
              </w:rPr>
              <w:t> </w:t>
            </w:r>
            <w:r>
              <w:rPr>
                <w:b/>
                <w:spacing w:val="-4"/>
                <w:sz w:val="12"/>
              </w:rPr>
              <w:t>[13]</w:t>
            </w:r>
          </w:p>
        </w:tc>
        <w:tc>
          <w:tcPr>
            <w:tcW w:w="720" w:type="dxa"/>
          </w:tcPr>
          <w:p>
            <w:pPr>
              <w:pStyle w:val="TableParagraph"/>
              <w:ind w:left="8"/>
              <w:rPr>
                <w:rFonts w:ascii="Segoe UI Symbol" w:hAnsi="Segoe UI Symbol"/>
                <w:sz w:val="12"/>
              </w:rPr>
            </w:pPr>
            <w:r>
              <w:rPr>
                <w:rFonts w:ascii="Segoe UI Symbol" w:hAnsi="Segoe UI Symbol"/>
                <w:spacing w:val="-10"/>
                <w:sz w:val="12"/>
              </w:rPr>
              <w:t>✓</w:t>
            </w:r>
          </w:p>
        </w:tc>
        <w:tc>
          <w:tcPr>
            <w:tcW w:w="721" w:type="dxa"/>
          </w:tcPr>
          <w:p>
            <w:pPr>
              <w:pStyle w:val="TableParagraph"/>
              <w:rPr>
                <w:rFonts w:ascii="Segoe UI Symbol" w:hAnsi="Segoe UI Symbol"/>
                <w:sz w:val="12"/>
              </w:rPr>
            </w:pPr>
            <w:r>
              <w:rPr>
                <w:rFonts w:ascii="Segoe UI Symbol" w:hAnsi="Segoe UI Symbol"/>
                <w:spacing w:val="-10"/>
                <w:sz w:val="12"/>
              </w:rPr>
              <w:t>✓</w:t>
            </w:r>
          </w:p>
        </w:tc>
        <w:tc>
          <w:tcPr>
            <w:tcW w:w="720" w:type="dxa"/>
          </w:tcPr>
          <w:p>
            <w:pPr>
              <w:pStyle w:val="TableParagraph"/>
              <w:ind w:left="313"/>
              <w:jc w:val="left"/>
              <w:rPr>
                <w:rFonts w:ascii="Segoe UI Symbol" w:hAnsi="Segoe UI Symbol"/>
                <w:sz w:val="12"/>
              </w:rPr>
            </w:pPr>
            <w:r>
              <w:rPr>
                <w:rFonts w:ascii="Segoe UI Symbol" w:hAnsi="Segoe UI Symbol"/>
                <w:spacing w:val="-10"/>
                <w:sz w:val="12"/>
              </w:rPr>
              <w:t>✓</w:t>
            </w:r>
          </w:p>
        </w:tc>
        <w:tc>
          <w:tcPr>
            <w:tcW w:w="720" w:type="dxa"/>
          </w:tcPr>
          <w:p>
            <w:pPr>
              <w:pStyle w:val="TableParagraph"/>
              <w:rPr>
                <w:rFonts w:ascii="Segoe UI Symbol" w:hAnsi="Segoe UI Symbol"/>
                <w:sz w:val="12"/>
              </w:rPr>
            </w:pPr>
            <w:r>
              <w:rPr>
                <w:rFonts w:ascii="Segoe UI Symbol" w:hAnsi="Segoe UI Symbol"/>
                <w:spacing w:val="-10"/>
                <w:sz w:val="12"/>
              </w:rPr>
              <w:t>✓</w:t>
            </w:r>
          </w:p>
        </w:tc>
        <w:tc>
          <w:tcPr>
            <w:tcW w:w="720" w:type="dxa"/>
          </w:tcPr>
          <w:p>
            <w:pPr>
              <w:pStyle w:val="TableParagraph"/>
              <w:rPr>
                <w:rFonts w:ascii="Segoe UI Symbol" w:hAnsi="Segoe UI Symbol"/>
                <w:sz w:val="12"/>
              </w:rPr>
            </w:pPr>
            <w:r>
              <w:rPr>
                <w:rFonts w:ascii="Segoe UI Symbol" w:hAnsi="Segoe UI Symbol"/>
                <w:spacing w:val="-10"/>
                <w:sz w:val="12"/>
              </w:rPr>
              <w:t>✓</w:t>
            </w:r>
          </w:p>
        </w:tc>
      </w:tr>
      <w:tr>
        <w:trPr>
          <w:trHeight w:val="134" w:hRule="atLeast"/>
        </w:trPr>
        <w:tc>
          <w:tcPr>
            <w:tcW w:w="720" w:type="dxa"/>
          </w:tcPr>
          <w:p>
            <w:pPr>
              <w:pStyle w:val="TableParagraph"/>
              <w:spacing w:line="114" w:lineRule="exact"/>
              <w:ind w:left="10"/>
              <w:rPr>
                <w:b/>
                <w:sz w:val="12"/>
              </w:rPr>
            </w:pPr>
            <w:r>
              <w:rPr>
                <w:b/>
                <w:sz w:val="12"/>
              </w:rPr>
              <w:t>15</w:t>
            </w:r>
            <w:r>
              <w:rPr>
                <w:b/>
                <w:spacing w:val="1"/>
                <w:sz w:val="12"/>
              </w:rPr>
              <w:t> </w:t>
            </w:r>
            <w:r>
              <w:rPr>
                <w:b/>
                <w:spacing w:val="-4"/>
                <w:sz w:val="12"/>
              </w:rPr>
              <w:t>[22]</w:t>
            </w:r>
          </w:p>
        </w:tc>
        <w:tc>
          <w:tcPr>
            <w:tcW w:w="720" w:type="dxa"/>
          </w:tcPr>
          <w:p>
            <w:pPr>
              <w:pStyle w:val="TableParagraph"/>
              <w:spacing w:line="114" w:lineRule="exact"/>
              <w:ind w:left="8"/>
              <w:rPr>
                <w:rFonts w:ascii="Segoe UI Symbol" w:hAnsi="Segoe UI Symbol"/>
                <w:sz w:val="12"/>
              </w:rPr>
            </w:pPr>
            <w:r>
              <w:rPr>
                <w:rFonts w:ascii="Segoe UI Symbol" w:hAnsi="Segoe UI Symbol"/>
                <w:spacing w:val="-10"/>
                <w:sz w:val="12"/>
              </w:rPr>
              <w:t>✓</w:t>
            </w:r>
          </w:p>
        </w:tc>
        <w:tc>
          <w:tcPr>
            <w:tcW w:w="721" w:type="dxa"/>
          </w:tcPr>
          <w:p>
            <w:pPr>
              <w:pStyle w:val="TableParagraph"/>
              <w:spacing w:line="114" w:lineRule="exact"/>
              <w:ind w:left="6"/>
              <w:rPr>
                <w:sz w:val="12"/>
              </w:rPr>
            </w:pPr>
            <w:r>
              <w:rPr>
                <w:sz w:val="12"/>
              </w:rPr>
              <w:t>–</w:t>
            </w:r>
          </w:p>
        </w:tc>
        <w:tc>
          <w:tcPr>
            <w:tcW w:w="720" w:type="dxa"/>
          </w:tcPr>
          <w:p>
            <w:pPr>
              <w:pStyle w:val="TableParagraph"/>
              <w:spacing w:line="114" w:lineRule="exact"/>
              <w:ind w:left="328"/>
              <w:jc w:val="left"/>
              <w:rPr>
                <w:sz w:val="12"/>
              </w:rPr>
            </w:pPr>
            <w:r>
              <w:rPr>
                <w:sz w:val="12"/>
              </w:rPr>
              <w:t>–</w:t>
            </w:r>
          </w:p>
        </w:tc>
        <w:tc>
          <w:tcPr>
            <w:tcW w:w="720" w:type="dxa"/>
          </w:tcPr>
          <w:p>
            <w:pPr>
              <w:pStyle w:val="TableParagraph"/>
              <w:spacing w:line="114" w:lineRule="exact"/>
              <w:ind w:left="6"/>
              <w:rPr>
                <w:sz w:val="12"/>
              </w:rPr>
            </w:pPr>
            <w:r>
              <w:rPr>
                <w:sz w:val="12"/>
              </w:rPr>
              <w:t>–</w:t>
            </w:r>
          </w:p>
        </w:tc>
        <w:tc>
          <w:tcPr>
            <w:tcW w:w="720" w:type="dxa"/>
          </w:tcPr>
          <w:p>
            <w:pPr>
              <w:pStyle w:val="TableParagraph"/>
              <w:spacing w:line="114" w:lineRule="exact"/>
              <w:rPr>
                <w:rFonts w:ascii="Segoe UI Symbol" w:hAnsi="Segoe UI Symbol"/>
                <w:sz w:val="12"/>
              </w:rPr>
            </w:pPr>
            <w:r>
              <w:rPr>
                <w:rFonts w:ascii="Segoe UI Symbol" w:hAnsi="Segoe UI Symbol"/>
                <w:spacing w:val="-10"/>
                <w:sz w:val="12"/>
              </w:rPr>
              <w:t>✓</w:t>
            </w:r>
          </w:p>
        </w:tc>
      </w:tr>
      <w:tr>
        <w:trPr>
          <w:trHeight w:val="136" w:hRule="atLeast"/>
        </w:trPr>
        <w:tc>
          <w:tcPr>
            <w:tcW w:w="720" w:type="dxa"/>
          </w:tcPr>
          <w:p>
            <w:pPr>
              <w:pStyle w:val="TableParagraph"/>
              <w:ind w:left="10"/>
              <w:rPr>
                <w:b/>
                <w:sz w:val="12"/>
              </w:rPr>
            </w:pPr>
            <w:r>
              <w:rPr>
                <w:b/>
                <w:sz w:val="12"/>
              </w:rPr>
              <w:t>16</w:t>
            </w:r>
            <w:r>
              <w:rPr>
                <w:b/>
                <w:spacing w:val="1"/>
                <w:sz w:val="12"/>
              </w:rPr>
              <w:t> </w:t>
            </w:r>
            <w:r>
              <w:rPr>
                <w:b/>
                <w:spacing w:val="-4"/>
                <w:sz w:val="12"/>
              </w:rPr>
              <w:t>[14]</w:t>
            </w:r>
          </w:p>
        </w:tc>
        <w:tc>
          <w:tcPr>
            <w:tcW w:w="720" w:type="dxa"/>
          </w:tcPr>
          <w:p>
            <w:pPr>
              <w:pStyle w:val="TableParagraph"/>
              <w:ind w:left="8"/>
              <w:rPr>
                <w:rFonts w:ascii="Segoe UI Symbol" w:hAnsi="Segoe UI Symbol"/>
                <w:sz w:val="12"/>
              </w:rPr>
            </w:pPr>
            <w:r>
              <w:rPr>
                <w:rFonts w:ascii="Segoe UI Symbol" w:hAnsi="Segoe UI Symbol"/>
                <w:spacing w:val="-10"/>
                <w:sz w:val="12"/>
              </w:rPr>
              <w:t>✓</w:t>
            </w:r>
          </w:p>
        </w:tc>
        <w:tc>
          <w:tcPr>
            <w:tcW w:w="721" w:type="dxa"/>
          </w:tcPr>
          <w:p>
            <w:pPr>
              <w:pStyle w:val="TableParagraph"/>
              <w:rPr>
                <w:rFonts w:ascii="Segoe UI Symbol" w:hAnsi="Segoe UI Symbol"/>
                <w:sz w:val="12"/>
              </w:rPr>
            </w:pPr>
            <w:r>
              <w:rPr>
                <w:rFonts w:ascii="Segoe UI Symbol" w:hAnsi="Segoe UI Symbol"/>
                <w:spacing w:val="-10"/>
                <w:sz w:val="12"/>
              </w:rPr>
              <w:t>✓</w:t>
            </w:r>
          </w:p>
        </w:tc>
        <w:tc>
          <w:tcPr>
            <w:tcW w:w="720" w:type="dxa"/>
          </w:tcPr>
          <w:p>
            <w:pPr>
              <w:pStyle w:val="TableParagraph"/>
              <w:ind w:left="313"/>
              <w:jc w:val="left"/>
              <w:rPr>
                <w:rFonts w:ascii="Segoe UI Symbol" w:hAnsi="Segoe UI Symbol"/>
                <w:sz w:val="12"/>
              </w:rPr>
            </w:pPr>
            <w:r>
              <w:rPr>
                <w:rFonts w:ascii="Segoe UI Symbol" w:hAnsi="Segoe UI Symbol"/>
                <w:spacing w:val="-10"/>
                <w:sz w:val="12"/>
              </w:rPr>
              <w:t>✓</w:t>
            </w:r>
          </w:p>
        </w:tc>
        <w:tc>
          <w:tcPr>
            <w:tcW w:w="720" w:type="dxa"/>
          </w:tcPr>
          <w:p>
            <w:pPr>
              <w:pStyle w:val="TableParagraph"/>
              <w:rPr>
                <w:rFonts w:ascii="Segoe UI Symbol" w:hAnsi="Segoe UI Symbol"/>
                <w:sz w:val="12"/>
              </w:rPr>
            </w:pPr>
            <w:r>
              <w:rPr>
                <w:rFonts w:ascii="Segoe UI Symbol" w:hAnsi="Segoe UI Symbol"/>
                <w:spacing w:val="-10"/>
                <w:sz w:val="12"/>
              </w:rPr>
              <w:t>✓</w:t>
            </w:r>
          </w:p>
        </w:tc>
        <w:tc>
          <w:tcPr>
            <w:tcW w:w="720" w:type="dxa"/>
          </w:tcPr>
          <w:p>
            <w:pPr>
              <w:pStyle w:val="TableParagraph"/>
              <w:rPr>
                <w:rFonts w:ascii="Segoe UI Symbol" w:hAnsi="Segoe UI Symbol"/>
                <w:sz w:val="12"/>
              </w:rPr>
            </w:pPr>
            <w:r>
              <w:rPr>
                <w:rFonts w:ascii="Segoe UI Symbol" w:hAnsi="Segoe UI Symbol"/>
                <w:spacing w:val="-10"/>
                <w:sz w:val="12"/>
              </w:rPr>
              <w:t>✓</w:t>
            </w:r>
          </w:p>
        </w:tc>
      </w:tr>
      <w:tr>
        <w:trPr>
          <w:trHeight w:val="136" w:hRule="atLeast"/>
        </w:trPr>
        <w:tc>
          <w:tcPr>
            <w:tcW w:w="720" w:type="dxa"/>
          </w:tcPr>
          <w:p>
            <w:pPr>
              <w:pStyle w:val="TableParagraph"/>
              <w:ind w:left="8"/>
              <w:rPr>
                <w:b/>
                <w:sz w:val="12"/>
              </w:rPr>
            </w:pPr>
            <w:r>
              <w:rPr>
                <w:b/>
                <w:sz w:val="12"/>
              </w:rPr>
              <w:t>17</w:t>
            </w:r>
            <w:r>
              <w:rPr>
                <w:b/>
                <w:spacing w:val="1"/>
                <w:sz w:val="12"/>
              </w:rPr>
              <w:t> </w:t>
            </w:r>
            <w:r>
              <w:rPr>
                <w:b/>
                <w:spacing w:val="-5"/>
                <w:sz w:val="12"/>
              </w:rPr>
              <w:t>[4]</w:t>
            </w:r>
          </w:p>
        </w:tc>
        <w:tc>
          <w:tcPr>
            <w:tcW w:w="720" w:type="dxa"/>
          </w:tcPr>
          <w:p>
            <w:pPr>
              <w:pStyle w:val="TableParagraph"/>
              <w:ind w:left="8"/>
              <w:rPr>
                <w:rFonts w:ascii="Segoe UI Symbol" w:hAnsi="Segoe UI Symbol"/>
                <w:sz w:val="12"/>
              </w:rPr>
            </w:pPr>
            <w:r>
              <w:rPr>
                <w:rFonts w:ascii="Segoe UI Symbol" w:hAnsi="Segoe UI Symbol"/>
                <w:spacing w:val="-10"/>
                <w:sz w:val="12"/>
              </w:rPr>
              <w:t>✓</w:t>
            </w:r>
          </w:p>
        </w:tc>
        <w:tc>
          <w:tcPr>
            <w:tcW w:w="721" w:type="dxa"/>
          </w:tcPr>
          <w:p>
            <w:pPr>
              <w:pStyle w:val="TableParagraph"/>
              <w:rPr>
                <w:rFonts w:ascii="Segoe UI Symbol" w:hAnsi="Segoe UI Symbol"/>
                <w:sz w:val="12"/>
              </w:rPr>
            </w:pPr>
            <w:r>
              <w:rPr>
                <w:rFonts w:ascii="Segoe UI Symbol" w:hAnsi="Segoe UI Symbol"/>
                <w:spacing w:val="-10"/>
                <w:sz w:val="12"/>
              </w:rPr>
              <w:t>✓</w:t>
            </w:r>
          </w:p>
        </w:tc>
        <w:tc>
          <w:tcPr>
            <w:tcW w:w="720" w:type="dxa"/>
          </w:tcPr>
          <w:p>
            <w:pPr>
              <w:pStyle w:val="TableParagraph"/>
              <w:ind w:left="313"/>
              <w:jc w:val="left"/>
              <w:rPr>
                <w:rFonts w:ascii="Segoe UI Symbol" w:hAnsi="Segoe UI Symbol"/>
                <w:sz w:val="12"/>
              </w:rPr>
            </w:pPr>
            <w:r>
              <w:rPr>
                <w:rFonts w:ascii="Segoe UI Symbol" w:hAnsi="Segoe UI Symbol"/>
                <w:spacing w:val="-10"/>
                <w:sz w:val="12"/>
              </w:rPr>
              <w:t>✓</w:t>
            </w:r>
          </w:p>
        </w:tc>
        <w:tc>
          <w:tcPr>
            <w:tcW w:w="720" w:type="dxa"/>
          </w:tcPr>
          <w:p>
            <w:pPr>
              <w:pStyle w:val="TableParagraph"/>
              <w:rPr>
                <w:rFonts w:ascii="Segoe UI Symbol" w:hAnsi="Segoe UI Symbol"/>
                <w:sz w:val="12"/>
              </w:rPr>
            </w:pPr>
            <w:r>
              <w:rPr>
                <w:rFonts w:ascii="Segoe UI Symbol" w:hAnsi="Segoe UI Symbol"/>
                <w:spacing w:val="-10"/>
                <w:sz w:val="12"/>
              </w:rPr>
              <w:t>✓</w:t>
            </w:r>
          </w:p>
        </w:tc>
        <w:tc>
          <w:tcPr>
            <w:tcW w:w="720" w:type="dxa"/>
          </w:tcPr>
          <w:p>
            <w:pPr>
              <w:pStyle w:val="TableParagraph"/>
              <w:rPr>
                <w:rFonts w:ascii="Segoe UI Symbol" w:hAnsi="Segoe UI Symbol"/>
                <w:sz w:val="12"/>
              </w:rPr>
            </w:pPr>
            <w:r>
              <w:rPr>
                <w:rFonts w:ascii="Segoe UI Symbol" w:hAnsi="Segoe UI Symbol"/>
                <w:spacing w:val="-10"/>
                <w:sz w:val="12"/>
              </w:rPr>
              <w:t>✓</w:t>
            </w:r>
          </w:p>
        </w:tc>
      </w:tr>
      <w:tr>
        <w:trPr>
          <w:trHeight w:val="136" w:hRule="atLeast"/>
        </w:trPr>
        <w:tc>
          <w:tcPr>
            <w:tcW w:w="720" w:type="dxa"/>
          </w:tcPr>
          <w:p>
            <w:pPr>
              <w:pStyle w:val="TableParagraph"/>
              <w:ind w:left="10"/>
              <w:rPr>
                <w:b/>
                <w:sz w:val="12"/>
              </w:rPr>
            </w:pPr>
            <w:r>
              <w:rPr>
                <w:b/>
                <w:sz w:val="12"/>
              </w:rPr>
              <w:t>18</w:t>
            </w:r>
            <w:r>
              <w:rPr>
                <w:b/>
                <w:spacing w:val="1"/>
                <w:sz w:val="12"/>
              </w:rPr>
              <w:t> </w:t>
            </w:r>
            <w:r>
              <w:rPr>
                <w:b/>
                <w:spacing w:val="-4"/>
                <w:sz w:val="12"/>
              </w:rPr>
              <w:t>[23]</w:t>
            </w:r>
          </w:p>
        </w:tc>
        <w:tc>
          <w:tcPr>
            <w:tcW w:w="720" w:type="dxa"/>
          </w:tcPr>
          <w:p>
            <w:pPr>
              <w:pStyle w:val="TableParagraph"/>
              <w:ind w:left="8"/>
              <w:rPr>
                <w:rFonts w:ascii="Segoe UI Symbol" w:hAnsi="Segoe UI Symbol"/>
                <w:sz w:val="12"/>
              </w:rPr>
            </w:pPr>
            <w:r>
              <w:rPr>
                <w:rFonts w:ascii="Segoe UI Symbol" w:hAnsi="Segoe UI Symbol"/>
                <w:spacing w:val="-10"/>
                <w:sz w:val="12"/>
              </w:rPr>
              <w:t>✓</w:t>
            </w:r>
          </w:p>
        </w:tc>
        <w:tc>
          <w:tcPr>
            <w:tcW w:w="721" w:type="dxa"/>
          </w:tcPr>
          <w:p>
            <w:pPr>
              <w:pStyle w:val="TableParagraph"/>
              <w:rPr>
                <w:rFonts w:ascii="Segoe UI Symbol" w:hAnsi="Segoe UI Symbol"/>
                <w:sz w:val="12"/>
              </w:rPr>
            </w:pPr>
            <w:r>
              <w:rPr>
                <w:rFonts w:ascii="Segoe UI Symbol" w:hAnsi="Segoe UI Symbol"/>
                <w:spacing w:val="-10"/>
                <w:sz w:val="12"/>
              </w:rPr>
              <w:t>✓</w:t>
            </w:r>
          </w:p>
        </w:tc>
        <w:tc>
          <w:tcPr>
            <w:tcW w:w="720" w:type="dxa"/>
          </w:tcPr>
          <w:p>
            <w:pPr>
              <w:pStyle w:val="TableParagraph"/>
              <w:ind w:left="328"/>
              <w:jc w:val="left"/>
              <w:rPr>
                <w:sz w:val="12"/>
              </w:rPr>
            </w:pPr>
            <w:r>
              <w:rPr>
                <w:sz w:val="12"/>
              </w:rPr>
              <w:t>–</w:t>
            </w:r>
          </w:p>
        </w:tc>
        <w:tc>
          <w:tcPr>
            <w:tcW w:w="720" w:type="dxa"/>
          </w:tcPr>
          <w:p>
            <w:pPr>
              <w:pStyle w:val="TableParagraph"/>
              <w:rPr>
                <w:rFonts w:ascii="Segoe UI Symbol" w:hAnsi="Segoe UI Symbol"/>
                <w:sz w:val="12"/>
              </w:rPr>
            </w:pPr>
            <w:r>
              <w:rPr>
                <w:rFonts w:ascii="Segoe UI Symbol" w:hAnsi="Segoe UI Symbol"/>
                <w:spacing w:val="-10"/>
                <w:sz w:val="12"/>
              </w:rPr>
              <w:t>✓</w:t>
            </w:r>
          </w:p>
        </w:tc>
        <w:tc>
          <w:tcPr>
            <w:tcW w:w="720" w:type="dxa"/>
          </w:tcPr>
          <w:p>
            <w:pPr>
              <w:pStyle w:val="TableParagraph"/>
              <w:rPr>
                <w:rFonts w:ascii="Segoe UI Symbol" w:hAnsi="Segoe UI Symbol"/>
                <w:sz w:val="12"/>
              </w:rPr>
            </w:pPr>
            <w:r>
              <w:rPr>
                <w:rFonts w:ascii="Segoe UI Symbol" w:hAnsi="Segoe UI Symbol"/>
                <w:spacing w:val="-10"/>
                <w:sz w:val="12"/>
              </w:rPr>
              <w:t>✓</w:t>
            </w:r>
          </w:p>
        </w:tc>
      </w:tr>
      <w:tr>
        <w:trPr>
          <w:trHeight w:val="134" w:hRule="atLeast"/>
        </w:trPr>
        <w:tc>
          <w:tcPr>
            <w:tcW w:w="720" w:type="dxa"/>
          </w:tcPr>
          <w:p>
            <w:pPr>
              <w:pStyle w:val="TableParagraph"/>
              <w:spacing w:line="114" w:lineRule="exact"/>
              <w:ind w:left="10"/>
              <w:rPr>
                <w:b/>
                <w:sz w:val="12"/>
              </w:rPr>
            </w:pPr>
            <w:r>
              <w:rPr>
                <w:b/>
                <w:sz w:val="12"/>
              </w:rPr>
              <w:t>19</w:t>
            </w:r>
            <w:r>
              <w:rPr>
                <w:b/>
                <w:spacing w:val="1"/>
                <w:sz w:val="12"/>
              </w:rPr>
              <w:t> </w:t>
            </w:r>
            <w:r>
              <w:rPr>
                <w:b/>
                <w:spacing w:val="-4"/>
                <w:sz w:val="12"/>
              </w:rPr>
              <w:t>[15]</w:t>
            </w:r>
          </w:p>
        </w:tc>
        <w:tc>
          <w:tcPr>
            <w:tcW w:w="720" w:type="dxa"/>
          </w:tcPr>
          <w:p>
            <w:pPr>
              <w:pStyle w:val="TableParagraph"/>
              <w:spacing w:line="114" w:lineRule="exact"/>
              <w:ind w:left="8"/>
              <w:rPr>
                <w:rFonts w:ascii="Segoe UI Symbol" w:hAnsi="Segoe UI Symbol"/>
                <w:sz w:val="12"/>
              </w:rPr>
            </w:pPr>
            <w:r>
              <w:rPr>
                <w:rFonts w:ascii="Segoe UI Symbol" w:hAnsi="Segoe UI Symbol"/>
                <w:spacing w:val="-10"/>
                <w:sz w:val="12"/>
              </w:rPr>
              <w:t>✓</w:t>
            </w:r>
          </w:p>
        </w:tc>
        <w:tc>
          <w:tcPr>
            <w:tcW w:w="721" w:type="dxa"/>
          </w:tcPr>
          <w:p>
            <w:pPr>
              <w:pStyle w:val="TableParagraph"/>
              <w:spacing w:line="114" w:lineRule="exact"/>
              <w:rPr>
                <w:rFonts w:ascii="Segoe UI Symbol" w:hAnsi="Segoe UI Symbol"/>
                <w:sz w:val="12"/>
              </w:rPr>
            </w:pPr>
            <w:r>
              <w:rPr>
                <w:rFonts w:ascii="Segoe UI Symbol" w:hAnsi="Segoe UI Symbol"/>
                <w:spacing w:val="-10"/>
                <w:sz w:val="12"/>
              </w:rPr>
              <w:t>✓</w:t>
            </w:r>
          </w:p>
        </w:tc>
        <w:tc>
          <w:tcPr>
            <w:tcW w:w="720" w:type="dxa"/>
          </w:tcPr>
          <w:p>
            <w:pPr>
              <w:pStyle w:val="TableParagraph"/>
              <w:spacing w:line="114" w:lineRule="exact"/>
              <w:ind w:left="313"/>
              <w:jc w:val="left"/>
              <w:rPr>
                <w:rFonts w:ascii="Segoe UI Symbol" w:hAnsi="Segoe UI Symbol"/>
                <w:sz w:val="12"/>
              </w:rPr>
            </w:pPr>
            <w:r>
              <w:rPr>
                <w:rFonts w:ascii="Segoe UI Symbol" w:hAnsi="Segoe UI Symbol"/>
                <w:spacing w:val="-10"/>
                <w:sz w:val="12"/>
              </w:rPr>
              <w:t>✓</w:t>
            </w:r>
          </w:p>
        </w:tc>
        <w:tc>
          <w:tcPr>
            <w:tcW w:w="720" w:type="dxa"/>
          </w:tcPr>
          <w:p>
            <w:pPr>
              <w:pStyle w:val="TableParagraph"/>
              <w:spacing w:line="114" w:lineRule="exact"/>
              <w:rPr>
                <w:rFonts w:ascii="Segoe UI Symbol" w:hAnsi="Segoe UI Symbol"/>
                <w:sz w:val="12"/>
              </w:rPr>
            </w:pPr>
            <w:r>
              <w:rPr>
                <w:rFonts w:ascii="Segoe UI Symbol" w:hAnsi="Segoe UI Symbol"/>
                <w:spacing w:val="-10"/>
                <w:sz w:val="12"/>
              </w:rPr>
              <w:t>✓</w:t>
            </w:r>
          </w:p>
        </w:tc>
        <w:tc>
          <w:tcPr>
            <w:tcW w:w="720" w:type="dxa"/>
          </w:tcPr>
          <w:p>
            <w:pPr>
              <w:pStyle w:val="TableParagraph"/>
              <w:spacing w:line="114" w:lineRule="exact"/>
              <w:rPr>
                <w:rFonts w:ascii="Segoe UI Symbol" w:hAnsi="Segoe UI Symbol"/>
                <w:sz w:val="12"/>
              </w:rPr>
            </w:pPr>
            <w:r>
              <w:rPr>
                <w:rFonts w:ascii="Segoe UI Symbol" w:hAnsi="Segoe UI Symbol"/>
                <w:spacing w:val="-10"/>
                <w:sz w:val="12"/>
              </w:rPr>
              <w:t>✓</w:t>
            </w:r>
          </w:p>
        </w:tc>
      </w:tr>
      <w:tr>
        <w:trPr>
          <w:trHeight w:val="136" w:hRule="atLeast"/>
        </w:trPr>
        <w:tc>
          <w:tcPr>
            <w:tcW w:w="720" w:type="dxa"/>
          </w:tcPr>
          <w:p>
            <w:pPr>
              <w:pStyle w:val="TableParagraph"/>
              <w:ind w:left="8"/>
              <w:rPr>
                <w:b/>
                <w:sz w:val="12"/>
              </w:rPr>
            </w:pPr>
            <w:r>
              <w:rPr>
                <w:b/>
                <w:sz w:val="12"/>
              </w:rPr>
              <w:t>20</w:t>
            </w:r>
            <w:r>
              <w:rPr>
                <w:b/>
                <w:spacing w:val="1"/>
                <w:sz w:val="12"/>
              </w:rPr>
              <w:t> </w:t>
            </w:r>
            <w:r>
              <w:rPr>
                <w:b/>
                <w:spacing w:val="-5"/>
                <w:sz w:val="12"/>
              </w:rPr>
              <w:t>[7]</w:t>
            </w:r>
          </w:p>
        </w:tc>
        <w:tc>
          <w:tcPr>
            <w:tcW w:w="720" w:type="dxa"/>
          </w:tcPr>
          <w:p>
            <w:pPr>
              <w:pStyle w:val="TableParagraph"/>
              <w:rPr>
                <w:sz w:val="12"/>
              </w:rPr>
            </w:pPr>
            <w:r>
              <w:rPr>
                <w:sz w:val="12"/>
              </w:rPr>
              <w:t>–</w:t>
            </w:r>
          </w:p>
        </w:tc>
        <w:tc>
          <w:tcPr>
            <w:tcW w:w="721" w:type="dxa"/>
          </w:tcPr>
          <w:p>
            <w:pPr>
              <w:pStyle w:val="TableParagraph"/>
              <w:ind w:left="6"/>
              <w:rPr>
                <w:sz w:val="12"/>
              </w:rPr>
            </w:pPr>
            <w:r>
              <w:rPr>
                <w:sz w:val="12"/>
              </w:rPr>
              <w:t>–</w:t>
            </w:r>
          </w:p>
        </w:tc>
        <w:tc>
          <w:tcPr>
            <w:tcW w:w="720" w:type="dxa"/>
          </w:tcPr>
          <w:p>
            <w:pPr>
              <w:pStyle w:val="TableParagraph"/>
              <w:ind w:left="328"/>
              <w:jc w:val="left"/>
              <w:rPr>
                <w:sz w:val="12"/>
              </w:rPr>
            </w:pPr>
            <w:r>
              <w:rPr>
                <w:sz w:val="12"/>
              </w:rPr>
              <w:t>–</w:t>
            </w:r>
          </w:p>
        </w:tc>
        <w:tc>
          <w:tcPr>
            <w:tcW w:w="720" w:type="dxa"/>
          </w:tcPr>
          <w:p>
            <w:pPr>
              <w:pStyle w:val="TableParagraph"/>
              <w:ind w:left="6"/>
              <w:rPr>
                <w:sz w:val="12"/>
              </w:rPr>
            </w:pPr>
            <w:r>
              <w:rPr>
                <w:sz w:val="12"/>
              </w:rPr>
              <w:t>–</w:t>
            </w:r>
          </w:p>
        </w:tc>
        <w:tc>
          <w:tcPr>
            <w:tcW w:w="720" w:type="dxa"/>
          </w:tcPr>
          <w:p>
            <w:pPr>
              <w:pStyle w:val="TableParagraph"/>
              <w:rPr>
                <w:rFonts w:ascii="Segoe UI Symbol" w:hAnsi="Segoe UI Symbol"/>
                <w:sz w:val="12"/>
              </w:rPr>
            </w:pPr>
            <w:r>
              <w:rPr>
                <w:rFonts w:ascii="Segoe UI Symbol" w:hAnsi="Segoe UI Symbol"/>
                <w:spacing w:val="-10"/>
                <w:sz w:val="12"/>
              </w:rPr>
              <w:t>✓</w:t>
            </w:r>
          </w:p>
        </w:tc>
      </w:tr>
    </w:tbl>
    <w:p>
      <w:pPr>
        <w:spacing w:before="4"/>
        <w:ind w:left="2167" w:right="23" w:hanging="1887"/>
        <w:jc w:val="left"/>
        <w:rPr>
          <w:b/>
          <w:sz w:val="14"/>
        </w:rPr>
      </w:pPr>
      <w:r>
        <w:rPr>
          <w:b/>
          <w:sz w:val="14"/>
        </w:rPr>
        <w:t>Table</w:t>
      </w:r>
      <w:r>
        <w:rPr>
          <w:b/>
          <w:spacing w:val="-3"/>
          <w:sz w:val="14"/>
        </w:rPr>
        <w:t> </w:t>
      </w:r>
      <w:r>
        <w:rPr>
          <w:b/>
          <w:sz w:val="14"/>
        </w:rPr>
        <w:t>I-B.</w:t>
      </w:r>
      <w:r>
        <w:rPr>
          <w:b/>
          <w:spacing w:val="-2"/>
          <w:sz w:val="14"/>
        </w:rPr>
        <w:t> </w:t>
      </w:r>
      <w:r>
        <w:rPr>
          <w:b/>
          <w:sz w:val="14"/>
        </w:rPr>
        <w:t>Core</w:t>
      </w:r>
      <w:r>
        <w:rPr>
          <w:b/>
          <w:spacing w:val="-3"/>
          <w:sz w:val="14"/>
        </w:rPr>
        <w:t> </w:t>
      </w:r>
      <w:r>
        <w:rPr>
          <w:b/>
          <w:sz w:val="14"/>
        </w:rPr>
        <w:t>capability</w:t>
      </w:r>
      <w:r>
        <w:rPr>
          <w:b/>
          <w:spacing w:val="-4"/>
          <w:sz w:val="14"/>
        </w:rPr>
        <w:t> </w:t>
      </w:r>
      <w:r>
        <w:rPr>
          <w:b/>
          <w:sz w:val="14"/>
        </w:rPr>
        <w:t>coding</w:t>
      </w:r>
      <w:r>
        <w:rPr>
          <w:b/>
          <w:spacing w:val="-4"/>
          <w:sz w:val="14"/>
        </w:rPr>
        <w:t> </w:t>
      </w:r>
      <w:r>
        <w:rPr>
          <w:b/>
          <w:sz w:val="14"/>
        </w:rPr>
        <w:t>for</w:t>
      </w:r>
      <w:r>
        <w:rPr>
          <w:b/>
          <w:spacing w:val="-3"/>
          <w:sz w:val="14"/>
        </w:rPr>
        <w:t> </w:t>
      </w:r>
      <w:r>
        <w:rPr>
          <w:b/>
          <w:sz w:val="14"/>
        </w:rPr>
        <w:t>Studies</w:t>
      </w:r>
      <w:r>
        <w:rPr>
          <w:b/>
          <w:spacing w:val="-2"/>
          <w:sz w:val="14"/>
        </w:rPr>
        <w:t> </w:t>
      </w:r>
      <w:r>
        <w:rPr>
          <w:b/>
          <w:sz w:val="14"/>
        </w:rPr>
        <w:t>11–20</w:t>
      </w:r>
      <w:r>
        <w:rPr>
          <w:b/>
          <w:spacing w:val="-4"/>
          <w:sz w:val="14"/>
        </w:rPr>
        <w:t> </w:t>
      </w:r>
      <w:r>
        <w:rPr>
          <w:b/>
          <w:sz w:val="14"/>
        </w:rPr>
        <w:t>(</w:t>
      </w:r>
      <w:r>
        <w:rPr>
          <w:rFonts w:ascii="Segoe UI Symbol" w:hAnsi="Segoe UI Symbol"/>
          <w:sz w:val="14"/>
        </w:rPr>
        <w:t>✓</w:t>
      </w:r>
      <w:r>
        <w:rPr>
          <w:rFonts w:ascii="Segoe UI Symbol" w:hAnsi="Segoe UI Symbol"/>
          <w:spacing w:val="-6"/>
          <w:sz w:val="14"/>
        </w:rPr>
        <w:t> </w:t>
      </w:r>
      <w:r>
        <w:rPr>
          <w:b/>
          <w:sz w:val="14"/>
        </w:rPr>
        <w:t>=</w:t>
      </w:r>
      <w:r>
        <w:rPr>
          <w:b/>
          <w:spacing w:val="-4"/>
          <w:sz w:val="14"/>
        </w:rPr>
        <w:t> </w:t>
      </w:r>
      <w:r>
        <w:rPr>
          <w:b/>
          <w:sz w:val="14"/>
        </w:rPr>
        <w:t>explicit</w:t>
      </w:r>
      <w:r>
        <w:rPr>
          <w:b/>
          <w:spacing w:val="-5"/>
          <w:sz w:val="14"/>
        </w:rPr>
        <w:t> </w:t>
      </w:r>
      <w:r>
        <w:rPr>
          <w:b/>
          <w:sz w:val="14"/>
        </w:rPr>
        <w:t>evidence;</w:t>
      </w:r>
      <w:r>
        <w:rPr>
          <w:b/>
          <w:spacing w:val="-3"/>
          <w:sz w:val="14"/>
        </w:rPr>
        <w:t> </w:t>
      </w:r>
      <w:r>
        <w:rPr>
          <w:b/>
          <w:sz w:val="14"/>
        </w:rPr>
        <w:t>–</w:t>
      </w:r>
      <w:r>
        <w:rPr>
          <w:b/>
          <w:spacing w:val="-3"/>
          <w:sz w:val="14"/>
        </w:rPr>
        <w:t> </w:t>
      </w:r>
      <w:r>
        <w:rPr>
          <w:b/>
          <w:sz w:val="14"/>
        </w:rPr>
        <w:t>=</w:t>
      </w:r>
      <w:r>
        <w:rPr>
          <w:b/>
          <w:spacing w:val="40"/>
          <w:sz w:val="14"/>
        </w:rPr>
        <w:t> </w:t>
      </w:r>
      <w:r>
        <w:rPr>
          <w:b/>
          <w:sz w:val="14"/>
        </w:rPr>
        <w:t>not</w:t>
      </w:r>
      <w:r>
        <w:rPr>
          <w:b/>
          <w:spacing w:val="-6"/>
          <w:sz w:val="14"/>
        </w:rPr>
        <w:t> </w:t>
      </w:r>
      <w:r>
        <w:rPr>
          <w:b/>
          <w:sz w:val="14"/>
        </w:rPr>
        <w:t>identified).</w:t>
      </w:r>
    </w:p>
    <w:p>
      <w:pPr>
        <w:spacing w:before="0"/>
        <w:ind w:left="172" w:right="0" w:firstLine="0"/>
        <w:jc w:val="left"/>
        <w:rPr>
          <w:sz w:val="15"/>
        </w:rPr>
      </w:pPr>
      <w:r>
        <w:rPr>
          <w:sz w:val="15"/>
        </w:rPr>
        <w:t>Complementary dimensions coded in the full matrix are INT</w:t>
      </w:r>
      <w:r>
        <w:rPr>
          <w:spacing w:val="40"/>
          <w:sz w:val="15"/>
        </w:rPr>
        <w:t> </w:t>
      </w:r>
      <w:r>
        <w:rPr>
          <w:sz w:val="15"/>
        </w:rPr>
        <w:t>(integration/semantics),</w:t>
      </w:r>
      <w:r>
        <w:rPr>
          <w:spacing w:val="-8"/>
          <w:sz w:val="15"/>
        </w:rPr>
        <w:t> </w:t>
      </w:r>
      <w:r>
        <w:rPr>
          <w:sz w:val="15"/>
        </w:rPr>
        <w:t>SIM</w:t>
      </w:r>
      <w:r>
        <w:rPr>
          <w:spacing w:val="-8"/>
          <w:sz w:val="15"/>
        </w:rPr>
        <w:t> </w:t>
      </w:r>
      <w:r>
        <w:rPr>
          <w:sz w:val="15"/>
        </w:rPr>
        <w:t>(simulation/scenario),</w:t>
      </w:r>
      <w:r>
        <w:rPr>
          <w:spacing w:val="-8"/>
          <w:sz w:val="15"/>
        </w:rPr>
        <w:t> </w:t>
      </w:r>
      <w:r>
        <w:rPr>
          <w:sz w:val="15"/>
        </w:rPr>
        <w:t>VIS</w:t>
      </w:r>
      <w:r>
        <w:rPr>
          <w:spacing w:val="-7"/>
          <w:sz w:val="15"/>
        </w:rPr>
        <w:t> </w:t>
      </w:r>
      <w:r>
        <w:rPr>
          <w:sz w:val="15"/>
        </w:rPr>
        <w:t>(visualization),</w:t>
      </w:r>
      <w:r>
        <w:rPr>
          <w:spacing w:val="-10"/>
          <w:sz w:val="15"/>
        </w:rPr>
        <w:t> </w:t>
      </w:r>
      <w:r>
        <w:rPr>
          <w:sz w:val="15"/>
        </w:rPr>
        <w:t>ACT</w:t>
      </w:r>
    </w:p>
    <w:p>
      <w:pPr>
        <w:spacing w:before="79"/>
        <w:ind w:left="172" w:right="487" w:firstLine="0"/>
        <w:jc w:val="left"/>
        <w:rPr>
          <w:sz w:val="15"/>
        </w:rPr>
      </w:pPr>
      <w:r>
        <w:rPr/>
        <w:br w:type="column"/>
      </w:r>
      <w:r>
        <w:rPr>
          <w:sz w:val="15"/>
        </w:rPr>
        <w:t>(physical</w:t>
      </w:r>
      <w:r>
        <w:rPr>
          <w:spacing w:val="-6"/>
          <w:sz w:val="15"/>
        </w:rPr>
        <w:t> </w:t>
      </w:r>
      <w:r>
        <w:rPr>
          <w:sz w:val="15"/>
        </w:rPr>
        <w:t>actuation/control),</w:t>
      </w:r>
      <w:r>
        <w:rPr>
          <w:spacing w:val="-7"/>
          <w:sz w:val="15"/>
        </w:rPr>
        <w:t> </w:t>
      </w:r>
      <w:r>
        <w:rPr>
          <w:sz w:val="15"/>
        </w:rPr>
        <w:t>and</w:t>
      </w:r>
      <w:r>
        <w:rPr>
          <w:spacing w:val="-6"/>
          <w:sz w:val="15"/>
        </w:rPr>
        <w:t> </w:t>
      </w:r>
      <w:r>
        <w:rPr>
          <w:sz w:val="15"/>
        </w:rPr>
        <w:t>SC</w:t>
      </w:r>
      <w:r>
        <w:rPr>
          <w:spacing w:val="-7"/>
          <w:sz w:val="15"/>
        </w:rPr>
        <w:t> </w:t>
      </w:r>
      <w:r>
        <w:rPr>
          <w:sz w:val="15"/>
        </w:rPr>
        <w:t>(scalable/distributed</w:t>
      </w:r>
      <w:r>
        <w:rPr>
          <w:spacing w:val="-4"/>
          <w:sz w:val="15"/>
        </w:rPr>
        <w:t> </w:t>
      </w:r>
      <w:r>
        <w:rPr>
          <w:sz w:val="15"/>
        </w:rPr>
        <w:t>computing).</w:t>
      </w:r>
      <w:r>
        <w:rPr>
          <w:spacing w:val="-9"/>
          <w:sz w:val="15"/>
        </w:rPr>
        <w:t> </w:t>
      </w:r>
      <w:r>
        <w:rPr>
          <w:sz w:val="15"/>
        </w:rPr>
        <w:t>Their</w:t>
      </w:r>
      <w:r>
        <w:rPr>
          <w:spacing w:val="40"/>
          <w:sz w:val="15"/>
        </w:rPr>
        <w:t> </w:t>
      </w:r>
      <w:r>
        <w:rPr>
          <w:sz w:val="15"/>
        </w:rPr>
        <w:t>corpus-level counts are reported in Table II.</w:t>
      </w:r>
    </w:p>
    <w:p>
      <w:pPr>
        <w:pStyle w:val="Heading1"/>
        <w:numPr>
          <w:ilvl w:val="0"/>
          <w:numId w:val="2"/>
        </w:numPr>
        <w:tabs>
          <w:tab w:pos="492" w:val="left" w:leader="none"/>
        </w:tabs>
        <w:spacing w:line="240" w:lineRule="auto" w:before="122" w:after="0"/>
        <w:ind w:left="172" w:right="1073" w:firstLine="0"/>
        <w:jc w:val="left"/>
      </w:pPr>
      <w:r>
        <w:rPr/>
        <w:t>COMPARATIVE</w:t>
      </w:r>
      <w:r>
        <w:rPr>
          <w:spacing w:val="-10"/>
        </w:rPr>
        <w:t> </w:t>
      </w:r>
      <w:r>
        <w:rPr/>
        <w:t>ANALYSIS</w:t>
      </w:r>
      <w:r>
        <w:rPr>
          <w:spacing w:val="-10"/>
        </w:rPr>
        <w:t> </w:t>
      </w:r>
      <w:r>
        <w:rPr/>
        <w:t>OF</w:t>
      </w:r>
      <w:r>
        <w:rPr>
          <w:spacing w:val="-10"/>
        </w:rPr>
        <w:t> </w:t>
      </w:r>
      <w:r>
        <w:rPr/>
        <w:t>THE</w:t>
      </w:r>
      <w:r>
        <w:rPr>
          <w:spacing w:val="-10"/>
        </w:rPr>
        <w:t> </w:t>
      </w:r>
      <w:r>
        <w:rPr/>
        <w:t>20 </w:t>
      </w:r>
      <w:r>
        <w:rPr>
          <w:spacing w:val="-2"/>
        </w:rPr>
        <w:t>STUDIES</w:t>
      </w:r>
    </w:p>
    <w:p>
      <w:pPr>
        <w:pStyle w:val="BodyText"/>
        <w:spacing w:line="228" w:lineRule="auto" w:before="58"/>
        <w:ind w:right="169"/>
      </w:pPr>
      <w:r>
        <w:rPr/>
        <w:t>The capability coding reveals a heterogeneous research </w:t>
      </w:r>
      <w:r>
        <w:rPr>
          <w:spacing w:val="-2"/>
        </w:rPr>
        <w:t>landscape.</w:t>
      </w:r>
      <w:r>
        <w:rPr>
          <w:spacing w:val="-9"/>
        </w:rPr>
        <w:t> </w:t>
      </w:r>
      <w:r>
        <w:rPr>
          <w:spacing w:val="-2"/>
        </w:rPr>
        <w:t>Table</w:t>
      </w:r>
      <w:r>
        <w:rPr>
          <w:spacing w:val="-9"/>
        </w:rPr>
        <w:t> </w:t>
      </w:r>
      <w:r>
        <w:rPr>
          <w:spacing w:val="-2"/>
        </w:rPr>
        <w:t>I</w:t>
      </w:r>
      <w:r>
        <w:rPr>
          <w:spacing w:val="-8"/>
        </w:rPr>
        <w:t> </w:t>
      </w:r>
      <w:r>
        <w:rPr>
          <w:spacing w:val="-2"/>
        </w:rPr>
        <w:t>provides</w:t>
      </w:r>
      <w:r>
        <w:rPr>
          <w:spacing w:val="-9"/>
        </w:rPr>
        <w:t> </w:t>
      </w:r>
      <w:r>
        <w:rPr>
          <w:spacing w:val="-2"/>
        </w:rPr>
        <w:t>the</w:t>
      </w:r>
      <w:r>
        <w:rPr>
          <w:spacing w:val="-9"/>
        </w:rPr>
        <w:t> </w:t>
      </w:r>
      <w:r>
        <w:rPr>
          <w:spacing w:val="-2"/>
        </w:rPr>
        <w:t>study-level</w:t>
      </w:r>
      <w:r>
        <w:rPr>
          <w:spacing w:val="-9"/>
        </w:rPr>
        <w:t> </w:t>
      </w:r>
      <w:r>
        <w:rPr>
          <w:spacing w:val="-2"/>
        </w:rPr>
        <w:t>mapping</w:t>
      </w:r>
      <w:r>
        <w:rPr>
          <w:spacing w:val="-8"/>
        </w:rPr>
        <w:t> </w:t>
      </w:r>
      <w:r>
        <w:rPr>
          <w:spacing w:val="-2"/>
        </w:rPr>
        <w:t>used</w:t>
      </w:r>
      <w:r>
        <w:rPr>
          <w:spacing w:val="-8"/>
        </w:rPr>
        <w:t> </w:t>
      </w:r>
      <w:r>
        <w:rPr>
          <w:spacing w:val="-2"/>
        </w:rPr>
        <w:t>with </w:t>
      </w:r>
      <w:r>
        <w:rPr/>
        <w:t>the capability matrix. A check mark in the matrix indicates that the capability is explicitly demonstrated or described in the</w:t>
      </w:r>
      <w:r>
        <w:rPr>
          <w:spacing w:val="-12"/>
        </w:rPr>
        <w:t> </w:t>
      </w:r>
      <w:r>
        <w:rPr/>
        <w:t>selected</w:t>
      </w:r>
      <w:r>
        <w:rPr>
          <w:spacing w:val="-12"/>
        </w:rPr>
        <w:t> </w:t>
      </w:r>
      <w:r>
        <w:rPr/>
        <w:t>study;</w:t>
      </w:r>
      <w:r>
        <w:rPr>
          <w:spacing w:val="-13"/>
        </w:rPr>
        <w:t> </w:t>
      </w:r>
      <w:r>
        <w:rPr/>
        <w:t>a</w:t>
      </w:r>
      <w:r>
        <w:rPr>
          <w:spacing w:val="-12"/>
        </w:rPr>
        <w:t> </w:t>
      </w:r>
      <w:r>
        <w:rPr/>
        <w:t>dash</w:t>
      </w:r>
      <w:r>
        <w:rPr>
          <w:spacing w:val="-10"/>
        </w:rPr>
        <w:t> </w:t>
      </w:r>
      <w:r>
        <w:rPr/>
        <w:t>indicates</w:t>
      </w:r>
      <w:r>
        <w:rPr>
          <w:spacing w:val="-12"/>
        </w:rPr>
        <w:t> </w:t>
      </w:r>
      <w:r>
        <w:rPr/>
        <w:t>that</w:t>
      </w:r>
      <w:r>
        <w:rPr>
          <w:spacing w:val="-11"/>
        </w:rPr>
        <w:t> </w:t>
      </w:r>
      <w:r>
        <w:rPr/>
        <w:t>the</w:t>
      </w:r>
      <w:r>
        <w:rPr>
          <w:spacing w:val="-13"/>
        </w:rPr>
        <w:t> </w:t>
      </w:r>
      <w:r>
        <w:rPr/>
        <w:t>capability</w:t>
      </w:r>
      <w:r>
        <w:rPr>
          <w:spacing w:val="-10"/>
        </w:rPr>
        <w:t> </w:t>
      </w:r>
      <w:r>
        <w:rPr/>
        <w:t>was</w:t>
      </w:r>
      <w:r>
        <w:rPr>
          <w:spacing w:val="-13"/>
        </w:rPr>
        <w:t> </w:t>
      </w:r>
      <w:r>
        <w:rPr/>
        <w:t>not identified under the coding rule. The matrix is deliberately more restrictive than a general literature summary: possible capabilities are not counted unless</w:t>
      </w:r>
      <w:r>
        <w:rPr>
          <w:spacing w:val="-1"/>
        </w:rPr>
        <w:t> </w:t>
      </w:r>
      <w:r>
        <w:rPr/>
        <w:t>they are supported by the </w:t>
      </w:r>
      <w:r>
        <w:rPr>
          <w:spacing w:val="-2"/>
        </w:rPr>
        <w:t>study.</w:t>
      </w:r>
    </w:p>
    <w:p>
      <w:pPr>
        <w:pStyle w:val="BodyText"/>
        <w:spacing w:line="224" w:lineRule="exact" w:before="53"/>
        <w:ind w:left="460" w:firstLine="0"/>
      </w:pPr>
      <w:r>
        <w:rPr/>
        <w:t>Studies</w:t>
      </w:r>
      <w:r>
        <w:rPr>
          <w:spacing w:val="61"/>
        </w:rPr>
        <w:t> </w:t>
      </w:r>
      <w:r>
        <w:rPr/>
        <w:t>[1],</w:t>
      </w:r>
      <w:r>
        <w:rPr>
          <w:spacing w:val="63"/>
        </w:rPr>
        <w:t> </w:t>
      </w:r>
      <w:r>
        <w:rPr/>
        <w:t>[2],</w:t>
      </w:r>
      <w:r>
        <w:rPr>
          <w:spacing w:val="62"/>
        </w:rPr>
        <w:t> </w:t>
      </w:r>
      <w:r>
        <w:rPr/>
        <w:t>[3],</w:t>
      </w:r>
      <w:r>
        <w:rPr>
          <w:spacing w:val="63"/>
        </w:rPr>
        <w:t> </w:t>
      </w:r>
      <w:r>
        <w:rPr/>
        <w:t>[13],</w:t>
      </w:r>
      <w:r>
        <w:rPr>
          <w:spacing w:val="63"/>
        </w:rPr>
        <w:t> </w:t>
      </w:r>
      <w:r>
        <w:rPr/>
        <w:t>[14],</w:t>
      </w:r>
      <w:r>
        <w:rPr>
          <w:spacing w:val="60"/>
        </w:rPr>
        <w:t> </w:t>
      </w:r>
      <w:r>
        <w:rPr/>
        <w:t>[4],</w:t>
      </w:r>
      <w:r>
        <w:rPr>
          <w:spacing w:val="64"/>
        </w:rPr>
        <w:t> </w:t>
      </w:r>
      <w:r>
        <w:rPr/>
        <w:t>and</w:t>
      </w:r>
      <w:r>
        <w:rPr>
          <w:spacing w:val="63"/>
        </w:rPr>
        <w:t> </w:t>
      </w:r>
      <w:r>
        <w:rPr/>
        <w:t>[15]</w:t>
      </w:r>
      <w:r>
        <w:rPr>
          <w:spacing w:val="62"/>
        </w:rPr>
        <w:t> </w:t>
      </w:r>
      <w:r>
        <w:rPr>
          <w:spacing w:val="-4"/>
        </w:rPr>
        <w:t>show</w:t>
      </w:r>
    </w:p>
    <w:p>
      <w:pPr>
        <w:pStyle w:val="BodyText"/>
        <w:spacing w:line="228" w:lineRule="auto" w:before="3"/>
        <w:ind w:right="169" w:firstLine="0"/>
      </w:pPr>
      <w:r>
        <w:rPr>
          <w:spacing w:val="-2"/>
        </w:rPr>
        <w:t>comparatively</w:t>
      </w:r>
      <w:r>
        <w:rPr>
          <w:spacing w:val="-3"/>
        </w:rPr>
        <w:t> </w:t>
      </w:r>
      <w:r>
        <w:rPr>
          <w:spacing w:val="-2"/>
        </w:rPr>
        <w:t>strong</w:t>
      </w:r>
      <w:r>
        <w:rPr>
          <w:spacing w:val="-3"/>
        </w:rPr>
        <w:t> </w:t>
      </w:r>
      <w:r>
        <w:rPr>
          <w:spacing w:val="-2"/>
        </w:rPr>
        <w:t>combinations</w:t>
      </w:r>
      <w:r>
        <w:rPr>
          <w:spacing w:val="-7"/>
        </w:rPr>
        <w:t> </w:t>
      </w:r>
      <w:r>
        <w:rPr>
          <w:spacing w:val="-2"/>
        </w:rPr>
        <w:t>of</w:t>
      </w:r>
      <w:r>
        <w:rPr>
          <w:spacing w:val="-6"/>
        </w:rPr>
        <w:t> </w:t>
      </w:r>
      <w:r>
        <w:rPr>
          <w:spacing w:val="-2"/>
        </w:rPr>
        <w:t>live</w:t>
      </w:r>
      <w:r>
        <w:rPr>
          <w:spacing w:val="-6"/>
        </w:rPr>
        <w:t> </w:t>
      </w:r>
      <w:r>
        <w:rPr>
          <w:spacing w:val="-2"/>
        </w:rPr>
        <w:t>data,</w:t>
      </w:r>
      <w:r>
        <w:rPr>
          <w:spacing w:val="-6"/>
        </w:rPr>
        <w:t> </w:t>
      </w:r>
      <w:r>
        <w:rPr>
          <w:spacing w:val="-2"/>
        </w:rPr>
        <w:t>analytics,</w:t>
      </w:r>
      <w:r>
        <w:rPr>
          <w:spacing w:val="-4"/>
        </w:rPr>
        <w:t> </w:t>
      </w:r>
      <w:r>
        <w:rPr>
          <w:spacing w:val="-2"/>
        </w:rPr>
        <w:t>and </w:t>
      </w:r>
      <w:r>
        <w:rPr/>
        <w:t>urban-management</w:t>
      </w:r>
      <w:r>
        <w:rPr>
          <w:spacing w:val="-13"/>
        </w:rPr>
        <w:t> </w:t>
      </w:r>
      <w:r>
        <w:rPr/>
        <w:t>functions.</w:t>
      </w:r>
      <w:r>
        <w:rPr>
          <w:spacing w:val="-12"/>
        </w:rPr>
        <w:t> </w:t>
      </w:r>
      <w:r>
        <w:rPr/>
        <w:t>Mobility</w:t>
      </w:r>
      <w:r>
        <w:rPr>
          <w:spacing w:val="-12"/>
        </w:rPr>
        <w:t> </w:t>
      </w:r>
      <w:r>
        <w:rPr/>
        <w:t>research</w:t>
      </w:r>
      <w:r>
        <w:rPr>
          <w:spacing w:val="-10"/>
        </w:rPr>
        <w:t> </w:t>
      </w:r>
      <w:r>
        <w:rPr/>
        <w:t>is</w:t>
      </w:r>
      <w:r>
        <w:rPr>
          <w:spacing w:val="-13"/>
        </w:rPr>
        <w:t> </w:t>
      </w:r>
      <w:r>
        <w:rPr/>
        <w:t>especially prominent</w:t>
      </w:r>
      <w:r>
        <w:rPr>
          <w:spacing w:val="-7"/>
        </w:rPr>
        <w:t> </w:t>
      </w:r>
      <w:r>
        <w:rPr/>
        <w:t>because</w:t>
      </w:r>
      <w:r>
        <w:rPr>
          <w:spacing w:val="-4"/>
        </w:rPr>
        <w:t> </w:t>
      </w:r>
      <w:r>
        <w:rPr/>
        <w:t>traffic</w:t>
      </w:r>
      <w:r>
        <w:rPr>
          <w:spacing w:val="-7"/>
        </w:rPr>
        <w:t> </w:t>
      </w:r>
      <w:r>
        <w:rPr/>
        <w:t>systems</w:t>
      </w:r>
      <w:r>
        <w:rPr>
          <w:spacing w:val="-7"/>
        </w:rPr>
        <w:t> </w:t>
      </w:r>
      <w:r>
        <w:rPr/>
        <w:t>naturally</w:t>
      </w:r>
      <w:r>
        <w:rPr>
          <w:spacing w:val="-6"/>
        </w:rPr>
        <w:t> </w:t>
      </w:r>
      <w:r>
        <w:rPr/>
        <w:t>provide</w:t>
      </w:r>
      <w:r>
        <w:rPr>
          <w:spacing w:val="-7"/>
        </w:rPr>
        <w:t> </w:t>
      </w:r>
      <w:r>
        <w:rPr/>
        <w:t>frequent data streams and measurable operational outcomes. In contrast, [11] and [16] concentrate on representation and semantics, respectively, illustrating that not every UDT contribution is intended to be a real-time control system.</w:t>
      </w:r>
    </w:p>
    <w:p>
      <w:pPr>
        <w:pStyle w:val="BodyText"/>
        <w:spacing w:line="228" w:lineRule="auto"/>
        <w:ind w:right="168"/>
      </w:pPr>
      <w:r>
        <w:rPr/>
        <w:t>Environmental</w:t>
      </w:r>
      <w:r>
        <w:rPr>
          <w:spacing w:val="-13"/>
        </w:rPr>
        <w:t> </w:t>
      </w:r>
      <w:r>
        <w:rPr/>
        <w:t>and</w:t>
      </w:r>
      <w:r>
        <w:rPr>
          <w:spacing w:val="-12"/>
        </w:rPr>
        <w:t> </w:t>
      </w:r>
      <w:r>
        <w:rPr/>
        <w:t>resilience</w:t>
      </w:r>
      <w:r>
        <w:rPr>
          <w:spacing w:val="-13"/>
        </w:rPr>
        <w:t> </w:t>
      </w:r>
      <w:r>
        <w:rPr/>
        <w:t>studies</w:t>
      </w:r>
      <w:r>
        <w:rPr>
          <w:spacing w:val="-12"/>
        </w:rPr>
        <w:t> </w:t>
      </w:r>
      <w:r>
        <w:rPr/>
        <w:t>demonstrate</w:t>
      </w:r>
      <w:r>
        <w:rPr>
          <w:spacing w:val="-13"/>
        </w:rPr>
        <w:t> </w:t>
      </w:r>
      <w:r>
        <w:rPr/>
        <w:t>another pattern. Air-quality work [5], [12] and water/flood work [6] emphasize combining measurements with spatial or mathematical models. Disaster decision support [7] emphasizes scenario reasoning under uncertainty. These studies strengthen the simulation and spatial dimensions of UDT research but do not necessarily provide continuous physical control.</w:t>
      </w:r>
    </w:p>
    <w:p>
      <w:pPr>
        <w:pStyle w:val="BodyText"/>
        <w:spacing w:line="228" w:lineRule="auto"/>
        <w:ind w:right="167"/>
      </w:pPr>
      <w:r>
        <w:rPr/>
        <w:t>Architecture studies [17], [13], [14], and [4] concentrate on</w:t>
      </w:r>
      <w:r>
        <w:rPr>
          <w:spacing w:val="-1"/>
        </w:rPr>
        <w:t> </w:t>
      </w:r>
      <w:r>
        <w:rPr/>
        <w:t>reusable platforms, integration, distributed processing, or scalable services. These papers are important for city-scale deployment because a UDT must handle heterogeneous </w:t>
      </w:r>
      <w:r>
        <w:rPr>
          <w:spacing w:val="-2"/>
        </w:rPr>
        <w:t>sources</w:t>
      </w:r>
      <w:r>
        <w:rPr>
          <w:spacing w:val="-10"/>
        </w:rPr>
        <w:t> </w:t>
      </w:r>
      <w:r>
        <w:rPr>
          <w:spacing w:val="-2"/>
        </w:rPr>
        <w:t>and</w:t>
      </w:r>
      <w:r>
        <w:rPr>
          <w:spacing w:val="-8"/>
        </w:rPr>
        <w:t> </w:t>
      </w:r>
      <w:r>
        <w:rPr>
          <w:spacing w:val="-2"/>
        </w:rPr>
        <w:t>large</w:t>
      </w:r>
      <w:r>
        <w:rPr>
          <w:spacing w:val="-9"/>
        </w:rPr>
        <w:t> </w:t>
      </w:r>
      <w:r>
        <w:rPr>
          <w:spacing w:val="-2"/>
        </w:rPr>
        <w:t>data</w:t>
      </w:r>
      <w:r>
        <w:rPr>
          <w:spacing w:val="-8"/>
        </w:rPr>
        <w:t> </w:t>
      </w:r>
      <w:r>
        <w:rPr>
          <w:spacing w:val="-2"/>
        </w:rPr>
        <w:t>volumes.</w:t>
      </w:r>
      <w:r>
        <w:rPr>
          <w:spacing w:val="-6"/>
        </w:rPr>
        <w:t> </w:t>
      </w:r>
      <w:r>
        <w:rPr>
          <w:spacing w:val="-2"/>
        </w:rPr>
        <w:t>However,</w:t>
      </w:r>
      <w:r>
        <w:rPr>
          <w:spacing w:val="-8"/>
        </w:rPr>
        <w:t> </w:t>
      </w:r>
      <w:r>
        <w:rPr>
          <w:spacing w:val="-2"/>
        </w:rPr>
        <w:t>platform</w:t>
      </w:r>
      <w:r>
        <w:rPr>
          <w:spacing w:val="-6"/>
        </w:rPr>
        <w:t> </w:t>
      </w:r>
      <w:r>
        <w:rPr>
          <w:spacing w:val="-2"/>
        </w:rPr>
        <w:t>scalability </w:t>
      </w:r>
      <w:r>
        <w:rPr/>
        <w:t>and decision intelligence are not equivalent to closed-loop actuation. The matrix therefore keeps those capabilities </w:t>
      </w:r>
      <w:r>
        <w:rPr>
          <w:spacing w:val="-2"/>
        </w:rPr>
        <w:t>separate.</w:t>
      </w:r>
    </w:p>
    <w:p>
      <w:pPr>
        <w:pStyle w:val="BodyText"/>
        <w:spacing w:before="180"/>
        <w:ind w:left="0" w:firstLine="0"/>
        <w:jc w:val="left"/>
      </w:pPr>
    </w:p>
    <w:p>
      <w:pPr>
        <w:pStyle w:val="Heading1"/>
        <w:numPr>
          <w:ilvl w:val="0"/>
          <w:numId w:val="2"/>
        </w:numPr>
        <w:tabs>
          <w:tab w:pos="415" w:val="left" w:leader="none"/>
        </w:tabs>
        <w:spacing w:line="240" w:lineRule="auto" w:before="0" w:after="0"/>
        <w:ind w:left="415" w:right="0" w:hanging="243"/>
        <w:jc w:val="left"/>
      </w:pPr>
      <w:r>
        <w:rPr>
          <w:spacing w:val="-2"/>
        </w:rPr>
        <w:t>QUANTITATIVE</w:t>
      </w:r>
      <w:r>
        <w:rPr>
          <w:spacing w:val="5"/>
        </w:rPr>
        <w:t> </w:t>
      </w:r>
      <w:r>
        <w:rPr>
          <w:spacing w:val="-2"/>
        </w:rPr>
        <w:t>COMPARISON</w:t>
      </w:r>
    </w:p>
    <w:p>
      <w:pPr>
        <w:pStyle w:val="BodyText"/>
        <w:spacing w:line="228" w:lineRule="auto"/>
        <w:ind w:right="167"/>
      </w:pPr>
      <w:r>
        <w:rPr/>
        <w:t>Using the final capability matrix, the most common capabilities are multi-source data and integration/semantic </w:t>
      </w:r>
      <w:r>
        <w:rPr>
          <w:spacing w:val="-2"/>
        </w:rPr>
        <w:t>handling.</w:t>
      </w:r>
      <w:r>
        <w:rPr>
          <w:spacing w:val="-8"/>
        </w:rPr>
        <w:t> </w:t>
      </w:r>
      <w:r>
        <w:rPr>
          <w:spacing w:val="-2"/>
        </w:rPr>
        <w:t>Decision</w:t>
      </w:r>
      <w:r>
        <w:rPr>
          <w:spacing w:val="-4"/>
        </w:rPr>
        <w:t> </w:t>
      </w:r>
      <w:r>
        <w:rPr>
          <w:spacing w:val="-2"/>
        </w:rPr>
        <w:t>support</w:t>
      </w:r>
      <w:r>
        <w:rPr>
          <w:spacing w:val="-9"/>
        </w:rPr>
        <w:t> </w:t>
      </w:r>
      <w:r>
        <w:rPr>
          <w:spacing w:val="-2"/>
        </w:rPr>
        <w:t>is</w:t>
      </w:r>
      <w:r>
        <w:rPr>
          <w:spacing w:val="-7"/>
        </w:rPr>
        <w:t> </w:t>
      </w:r>
      <w:r>
        <w:rPr>
          <w:spacing w:val="-2"/>
        </w:rPr>
        <w:t>also</w:t>
      </w:r>
      <w:r>
        <w:rPr>
          <w:spacing w:val="-8"/>
        </w:rPr>
        <w:t> </w:t>
      </w:r>
      <w:r>
        <w:rPr>
          <w:spacing w:val="-2"/>
        </w:rPr>
        <w:t>frequent,</w:t>
      </w:r>
      <w:r>
        <w:rPr>
          <w:spacing w:val="-9"/>
        </w:rPr>
        <w:t> </w:t>
      </w:r>
      <w:r>
        <w:rPr>
          <w:spacing w:val="-2"/>
        </w:rPr>
        <w:t>reflecting</w:t>
      </w:r>
      <w:r>
        <w:rPr>
          <w:spacing w:val="-8"/>
        </w:rPr>
        <w:t> </w:t>
      </w:r>
      <w:r>
        <w:rPr>
          <w:spacing w:val="-2"/>
        </w:rPr>
        <w:t>the</w:t>
      </w:r>
      <w:r>
        <w:rPr>
          <w:spacing w:val="-5"/>
        </w:rPr>
        <w:t> </w:t>
      </w:r>
      <w:r>
        <w:rPr>
          <w:spacing w:val="-2"/>
        </w:rPr>
        <w:t>shift </w:t>
      </w:r>
      <w:r>
        <w:rPr/>
        <w:t>from static visualization toward planning, optimization, and operational</w:t>
      </w:r>
      <w:r>
        <w:rPr>
          <w:spacing w:val="-5"/>
        </w:rPr>
        <w:t> </w:t>
      </w:r>
      <w:r>
        <w:rPr/>
        <w:t>use.</w:t>
      </w:r>
      <w:r>
        <w:rPr>
          <w:spacing w:val="-2"/>
        </w:rPr>
        <w:t> </w:t>
      </w:r>
      <w:r>
        <w:rPr/>
        <w:t>AI/ML</w:t>
      </w:r>
      <w:r>
        <w:rPr>
          <w:spacing w:val="-2"/>
        </w:rPr>
        <w:t> </w:t>
      </w:r>
      <w:r>
        <w:rPr/>
        <w:t>appears</w:t>
      </w:r>
      <w:r>
        <w:rPr>
          <w:spacing w:val="-3"/>
        </w:rPr>
        <w:t> </w:t>
      </w:r>
      <w:r>
        <w:rPr/>
        <w:t>in</w:t>
      </w:r>
      <w:r>
        <w:rPr>
          <w:spacing w:val="-1"/>
        </w:rPr>
        <w:t> </w:t>
      </w:r>
      <w:r>
        <w:rPr/>
        <w:t>a</w:t>
      </w:r>
      <w:r>
        <w:rPr>
          <w:spacing w:val="-4"/>
        </w:rPr>
        <w:t> </w:t>
      </w:r>
      <w:r>
        <w:rPr/>
        <w:t>substantial</w:t>
      </w:r>
      <w:r>
        <w:rPr>
          <w:spacing w:val="-2"/>
        </w:rPr>
        <w:t> </w:t>
      </w:r>
      <w:r>
        <w:rPr/>
        <w:t>subset</w:t>
      </w:r>
      <w:r>
        <w:rPr>
          <w:spacing w:val="-4"/>
        </w:rPr>
        <w:t> </w:t>
      </w:r>
      <w:r>
        <w:rPr/>
        <w:t>of</w:t>
      </w:r>
      <w:r>
        <w:rPr>
          <w:spacing w:val="-2"/>
        </w:rPr>
        <w:t> </w:t>
      </w:r>
      <w:r>
        <w:rPr/>
        <w:t>the </w:t>
      </w:r>
      <w:r>
        <w:rPr>
          <w:spacing w:val="-2"/>
        </w:rPr>
        <w:t>studies,</w:t>
      </w:r>
      <w:r>
        <w:rPr>
          <w:spacing w:val="-7"/>
        </w:rPr>
        <w:t> </w:t>
      </w:r>
      <w:r>
        <w:rPr>
          <w:spacing w:val="-2"/>
        </w:rPr>
        <w:t>while</w:t>
      </w:r>
      <w:r>
        <w:rPr>
          <w:spacing w:val="-7"/>
        </w:rPr>
        <w:t> </w:t>
      </w:r>
      <w:r>
        <w:rPr>
          <w:spacing w:val="-2"/>
        </w:rPr>
        <w:t>prediction</w:t>
      </w:r>
      <w:r>
        <w:rPr>
          <w:spacing w:val="-5"/>
        </w:rPr>
        <w:t> </w:t>
      </w:r>
      <w:r>
        <w:rPr>
          <w:spacing w:val="-2"/>
        </w:rPr>
        <w:t>and</w:t>
      </w:r>
      <w:r>
        <w:rPr>
          <w:spacing w:val="-5"/>
        </w:rPr>
        <w:t> </w:t>
      </w:r>
      <w:r>
        <w:rPr>
          <w:spacing w:val="-2"/>
        </w:rPr>
        <w:t>simulation</w:t>
      </w:r>
      <w:r>
        <w:rPr>
          <w:spacing w:val="-5"/>
        </w:rPr>
        <w:t> </w:t>
      </w:r>
      <w:r>
        <w:rPr>
          <w:spacing w:val="-2"/>
        </w:rPr>
        <w:t>are</w:t>
      </w:r>
      <w:r>
        <w:rPr>
          <w:spacing w:val="-10"/>
        </w:rPr>
        <w:t> </w:t>
      </w:r>
      <w:r>
        <w:rPr>
          <w:spacing w:val="-2"/>
        </w:rPr>
        <w:t>present</w:t>
      </w:r>
      <w:r>
        <w:rPr>
          <w:spacing w:val="-8"/>
        </w:rPr>
        <w:t> </w:t>
      </w:r>
      <w:r>
        <w:rPr>
          <w:spacing w:val="-2"/>
        </w:rPr>
        <w:t>in</w:t>
      </w:r>
      <w:r>
        <w:rPr>
          <w:spacing w:val="-9"/>
        </w:rPr>
        <w:t> </w:t>
      </w:r>
      <w:r>
        <w:rPr>
          <w:spacing w:val="-2"/>
        </w:rPr>
        <w:t>roughly </w:t>
      </w:r>
      <w:r>
        <w:rPr/>
        <w:t>half of the corpus. Visualization is similarly common, reflecting the continued importance of 3D and immersive </w:t>
      </w:r>
      <w:r>
        <w:rPr>
          <w:spacing w:val="-2"/>
        </w:rPr>
        <w:t>representations.</w:t>
      </w:r>
    </w:p>
    <w:p>
      <w:pPr>
        <w:pStyle w:val="BodyText"/>
        <w:spacing w:line="228" w:lineRule="auto"/>
        <w:ind w:right="168"/>
      </w:pPr>
      <w:r>
        <w:rPr/>
        <w:t>The least common operational capability is physical actuation/control. Only a small number of studies in the selected</w:t>
      </w:r>
      <w:r>
        <w:rPr>
          <w:spacing w:val="-9"/>
        </w:rPr>
        <w:t> </w:t>
      </w:r>
      <w:r>
        <w:rPr/>
        <w:t>corpus</w:t>
      </w:r>
      <w:r>
        <w:rPr>
          <w:spacing w:val="-11"/>
        </w:rPr>
        <w:t> </w:t>
      </w:r>
      <w:r>
        <w:rPr/>
        <w:t>explicitly</w:t>
      </w:r>
      <w:r>
        <w:rPr>
          <w:spacing w:val="-9"/>
        </w:rPr>
        <w:t> </w:t>
      </w:r>
      <w:r>
        <w:rPr/>
        <w:t>demonstrate</w:t>
      </w:r>
      <w:r>
        <w:rPr>
          <w:spacing w:val="-7"/>
        </w:rPr>
        <w:t> </w:t>
      </w:r>
      <w:r>
        <w:rPr/>
        <w:t>a</w:t>
      </w:r>
      <w:r>
        <w:rPr>
          <w:spacing w:val="-10"/>
        </w:rPr>
        <w:t> </w:t>
      </w:r>
      <w:r>
        <w:rPr/>
        <w:t>link</w:t>
      </w:r>
      <w:r>
        <w:rPr>
          <w:spacing w:val="-9"/>
        </w:rPr>
        <w:t> </w:t>
      </w:r>
      <w:r>
        <w:rPr/>
        <w:t>from</w:t>
      </w:r>
      <w:r>
        <w:rPr>
          <w:spacing w:val="-9"/>
        </w:rPr>
        <w:t> </w:t>
      </w:r>
      <w:r>
        <w:rPr/>
        <w:t>the</w:t>
      </w:r>
      <w:r>
        <w:rPr>
          <w:spacing w:val="-7"/>
        </w:rPr>
        <w:t> </w:t>
      </w:r>
      <w:r>
        <w:rPr/>
        <w:t>twin</w:t>
      </w:r>
      <w:r>
        <w:rPr>
          <w:spacing w:val="-7"/>
        </w:rPr>
        <w:t> </w:t>
      </w:r>
      <w:r>
        <w:rPr/>
        <w:t>to physical control; the clearest example is the traffic-control work of Xu et al. [3]. Security/governance is even less consistently reported as a primary capability in the selected research</w:t>
      </w:r>
      <w:r>
        <w:rPr>
          <w:spacing w:val="-5"/>
        </w:rPr>
        <w:t> </w:t>
      </w:r>
      <w:r>
        <w:rPr/>
        <w:t>studies.</w:t>
      </w:r>
      <w:r>
        <w:rPr>
          <w:spacing w:val="-8"/>
        </w:rPr>
        <w:t> </w:t>
      </w:r>
      <w:r>
        <w:rPr/>
        <w:t>This</w:t>
      </w:r>
      <w:r>
        <w:rPr>
          <w:spacing w:val="-8"/>
        </w:rPr>
        <w:t> </w:t>
      </w:r>
      <w:r>
        <w:rPr/>
        <w:t>does</w:t>
      </w:r>
      <w:r>
        <w:rPr>
          <w:spacing w:val="-8"/>
        </w:rPr>
        <w:t> </w:t>
      </w:r>
      <w:r>
        <w:rPr/>
        <w:t>not</w:t>
      </w:r>
      <w:r>
        <w:rPr>
          <w:spacing w:val="-8"/>
        </w:rPr>
        <w:t> </w:t>
      </w:r>
      <w:r>
        <w:rPr/>
        <w:t>mean</w:t>
      </w:r>
      <w:r>
        <w:rPr>
          <w:spacing w:val="-6"/>
        </w:rPr>
        <w:t> </w:t>
      </w:r>
      <w:r>
        <w:rPr/>
        <w:t>security</w:t>
      </w:r>
      <w:r>
        <w:rPr>
          <w:spacing w:val="-7"/>
        </w:rPr>
        <w:t> </w:t>
      </w:r>
      <w:r>
        <w:rPr/>
        <w:t>is</w:t>
      </w:r>
      <w:r>
        <w:rPr>
          <w:spacing w:val="-6"/>
        </w:rPr>
        <w:t> </w:t>
      </w:r>
      <w:r>
        <w:rPr/>
        <w:t>unimportant; rather, it indicates that security, privacy, provenance, and governance</w:t>
      </w:r>
      <w:r>
        <w:rPr>
          <w:spacing w:val="13"/>
        </w:rPr>
        <w:t> </w:t>
      </w:r>
      <w:r>
        <w:rPr/>
        <w:t>are</w:t>
      </w:r>
      <w:r>
        <w:rPr>
          <w:spacing w:val="13"/>
        </w:rPr>
        <w:t> </w:t>
      </w:r>
      <w:r>
        <w:rPr/>
        <w:t>frequently</w:t>
      </w:r>
      <w:r>
        <w:rPr>
          <w:spacing w:val="15"/>
        </w:rPr>
        <w:t> </w:t>
      </w:r>
      <w:r>
        <w:rPr/>
        <w:t>treated</w:t>
      </w:r>
      <w:r>
        <w:rPr>
          <w:spacing w:val="14"/>
        </w:rPr>
        <w:t> </w:t>
      </w:r>
      <w:r>
        <w:rPr/>
        <w:t>as</w:t>
      </w:r>
      <w:r>
        <w:rPr>
          <w:spacing w:val="16"/>
        </w:rPr>
        <w:t> </w:t>
      </w:r>
      <w:r>
        <w:rPr/>
        <w:t>requirements</w:t>
      </w:r>
      <w:r>
        <w:rPr>
          <w:spacing w:val="12"/>
        </w:rPr>
        <w:t> </w:t>
      </w:r>
      <w:r>
        <w:rPr/>
        <w:t>or</w:t>
      </w:r>
      <w:r>
        <w:rPr>
          <w:spacing w:val="15"/>
        </w:rPr>
        <w:t> </w:t>
      </w:r>
      <w:r>
        <w:rPr>
          <w:spacing w:val="-2"/>
        </w:rPr>
        <w:t>future</w:t>
      </w:r>
    </w:p>
    <w:p>
      <w:pPr>
        <w:pStyle w:val="BodyText"/>
        <w:spacing w:after="0" w:line="228" w:lineRule="auto"/>
        <w:sectPr>
          <w:pgSz w:w="12240" w:h="15840"/>
          <w:pgMar w:top="1000" w:bottom="280" w:left="720" w:right="720"/>
          <w:cols w:num="2" w:equalWidth="0">
            <w:col w:w="5086" w:space="503"/>
            <w:col w:w="5211"/>
          </w:cols>
        </w:sectPr>
      </w:pPr>
    </w:p>
    <w:p>
      <w:pPr>
        <w:pStyle w:val="BodyText"/>
        <w:spacing w:line="228" w:lineRule="auto" w:before="80"/>
        <w:ind w:right="47" w:firstLine="0"/>
      </w:pPr>
      <w:r>
        <w:rPr/>
        <w:t>work instead of being integrated into the demonstrated technical contribution.</w:t>
      </w:r>
    </w:p>
    <w:p>
      <w:pPr>
        <w:pStyle w:val="BodyText"/>
        <w:spacing w:line="228" w:lineRule="auto"/>
        <w:ind w:right="41"/>
      </w:pPr>
      <w:r>
        <w:rPr/>
        <w:t>The quantitative pattern also exposes an important distinction between analytical intelligence and operational closure. Prediction and simulation can be well developed while actuation remains absent. Similarly, a platform can integrate many sources and provide visualization without demonstrating validated intervention. The comparative framework therefore prevents a high count of general capabilities from being interpreted as evidence of a fully closed-loop city twin.</w:t>
      </w:r>
    </w:p>
    <w:p>
      <w:pPr>
        <w:pStyle w:val="BodyText"/>
        <w:spacing w:line="228" w:lineRule="auto" w:before="59"/>
        <w:ind w:right="44"/>
      </w:pPr>
      <w:r>
        <w:rPr/>
        <w:t>The results should be interpreted as descriptive statistics of this selected 20-study corpus, not as prevalence estimates for</w:t>
      </w:r>
      <w:r>
        <w:rPr>
          <w:spacing w:val="-6"/>
        </w:rPr>
        <w:t> </w:t>
      </w:r>
      <w:r>
        <w:rPr/>
        <w:t>the</w:t>
      </w:r>
      <w:r>
        <w:rPr>
          <w:spacing w:val="-6"/>
        </w:rPr>
        <w:t> </w:t>
      </w:r>
      <w:r>
        <w:rPr/>
        <w:t>entire</w:t>
      </w:r>
      <w:r>
        <w:rPr>
          <w:spacing w:val="-4"/>
        </w:rPr>
        <w:t> </w:t>
      </w:r>
      <w:r>
        <w:rPr/>
        <w:t>Digital</w:t>
      </w:r>
      <w:r>
        <w:rPr>
          <w:spacing w:val="-6"/>
        </w:rPr>
        <w:t> </w:t>
      </w:r>
      <w:r>
        <w:rPr/>
        <w:t>Twin</w:t>
      </w:r>
      <w:r>
        <w:rPr>
          <w:spacing w:val="-6"/>
        </w:rPr>
        <w:t> </w:t>
      </w:r>
      <w:r>
        <w:rPr/>
        <w:t>field.</w:t>
      </w:r>
      <w:r>
        <w:rPr>
          <w:spacing w:val="-6"/>
        </w:rPr>
        <w:t> </w:t>
      </w:r>
      <w:r>
        <w:rPr/>
        <w:t>The</w:t>
      </w:r>
      <w:r>
        <w:rPr>
          <w:spacing w:val="-6"/>
        </w:rPr>
        <w:t> </w:t>
      </w:r>
      <w:r>
        <w:rPr/>
        <w:t>corpus</w:t>
      </w:r>
      <w:r>
        <w:rPr>
          <w:spacing w:val="-5"/>
        </w:rPr>
        <w:t> </w:t>
      </w:r>
      <w:r>
        <w:rPr/>
        <w:t>is</w:t>
      </w:r>
      <w:r>
        <w:rPr>
          <w:spacing w:val="-9"/>
        </w:rPr>
        <w:t> </w:t>
      </w:r>
      <w:r>
        <w:rPr/>
        <w:t>purposive</w:t>
      </w:r>
      <w:r>
        <w:rPr>
          <w:spacing w:val="-6"/>
        </w:rPr>
        <w:t> </w:t>
      </w:r>
      <w:r>
        <w:rPr/>
        <w:t>and application-focused, and its composition contains a strong mobility</w:t>
      </w:r>
      <w:r>
        <w:rPr>
          <w:spacing w:val="-13"/>
        </w:rPr>
        <w:t> </w:t>
      </w:r>
      <w:r>
        <w:rPr/>
        <w:t>and</w:t>
      </w:r>
      <w:r>
        <w:rPr>
          <w:spacing w:val="-11"/>
        </w:rPr>
        <w:t> </w:t>
      </w:r>
      <w:r>
        <w:rPr/>
        <w:t>architecture</w:t>
      </w:r>
      <w:r>
        <w:rPr>
          <w:spacing w:val="-13"/>
        </w:rPr>
        <w:t> </w:t>
      </w:r>
      <w:r>
        <w:rPr/>
        <w:t>component.</w:t>
      </w:r>
      <w:r>
        <w:rPr>
          <w:spacing w:val="-12"/>
        </w:rPr>
        <w:t> </w:t>
      </w:r>
      <w:r>
        <w:rPr/>
        <w:t>The</w:t>
      </w:r>
      <w:r>
        <w:rPr>
          <w:spacing w:val="-13"/>
        </w:rPr>
        <w:t> </w:t>
      </w:r>
      <w:r>
        <w:rPr/>
        <w:t>value</w:t>
      </w:r>
      <w:r>
        <w:rPr>
          <w:spacing w:val="-12"/>
        </w:rPr>
        <w:t> </w:t>
      </w:r>
      <w:r>
        <w:rPr/>
        <w:t>of</w:t>
      </w:r>
      <w:r>
        <w:rPr>
          <w:spacing w:val="-11"/>
        </w:rPr>
        <w:t> </w:t>
      </w:r>
      <w:r>
        <w:rPr/>
        <w:t>the</w:t>
      </w:r>
      <w:r>
        <w:rPr>
          <w:spacing w:val="-13"/>
        </w:rPr>
        <w:t> </w:t>
      </w:r>
      <w:r>
        <w:rPr/>
        <w:t>counts is therefore comparative: they reveal the capability distribution</w:t>
      </w:r>
      <w:r>
        <w:rPr>
          <w:spacing w:val="-5"/>
        </w:rPr>
        <w:t> </w:t>
      </w:r>
      <w:r>
        <w:rPr/>
        <w:t>inside</w:t>
      </w:r>
      <w:r>
        <w:rPr>
          <w:spacing w:val="-6"/>
        </w:rPr>
        <w:t> </w:t>
      </w:r>
      <w:r>
        <w:rPr/>
        <w:t>the</w:t>
      </w:r>
      <w:r>
        <w:rPr>
          <w:spacing w:val="-7"/>
        </w:rPr>
        <w:t> </w:t>
      </w:r>
      <w:r>
        <w:rPr/>
        <w:t>reviewed</w:t>
      </w:r>
      <w:r>
        <w:rPr>
          <w:spacing w:val="-5"/>
        </w:rPr>
        <w:t> </w:t>
      </w:r>
      <w:r>
        <w:rPr/>
        <w:t>set</w:t>
      </w:r>
      <w:r>
        <w:rPr>
          <w:spacing w:val="-8"/>
        </w:rPr>
        <w:t> </w:t>
      </w:r>
      <w:r>
        <w:rPr/>
        <w:t>and</w:t>
      </w:r>
      <w:r>
        <w:rPr>
          <w:spacing w:val="-7"/>
        </w:rPr>
        <w:t> </w:t>
      </w:r>
      <w:r>
        <w:rPr/>
        <w:t>provide</w:t>
      </w:r>
      <w:r>
        <w:rPr>
          <w:spacing w:val="-6"/>
        </w:rPr>
        <w:t> </w:t>
      </w:r>
      <w:r>
        <w:rPr/>
        <w:t>a</w:t>
      </w:r>
      <w:r>
        <w:rPr>
          <w:spacing w:val="-7"/>
        </w:rPr>
        <w:t> </w:t>
      </w:r>
      <w:r>
        <w:rPr/>
        <w:t>transparent basis for identifying gaps.</w:t>
      </w:r>
    </w:p>
    <w:p>
      <w:pPr>
        <w:pStyle w:val="BodyText"/>
        <w:spacing w:after="1"/>
        <w:ind w:left="0" w:firstLine="0"/>
        <w:jc w:val="left"/>
      </w:pPr>
    </w:p>
    <w:tbl>
      <w:tblPr>
        <w:tblW w:w="0" w:type="auto"/>
        <w:jc w:val="left"/>
        <w:tblInd w:w="38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2300"/>
        <w:gridCol w:w="2161"/>
      </w:tblGrid>
      <w:tr>
        <w:trPr>
          <w:trHeight w:val="129" w:hRule="atLeast"/>
        </w:trPr>
        <w:tc>
          <w:tcPr>
            <w:tcW w:w="2300" w:type="dxa"/>
          </w:tcPr>
          <w:p>
            <w:pPr>
              <w:pStyle w:val="TableParagraph"/>
              <w:spacing w:line="109" w:lineRule="exact"/>
              <w:ind w:left="9" w:right="3"/>
              <w:rPr>
                <w:b/>
                <w:sz w:val="13"/>
              </w:rPr>
            </w:pPr>
            <w:r>
              <w:rPr>
                <w:b/>
                <w:spacing w:val="-2"/>
                <w:sz w:val="13"/>
              </w:rPr>
              <w:t>Capability</w:t>
            </w:r>
          </w:p>
        </w:tc>
        <w:tc>
          <w:tcPr>
            <w:tcW w:w="2161" w:type="dxa"/>
          </w:tcPr>
          <w:p>
            <w:pPr>
              <w:pStyle w:val="TableParagraph"/>
              <w:spacing w:line="109" w:lineRule="exact"/>
              <w:ind w:left="9" w:right="4"/>
              <w:rPr>
                <w:b/>
                <w:sz w:val="13"/>
              </w:rPr>
            </w:pPr>
            <w:r>
              <w:rPr>
                <w:b/>
                <w:sz w:val="13"/>
              </w:rPr>
              <w:t>Coverage</w:t>
            </w:r>
            <w:r>
              <w:rPr>
                <w:b/>
                <w:spacing w:val="-2"/>
                <w:sz w:val="13"/>
              </w:rPr>
              <w:t> </w:t>
            </w:r>
            <w:r>
              <w:rPr>
                <w:b/>
                <w:sz w:val="13"/>
              </w:rPr>
              <w:t>of</w:t>
            </w:r>
            <w:r>
              <w:rPr>
                <w:b/>
                <w:spacing w:val="-2"/>
                <w:sz w:val="13"/>
              </w:rPr>
              <w:t> </w:t>
            </w:r>
            <w:r>
              <w:rPr>
                <w:b/>
                <w:sz w:val="13"/>
              </w:rPr>
              <w:t>20</w:t>
            </w:r>
            <w:r>
              <w:rPr>
                <w:b/>
                <w:spacing w:val="-1"/>
                <w:sz w:val="13"/>
              </w:rPr>
              <w:t> </w:t>
            </w:r>
            <w:r>
              <w:rPr>
                <w:b/>
                <w:spacing w:val="-2"/>
                <w:sz w:val="13"/>
              </w:rPr>
              <w:t>studies</w:t>
            </w:r>
          </w:p>
        </w:tc>
      </w:tr>
      <w:tr>
        <w:trPr>
          <w:trHeight w:val="117" w:hRule="atLeast"/>
        </w:trPr>
        <w:tc>
          <w:tcPr>
            <w:tcW w:w="2300" w:type="dxa"/>
          </w:tcPr>
          <w:p>
            <w:pPr>
              <w:pStyle w:val="TableParagraph"/>
              <w:spacing w:line="97" w:lineRule="exact"/>
              <w:ind w:left="9" w:right="6"/>
              <w:rPr>
                <w:sz w:val="12"/>
              </w:rPr>
            </w:pPr>
            <w:r>
              <w:rPr>
                <w:sz w:val="12"/>
              </w:rPr>
              <w:t>DS</w:t>
            </w:r>
            <w:r>
              <w:rPr>
                <w:spacing w:val="-4"/>
                <w:sz w:val="12"/>
              </w:rPr>
              <w:t> </w:t>
            </w:r>
            <w:r>
              <w:rPr>
                <w:sz w:val="12"/>
              </w:rPr>
              <w:t>Multi-source</w:t>
            </w:r>
            <w:r>
              <w:rPr>
                <w:spacing w:val="-3"/>
                <w:sz w:val="12"/>
              </w:rPr>
              <w:t> </w:t>
            </w:r>
            <w:r>
              <w:rPr>
                <w:spacing w:val="-4"/>
                <w:sz w:val="12"/>
              </w:rPr>
              <w:t>data</w:t>
            </w:r>
          </w:p>
        </w:tc>
        <w:tc>
          <w:tcPr>
            <w:tcW w:w="2161" w:type="dxa"/>
          </w:tcPr>
          <w:p>
            <w:pPr>
              <w:pStyle w:val="TableParagraph"/>
              <w:spacing w:line="97" w:lineRule="exact"/>
              <w:ind w:left="9" w:right="3"/>
              <w:rPr>
                <w:sz w:val="12"/>
              </w:rPr>
            </w:pPr>
            <w:r>
              <w:rPr>
                <w:sz w:val="12"/>
              </w:rPr>
              <w:t>19/20</w:t>
            </w:r>
            <w:r>
              <w:rPr>
                <w:spacing w:val="1"/>
                <w:sz w:val="12"/>
              </w:rPr>
              <w:t> </w:t>
            </w:r>
            <w:r>
              <w:rPr>
                <w:spacing w:val="-2"/>
                <w:sz w:val="12"/>
              </w:rPr>
              <w:t>(95%)</w:t>
            </w:r>
          </w:p>
        </w:tc>
      </w:tr>
      <w:tr>
        <w:trPr>
          <w:trHeight w:val="117" w:hRule="atLeast"/>
        </w:trPr>
        <w:tc>
          <w:tcPr>
            <w:tcW w:w="2300" w:type="dxa"/>
          </w:tcPr>
          <w:p>
            <w:pPr>
              <w:pStyle w:val="TableParagraph"/>
              <w:spacing w:line="97" w:lineRule="exact"/>
              <w:ind w:left="9" w:right="5"/>
              <w:rPr>
                <w:sz w:val="12"/>
              </w:rPr>
            </w:pPr>
            <w:r>
              <w:rPr>
                <w:sz w:val="12"/>
              </w:rPr>
              <w:t>RT</w:t>
            </w:r>
            <w:r>
              <w:rPr>
                <w:spacing w:val="-4"/>
                <w:sz w:val="12"/>
              </w:rPr>
              <w:t> </w:t>
            </w:r>
            <w:r>
              <w:rPr>
                <w:sz w:val="12"/>
              </w:rPr>
              <w:t>Real-</w:t>
            </w:r>
            <w:r>
              <w:rPr>
                <w:spacing w:val="-2"/>
                <w:sz w:val="12"/>
              </w:rPr>
              <w:t>time/update</w:t>
            </w:r>
          </w:p>
        </w:tc>
        <w:tc>
          <w:tcPr>
            <w:tcW w:w="2161" w:type="dxa"/>
          </w:tcPr>
          <w:p>
            <w:pPr>
              <w:pStyle w:val="TableParagraph"/>
              <w:spacing w:line="97" w:lineRule="exact"/>
              <w:ind w:left="9" w:right="3"/>
              <w:rPr>
                <w:sz w:val="12"/>
              </w:rPr>
            </w:pPr>
            <w:r>
              <w:rPr>
                <w:sz w:val="12"/>
              </w:rPr>
              <w:t>11/20</w:t>
            </w:r>
            <w:r>
              <w:rPr>
                <w:spacing w:val="1"/>
                <w:sz w:val="12"/>
              </w:rPr>
              <w:t> </w:t>
            </w:r>
            <w:r>
              <w:rPr>
                <w:spacing w:val="-2"/>
                <w:sz w:val="12"/>
              </w:rPr>
              <w:t>(55%)</w:t>
            </w:r>
          </w:p>
        </w:tc>
      </w:tr>
      <w:tr>
        <w:trPr>
          <w:trHeight w:val="117" w:hRule="atLeast"/>
        </w:trPr>
        <w:tc>
          <w:tcPr>
            <w:tcW w:w="2300" w:type="dxa"/>
          </w:tcPr>
          <w:p>
            <w:pPr>
              <w:pStyle w:val="TableParagraph"/>
              <w:spacing w:line="97" w:lineRule="exact"/>
              <w:ind w:left="9"/>
              <w:rPr>
                <w:sz w:val="12"/>
              </w:rPr>
            </w:pPr>
            <w:r>
              <w:rPr>
                <w:sz w:val="12"/>
              </w:rPr>
              <w:t>INT</w:t>
            </w:r>
            <w:r>
              <w:rPr>
                <w:spacing w:val="-1"/>
                <w:sz w:val="12"/>
              </w:rPr>
              <w:t> </w:t>
            </w:r>
            <w:r>
              <w:rPr>
                <w:spacing w:val="-2"/>
                <w:sz w:val="12"/>
              </w:rPr>
              <w:t>Integration/semantics</w:t>
            </w:r>
          </w:p>
        </w:tc>
        <w:tc>
          <w:tcPr>
            <w:tcW w:w="2161" w:type="dxa"/>
          </w:tcPr>
          <w:p>
            <w:pPr>
              <w:pStyle w:val="TableParagraph"/>
              <w:spacing w:line="97" w:lineRule="exact"/>
              <w:ind w:left="9" w:right="3"/>
              <w:rPr>
                <w:sz w:val="12"/>
              </w:rPr>
            </w:pPr>
            <w:r>
              <w:rPr>
                <w:sz w:val="12"/>
              </w:rPr>
              <w:t>19/20</w:t>
            </w:r>
            <w:r>
              <w:rPr>
                <w:spacing w:val="1"/>
                <w:sz w:val="12"/>
              </w:rPr>
              <w:t> </w:t>
            </w:r>
            <w:r>
              <w:rPr>
                <w:spacing w:val="-2"/>
                <w:sz w:val="12"/>
              </w:rPr>
              <w:t>(95%)</w:t>
            </w:r>
          </w:p>
        </w:tc>
      </w:tr>
      <w:tr>
        <w:trPr>
          <w:trHeight w:val="117" w:hRule="atLeast"/>
        </w:trPr>
        <w:tc>
          <w:tcPr>
            <w:tcW w:w="2300" w:type="dxa"/>
          </w:tcPr>
          <w:p>
            <w:pPr>
              <w:pStyle w:val="TableParagraph"/>
              <w:spacing w:line="97" w:lineRule="exact"/>
              <w:ind w:left="9" w:right="2"/>
              <w:rPr>
                <w:sz w:val="12"/>
              </w:rPr>
            </w:pPr>
            <w:r>
              <w:rPr>
                <w:spacing w:val="-2"/>
                <w:sz w:val="12"/>
              </w:rPr>
              <w:t>AI/ML</w:t>
            </w:r>
          </w:p>
        </w:tc>
        <w:tc>
          <w:tcPr>
            <w:tcW w:w="2161" w:type="dxa"/>
          </w:tcPr>
          <w:p>
            <w:pPr>
              <w:pStyle w:val="TableParagraph"/>
              <w:spacing w:line="97" w:lineRule="exact"/>
              <w:ind w:left="9" w:right="3"/>
              <w:rPr>
                <w:sz w:val="12"/>
              </w:rPr>
            </w:pPr>
            <w:r>
              <w:rPr>
                <w:sz w:val="12"/>
              </w:rPr>
              <w:t>12/20</w:t>
            </w:r>
            <w:r>
              <w:rPr>
                <w:spacing w:val="1"/>
                <w:sz w:val="12"/>
              </w:rPr>
              <w:t> </w:t>
            </w:r>
            <w:r>
              <w:rPr>
                <w:spacing w:val="-2"/>
                <w:sz w:val="12"/>
              </w:rPr>
              <w:t>(60%)</w:t>
            </w:r>
          </w:p>
        </w:tc>
      </w:tr>
      <w:tr>
        <w:trPr>
          <w:trHeight w:val="117" w:hRule="atLeast"/>
        </w:trPr>
        <w:tc>
          <w:tcPr>
            <w:tcW w:w="2300" w:type="dxa"/>
          </w:tcPr>
          <w:p>
            <w:pPr>
              <w:pStyle w:val="TableParagraph"/>
              <w:spacing w:line="97" w:lineRule="exact"/>
              <w:ind w:left="9" w:right="1"/>
              <w:rPr>
                <w:sz w:val="12"/>
              </w:rPr>
            </w:pPr>
            <w:r>
              <w:rPr>
                <w:sz w:val="12"/>
              </w:rPr>
              <w:t>PR </w:t>
            </w:r>
            <w:r>
              <w:rPr>
                <w:spacing w:val="-2"/>
                <w:sz w:val="12"/>
              </w:rPr>
              <w:t>Prediction</w:t>
            </w:r>
          </w:p>
        </w:tc>
        <w:tc>
          <w:tcPr>
            <w:tcW w:w="2161" w:type="dxa"/>
          </w:tcPr>
          <w:p>
            <w:pPr>
              <w:pStyle w:val="TableParagraph"/>
              <w:spacing w:line="97" w:lineRule="exact"/>
              <w:ind w:left="9" w:right="3"/>
              <w:rPr>
                <w:sz w:val="12"/>
              </w:rPr>
            </w:pPr>
            <w:r>
              <w:rPr>
                <w:sz w:val="12"/>
              </w:rPr>
              <w:t>10/20</w:t>
            </w:r>
            <w:r>
              <w:rPr>
                <w:spacing w:val="1"/>
                <w:sz w:val="12"/>
              </w:rPr>
              <w:t> </w:t>
            </w:r>
            <w:r>
              <w:rPr>
                <w:spacing w:val="-2"/>
                <w:sz w:val="12"/>
              </w:rPr>
              <w:t>(50%)</w:t>
            </w:r>
          </w:p>
        </w:tc>
      </w:tr>
      <w:tr>
        <w:trPr>
          <w:trHeight w:val="117" w:hRule="atLeast"/>
        </w:trPr>
        <w:tc>
          <w:tcPr>
            <w:tcW w:w="2300" w:type="dxa"/>
          </w:tcPr>
          <w:p>
            <w:pPr>
              <w:pStyle w:val="TableParagraph"/>
              <w:spacing w:line="97" w:lineRule="exact"/>
              <w:ind w:left="9" w:right="2"/>
              <w:rPr>
                <w:sz w:val="12"/>
              </w:rPr>
            </w:pPr>
            <w:r>
              <w:rPr>
                <w:sz w:val="12"/>
              </w:rPr>
              <w:t>SIM</w:t>
            </w:r>
            <w:r>
              <w:rPr>
                <w:spacing w:val="-1"/>
                <w:sz w:val="12"/>
              </w:rPr>
              <w:t> </w:t>
            </w:r>
            <w:r>
              <w:rPr>
                <w:spacing w:val="-2"/>
                <w:sz w:val="12"/>
              </w:rPr>
              <w:t>Simulation/scenario</w:t>
            </w:r>
          </w:p>
        </w:tc>
        <w:tc>
          <w:tcPr>
            <w:tcW w:w="2161" w:type="dxa"/>
          </w:tcPr>
          <w:p>
            <w:pPr>
              <w:pStyle w:val="TableParagraph"/>
              <w:spacing w:line="97" w:lineRule="exact"/>
              <w:ind w:left="9"/>
              <w:rPr>
                <w:sz w:val="12"/>
              </w:rPr>
            </w:pPr>
            <w:r>
              <w:rPr>
                <w:sz w:val="12"/>
              </w:rPr>
              <w:t>9/20</w:t>
            </w:r>
            <w:r>
              <w:rPr>
                <w:spacing w:val="1"/>
                <w:sz w:val="12"/>
              </w:rPr>
              <w:t> </w:t>
            </w:r>
            <w:r>
              <w:rPr>
                <w:spacing w:val="-2"/>
                <w:sz w:val="12"/>
              </w:rPr>
              <w:t>(45%)</w:t>
            </w:r>
          </w:p>
        </w:tc>
      </w:tr>
      <w:tr>
        <w:trPr>
          <w:trHeight w:val="117" w:hRule="atLeast"/>
        </w:trPr>
        <w:tc>
          <w:tcPr>
            <w:tcW w:w="2300" w:type="dxa"/>
          </w:tcPr>
          <w:p>
            <w:pPr>
              <w:pStyle w:val="TableParagraph"/>
              <w:spacing w:line="97" w:lineRule="exact"/>
              <w:ind w:left="9" w:right="4"/>
              <w:rPr>
                <w:sz w:val="12"/>
              </w:rPr>
            </w:pPr>
            <w:r>
              <w:rPr>
                <w:sz w:val="12"/>
              </w:rPr>
              <w:t>VIS</w:t>
            </w:r>
            <w:r>
              <w:rPr>
                <w:spacing w:val="-1"/>
                <w:sz w:val="12"/>
              </w:rPr>
              <w:t> </w:t>
            </w:r>
            <w:r>
              <w:rPr>
                <w:spacing w:val="-2"/>
                <w:sz w:val="12"/>
              </w:rPr>
              <w:t>Visualization/3D</w:t>
            </w:r>
          </w:p>
        </w:tc>
        <w:tc>
          <w:tcPr>
            <w:tcW w:w="2161" w:type="dxa"/>
          </w:tcPr>
          <w:p>
            <w:pPr>
              <w:pStyle w:val="TableParagraph"/>
              <w:spacing w:line="97" w:lineRule="exact"/>
              <w:ind w:left="9" w:right="3"/>
              <w:rPr>
                <w:sz w:val="12"/>
              </w:rPr>
            </w:pPr>
            <w:r>
              <w:rPr>
                <w:sz w:val="12"/>
              </w:rPr>
              <w:t>10/20</w:t>
            </w:r>
            <w:r>
              <w:rPr>
                <w:spacing w:val="1"/>
                <w:sz w:val="12"/>
              </w:rPr>
              <w:t> </w:t>
            </w:r>
            <w:r>
              <w:rPr>
                <w:spacing w:val="-2"/>
                <w:sz w:val="12"/>
              </w:rPr>
              <w:t>(50%)</w:t>
            </w:r>
          </w:p>
        </w:tc>
      </w:tr>
      <w:tr>
        <w:trPr>
          <w:trHeight w:val="117" w:hRule="atLeast"/>
        </w:trPr>
        <w:tc>
          <w:tcPr>
            <w:tcW w:w="2300" w:type="dxa"/>
          </w:tcPr>
          <w:p>
            <w:pPr>
              <w:pStyle w:val="TableParagraph"/>
              <w:spacing w:line="97" w:lineRule="exact"/>
              <w:ind w:left="9" w:right="4"/>
              <w:rPr>
                <w:sz w:val="12"/>
              </w:rPr>
            </w:pPr>
            <w:r>
              <w:rPr>
                <w:sz w:val="12"/>
              </w:rPr>
              <w:t>DEC</w:t>
            </w:r>
            <w:r>
              <w:rPr>
                <w:spacing w:val="-4"/>
                <w:sz w:val="12"/>
              </w:rPr>
              <w:t> </w:t>
            </w:r>
            <w:r>
              <w:rPr>
                <w:sz w:val="12"/>
              </w:rPr>
              <w:t>Decision</w:t>
            </w:r>
            <w:r>
              <w:rPr>
                <w:spacing w:val="-1"/>
                <w:sz w:val="12"/>
              </w:rPr>
              <w:t> </w:t>
            </w:r>
            <w:r>
              <w:rPr>
                <w:spacing w:val="-2"/>
                <w:sz w:val="12"/>
              </w:rPr>
              <w:t>support</w:t>
            </w:r>
          </w:p>
        </w:tc>
        <w:tc>
          <w:tcPr>
            <w:tcW w:w="2161" w:type="dxa"/>
          </w:tcPr>
          <w:p>
            <w:pPr>
              <w:pStyle w:val="TableParagraph"/>
              <w:spacing w:line="97" w:lineRule="exact"/>
              <w:ind w:left="9" w:right="3"/>
              <w:rPr>
                <w:sz w:val="12"/>
              </w:rPr>
            </w:pPr>
            <w:r>
              <w:rPr>
                <w:sz w:val="12"/>
              </w:rPr>
              <w:t>17/20</w:t>
            </w:r>
            <w:r>
              <w:rPr>
                <w:spacing w:val="1"/>
                <w:sz w:val="12"/>
              </w:rPr>
              <w:t> </w:t>
            </w:r>
            <w:r>
              <w:rPr>
                <w:spacing w:val="-2"/>
                <w:sz w:val="12"/>
              </w:rPr>
              <w:t>(85%)</w:t>
            </w:r>
          </w:p>
        </w:tc>
      </w:tr>
      <w:tr>
        <w:trPr>
          <w:trHeight w:val="117" w:hRule="atLeast"/>
        </w:trPr>
        <w:tc>
          <w:tcPr>
            <w:tcW w:w="2300" w:type="dxa"/>
          </w:tcPr>
          <w:p>
            <w:pPr>
              <w:pStyle w:val="TableParagraph"/>
              <w:spacing w:line="97" w:lineRule="exact"/>
              <w:ind w:left="9" w:right="2"/>
              <w:rPr>
                <w:sz w:val="12"/>
              </w:rPr>
            </w:pPr>
            <w:r>
              <w:rPr>
                <w:sz w:val="12"/>
              </w:rPr>
              <w:t>ACT</w:t>
            </w:r>
            <w:r>
              <w:rPr>
                <w:spacing w:val="-2"/>
                <w:sz w:val="12"/>
              </w:rPr>
              <w:t> </w:t>
            </w:r>
            <w:r>
              <w:rPr>
                <w:sz w:val="12"/>
              </w:rPr>
              <w:t>Physical</w:t>
            </w:r>
            <w:r>
              <w:rPr>
                <w:spacing w:val="-2"/>
                <w:sz w:val="12"/>
              </w:rPr>
              <w:t> actuation/control</w:t>
            </w:r>
          </w:p>
        </w:tc>
        <w:tc>
          <w:tcPr>
            <w:tcW w:w="2161" w:type="dxa"/>
          </w:tcPr>
          <w:p>
            <w:pPr>
              <w:pStyle w:val="TableParagraph"/>
              <w:spacing w:line="97" w:lineRule="exact"/>
              <w:ind w:left="9"/>
              <w:rPr>
                <w:sz w:val="12"/>
              </w:rPr>
            </w:pPr>
            <w:r>
              <w:rPr>
                <w:sz w:val="12"/>
              </w:rPr>
              <w:t>2/20</w:t>
            </w:r>
            <w:r>
              <w:rPr>
                <w:spacing w:val="1"/>
                <w:sz w:val="12"/>
              </w:rPr>
              <w:t> </w:t>
            </w:r>
            <w:r>
              <w:rPr>
                <w:spacing w:val="-2"/>
                <w:sz w:val="12"/>
              </w:rPr>
              <w:t>(10%)</w:t>
            </w:r>
          </w:p>
        </w:tc>
      </w:tr>
      <w:tr>
        <w:trPr>
          <w:trHeight w:val="117" w:hRule="atLeast"/>
        </w:trPr>
        <w:tc>
          <w:tcPr>
            <w:tcW w:w="2300" w:type="dxa"/>
          </w:tcPr>
          <w:p>
            <w:pPr>
              <w:pStyle w:val="TableParagraph"/>
              <w:spacing w:line="97" w:lineRule="exact"/>
              <w:ind w:left="9" w:right="4"/>
              <w:rPr>
                <w:sz w:val="12"/>
              </w:rPr>
            </w:pPr>
            <w:r>
              <w:rPr>
                <w:sz w:val="12"/>
              </w:rPr>
              <w:t>SC</w:t>
            </w:r>
            <w:r>
              <w:rPr>
                <w:spacing w:val="-2"/>
                <w:sz w:val="12"/>
              </w:rPr>
              <w:t> Scalable/distributed</w:t>
            </w:r>
          </w:p>
        </w:tc>
        <w:tc>
          <w:tcPr>
            <w:tcW w:w="2161" w:type="dxa"/>
          </w:tcPr>
          <w:p>
            <w:pPr>
              <w:pStyle w:val="TableParagraph"/>
              <w:spacing w:line="97" w:lineRule="exact"/>
              <w:ind w:left="9" w:right="3"/>
              <w:rPr>
                <w:sz w:val="12"/>
              </w:rPr>
            </w:pPr>
            <w:r>
              <w:rPr>
                <w:sz w:val="12"/>
              </w:rPr>
              <w:t>10/20</w:t>
            </w:r>
            <w:r>
              <w:rPr>
                <w:spacing w:val="1"/>
                <w:sz w:val="12"/>
              </w:rPr>
              <w:t> </w:t>
            </w:r>
            <w:r>
              <w:rPr>
                <w:spacing w:val="-2"/>
                <w:sz w:val="12"/>
              </w:rPr>
              <w:t>(50%)</w:t>
            </w:r>
          </w:p>
        </w:tc>
      </w:tr>
    </w:tbl>
    <w:p>
      <w:pPr>
        <w:spacing w:before="1"/>
        <w:ind w:left="398" w:right="269" w:firstLine="0"/>
        <w:jc w:val="center"/>
        <w:rPr>
          <w:sz w:val="15"/>
        </w:rPr>
      </w:pPr>
      <w:r>
        <w:rPr>
          <w:b/>
          <w:sz w:val="15"/>
        </w:rPr>
        <w:t>Table II. Quantitative capability coverage in the selected corpus.</w:t>
      </w:r>
      <w:r>
        <w:rPr>
          <w:b/>
          <w:spacing w:val="40"/>
          <w:sz w:val="15"/>
        </w:rPr>
        <w:t> </w:t>
      </w:r>
      <w:r>
        <w:rPr>
          <w:sz w:val="15"/>
        </w:rPr>
        <w:t>Note:</w:t>
      </w:r>
      <w:r>
        <w:rPr>
          <w:spacing w:val="-3"/>
          <w:sz w:val="15"/>
        </w:rPr>
        <w:t> </w:t>
      </w:r>
      <w:r>
        <w:rPr>
          <w:sz w:val="15"/>
        </w:rPr>
        <w:t>These</w:t>
      </w:r>
      <w:r>
        <w:rPr>
          <w:spacing w:val="-4"/>
          <w:sz w:val="15"/>
        </w:rPr>
        <w:t> </w:t>
      </w:r>
      <w:r>
        <w:rPr>
          <w:sz w:val="15"/>
        </w:rPr>
        <w:t>are</w:t>
      </w:r>
      <w:r>
        <w:rPr>
          <w:spacing w:val="-4"/>
          <w:sz w:val="15"/>
        </w:rPr>
        <w:t> </w:t>
      </w:r>
      <w:r>
        <w:rPr>
          <w:sz w:val="15"/>
        </w:rPr>
        <w:t>descriptive</w:t>
      </w:r>
      <w:r>
        <w:rPr>
          <w:spacing w:val="-6"/>
          <w:sz w:val="15"/>
        </w:rPr>
        <w:t> </w:t>
      </w:r>
      <w:r>
        <w:rPr>
          <w:sz w:val="15"/>
        </w:rPr>
        <w:t>statistics</w:t>
      </w:r>
      <w:r>
        <w:rPr>
          <w:spacing w:val="-3"/>
          <w:sz w:val="15"/>
        </w:rPr>
        <w:t> </w:t>
      </w:r>
      <w:r>
        <w:rPr>
          <w:sz w:val="15"/>
        </w:rPr>
        <w:t>of</w:t>
      </w:r>
      <w:r>
        <w:rPr>
          <w:spacing w:val="-4"/>
          <w:sz w:val="15"/>
        </w:rPr>
        <w:t> </w:t>
      </w:r>
      <w:r>
        <w:rPr>
          <w:sz w:val="15"/>
        </w:rPr>
        <w:t>the</w:t>
      </w:r>
      <w:r>
        <w:rPr>
          <w:spacing w:val="-4"/>
          <w:sz w:val="15"/>
        </w:rPr>
        <w:t> </w:t>
      </w:r>
      <w:r>
        <w:rPr>
          <w:sz w:val="15"/>
        </w:rPr>
        <w:t>selected</w:t>
      </w:r>
      <w:r>
        <w:rPr>
          <w:spacing w:val="-3"/>
          <w:sz w:val="15"/>
        </w:rPr>
        <w:t> </w:t>
      </w:r>
      <w:r>
        <w:rPr>
          <w:sz w:val="15"/>
        </w:rPr>
        <w:t>20-study</w:t>
      </w:r>
      <w:r>
        <w:rPr>
          <w:spacing w:val="-2"/>
          <w:sz w:val="15"/>
        </w:rPr>
        <w:t> </w:t>
      </w:r>
      <w:r>
        <w:rPr>
          <w:sz w:val="15"/>
        </w:rPr>
        <w:t>corpus,</w:t>
      </w:r>
      <w:r>
        <w:rPr>
          <w:spacing w:val="-4"/>
          <w:sz w:val="15"/>
        </w:rPr>
        <w:t> </w:t>
      </w:r>
      <w:r>
        <w:rPr>
          <w:sz w:val="15"/>
        </w:rPr>
        <w:t>not</w:t>
      </w:r>
      <w:r>
        <w:rPr>
          <w:spacing w:val="40"/>
          <w:sz w:val="15"/>
        </w:rPr>
        <w:t> </w:t>
      </w:r>
      <w:r>
        <w:rPr>
          <w:sz w:val="15"/>
        </w:rPr>
        <w:t>prevalence estimates for the entire urban Digital Twin literature.</w:t>
      </w:r>
    </w:p>
    <w:p>
      <w:pPr>
        <w:pStyle w:val="Heading1"/>
        <w:numPr>
          <w:ilvl w:val="0"/>
          <w:numId w:val="2"/>
        </w:numPr>
        <w:tabs>
          <w:tab w:pos="493" w:val="left" w:leader="none"/>
        </w:tabs>
        <w:spacing w:line="240" w:lineRule="auto" w:before="122" w:after="0"/>
        <w:ind w:left="172" w:right="78" w:firstLine="0"/>
        <w:jc w:val="left"/>
      </w:pPr>
      <w:r>
        <w:rPr/>
        <w:t>HOW</w:t>
      </w:r>
      <w:r>
        <w:rPr>
          <w:spacing w:val="-9"/>
        </w:rPr>
        <w:t> </w:t>
      </w:r>
      <w:r>
        <w:rPr/>
        <w:t>THIS</w:t>
      </w:r>
      <w:r>
        <w:rPr>
          <w:spacing w:val="-9"/>
        </w:rPr>
        <w:t> </w:t>
      </w:r>
      <w:r>
        <w:rPr/>
        <w:t>REVIEW</w:t>
      </w:r>
      <w:r>
        <w:rPr>
          <w:spacing w:val="-9"/>
        </w:rPr>
        <w:t> </w:t>
      </w:r>
      <w:r>
        <w:rPr/>
        <w:t>DIFFERS</w:t>
      </w:r>
      <w:r>
        <w:rPr>
          <w:spacing w:val="-9"/>
        </w:rPr>
        <w:t> </w:t>
      </w:r>
      <w:r>
        <w:rPr/>
        <w:t>FROM</w:t>
      </w:r>
      <w:r>
        <w:rPr>
          <w:spacing w:val="-9"/>
        </w:rPr>
        <w:t> </w:t>
      </w:r>
      <w:r>
        <w:rPr/>
        <w:t>EXISTING </w:t>
      </w:r>
      <w:r>
        <w:rPr>
          <w:spacing w:val="-2"/>
        </w:rPr>
        <w:t>REVIEWS</w:t>
      </w:r>
    </w:p>
    <w:p>
      <w:pPr>
        <w:pStyle w:val="BodyText"/>
        <w:spacing w:line="228" w:lineRule="auto" w:before="59"/>
        <w:ind w:right="38"/>
      </w:pPr>
      <w:r>
        <w:rPr/>
        <w:t>Existing reviews establish important foundations but use different</w:t>
      </w:r>
      <w:r>
        <w:rPr>
          <w:spacing w:val="-13"/>
        </w:rPr>
        <w:t> </w:t>
      </w:r>
      <w:r>
        <w:rPr/>
        <w:t>analytical</w:t>
      </w:r>
      <w:r>
        <w:rPr>
          <w:spacing w:val="-12"/>
        </w:rPr>
        <w:t> </w:t>
      </w:r>
      <w:r>
        <w:rPr/>
        <w:t>units</w:t>
      </w:r>
      <w:r>
        <w:rPr>
          <w:spacing w:val="-13"/>
        </w:rPr>
        <w:t> </w:t>
      </w:r>
      <w:r>
        <w:rPr/>
        <w:t>and</w:t>
      </w:r>
      <w:r>
        <w:rPr>
          <w:spacing w:val="-12"/>
        </w:rPr>
        <w:t> </w:t>
      </w:r>
      <w:r>
        <w:rPr/>
        <w:t>purposes.</w:t>
      </w:r>
      <w:r>
        <w:rPr>
          <w:spacing w:val="-13"/>
        </w:rPr>
        <w:t> </w:t>
      </w:r>
      <w:r>
        <w:rPr/>
        <w:t>Therias</w:t>
      </w:r>
      <w:r>
        <w:rPr>
          <w:spacing w:val="-12"/>
        </w:rPr>
        <w:t> </w:t>
      </w:r>
      <w:r>
        <w:rPr/>
        <w:t>and</w:t>
      </w:r>
      <w:r>
        <w:rPr>
          <w:spacing w:val="-13"/>
        </w:rPr>
        <w:t> </w:t>
      </w:r>
      <w:r>
        <w:rPr/>
        <w:t>Rafiee</w:t>
      </w:r>
      <w:r>
        <w:rPr>
          <w:spacing w:val="-12"/>
        </w:rPr>
        <w:t> </w:t>
      </w:r>
      <w:r>
        <w:rPr/>
        <w:t>[8] examine city Digital Twins through the lens of urban resilience</w:t>
      </w:r>
      <w:r>
        <w:rPr>
          <w:spacing w:val="-4"/>
        </w:rPr>
        <w:t> </w:t>
      </w:r>
      <w:r>
        <w:rPr/>
        <w:t>and</w:t>
      </w:r>
      <w:r>
        <w:rPr>
          <w:spacing w:val="-4"/>
        </w:rPr>
        <w:t> </w:t>
      </w:r>
      <w:r>
        <w:rPr/>
        <w:t>use</w:t>
      </w:r>
      <w:r>
        <w:rPr>
          <w:spacing w:val="-4"/>
        </w:rPr>
        <w:t> </w:t>
      </w:r>
      <w:r>
        <w:rPr/>
        <w:t>literature</w:t>
      </w:r>
      <w:r>
        <w:rPr>
          <w:spacing w:val="-4"/>
        </w:rPr>
        <w:t> </w:t>
      </w:r>
      <w:r>
        <w:rPr/>
        <w:t>plus</w:t>
      </w:r>
      <w:r>
        <w:rPr>
          <w:spacing w:val="-3"/>
        </w:rPr>
        <w:t> </w:t>
      </w:r>
      <w:r>
        <w:rPr/>
        <w:t>expert</w:t>
      </w:r>
      <w:r>
        <w:rPr>
          <w:spacing w:val="-5"/>
        </w:rPr>
        <w:t> </w:t>
      </w:r>
      <w:r>
        <w:rPr/>
        <w:t>interviews</w:t>
      </w:r>
      <w:r>
        <w:rPr>
          <w:spacing w:val="-5"/>
        </w:rPr>
        <w:t> </w:t>
      </w:r>
      <w:r>
        <w:rPr/>
        <w:t>to</w:t>
      </w:r>
      <w:r>
        <w:rPr>
          <w:spacing w:val="-2"/>
        </w:rPr>
        <w:t> </w:t>
      </w:r>
      <w:r>
        <w:rPr/>
        <w:t>explore understanding, future imagination, collaboration, and implementation requirements. Their focus is resilience-oriented rather than a capability-by-study quantitative </w:t>
      </w:r>
      <w:r>
        <w:rPr>
          <w:spacing w:val="-2"/>
        </w:rPr>
        <w:t>comparison.</w:t>
      </w:r>
    </w:p>
    <w:p>
      <w:pPr>
        <w:pStyle w:val="BodyText"/>
        <w:spacing w:line="228" w:lineRule="auto" w:before="61"/>
        <w:ind w:right="41"/>
      </w:pPr>
      <w:r>
        <w:rPr/>
        <w:t>The 2025 comprehensive review [9] provides broad coverage of smart-city domains and enabling technologies, including IoT, machine learning, cyber-physical systems, blockchain, transportation, water, energy, public safety, and </w:t>
      </w:r>
      <w:r>
        <w:rPr>
          <w:spacing w:val="-2"/>
        </w:rPr>
        <w:t>other</w:t>
      </w:r>
      <w:r>
        <w:rPr>
          <w:spacing w:val="-8"/>
        </w:rPr>
        <w:t> </w:t>
      </w:r>
      <w:r>
        <w:rPr>
          <w:spacing w:val="-2"/>
        </w:rPr>
        <w:t>domains.</w:t>
      </w:r>
      <w:r>
        <w:rPr>
          <w:spacing w:val="-8"/>
        </w:rPr>
        <w:t> </w:t>
      </w:r>
      <w:r>
        <w:rPr>
          <w:spacing w:val="-2"/>
        </w:rPr>
        <w:t>Its</w:t>
      </w:r>
      <w:r>
        <w:rPr>
          <w:spacing w:val="-7"/>
        </w:rPr>
        <w:t> </w:t>
      </w:r>
      <w:r>
        <w:rPr>
          <w:spacing w:val="-2"/>
        </w:rPr>
        <w:t>contribution</w:t>
      </w:r>
      <w:r>
        <w:rPr>
          <w:spacing w:val="-8"/>
        </w:rPr>
        <w:t> </w:t>
      </w:r>
      <w:r>
        <w:rPr>
          <w:spacing w:val="-2"/>
        </w:rPr>
        <w:t>is</w:t>
      </w:r>
      <w:r>
        <w:rPr>
          <w:spacing w:val="-7"/>
        </w:rPr>
        <w:t> </w:t>
      </w:r>
      <w:r>
        <w:rPr>
          <w:spacing w:val="-2"/>
        </w:rPr>
        <w:t>breadth</w:t>
      </w:r>
      <w:r>
        <w:rPr>
          <w:spacing w:val="-6"/>
        </w:rPr>
        <w:t> </w:t>
      </w:r>
      <w:r>
        <w:rPr>
          <w:spacing w:val="-2"/>
        </w:rPr>
        <w:t>across</w:t>
      </w:r>
      <w:r>
        <w:rPr>
          <w:spacing w:val="-10"/>
        </w:rPr>
        <w:t> </w:t>
      </w:r>
      <w:r>
        <w:rPr>
          <w:spacing w:val="-2"/>
        </w:rPr>
        <w:t>the</w:t>
      </w:r>
      <w:r>
        <w:rPr>
          <w:spacing w:val="-9"/>
        </w:rPr>
        <w:t> </w:t>
      </w:r>
      <w:r>
        <w:rPr>
          <w:spacing w:val="-2"/>
        </w:rPr>
        <w:t>smart-city </w:t>
      </w:r>
      <w:r>
        <w:rPr/>
        <w:t>landscape. The present review narrows the scope to 20 selected</w:t>
      </w:r>
      <w:r>
        <w:rPr>
          <w:spacing w:val="-3"/>
        </w:rPr>
        <w:t> </w:t>
      </w:r>
      <w:r>
        <w:rPr/>
        <w:t>research</w:t>
      </w:r>
      <w:r>
        <w:rPr>
          <w:spacing w:val="-2"/>
        </w:rPr>
        <w:t> </w:t>
      </w:r>
      <w:r>
        <w:rPr/>
        <w:t>studies</w:t>
      </w:r>
      <w:r>
        <w:rPr>
          <w:spacing w:val="-2"/>
        </w:rPr>
        <w:t> </w:t>
      </w:r>
      <w:r>
        <w:rPr/>
        <w:t>and</w:t>
      </w:r>
      <w:r>
        <w:rPr>
          <w:spacing w:val="-3"/>
        </w:rPr>
        <w:t> </w:t>
      </w:r>
      <w:r>
        <w:rPr/>
        <w:t>applies</w:t>
      </w:r>
      <w:r>
        <w:rPr>
          <w:spacing w:val="-5"/>
        </w:rPr>
        <w:t> </w:t>
      </w:r>
      <w:r>
        <w:rPr/>
        <w:t>one</w:t>
      </w:r>
      <w:r>
        <w:rPr>
          <w:spacing w:val="-2"/>
        </w:rPr>
        <w:t> </w:t>
      </w:r>
      <w:r>
        <w:rPr/>
        <w:t>common</w:t>
      </w:r>
      <w:r>
        <w:rPr>
          <w:spacing w:val="-2"/>
        </w:rPr>
        <w:t> </w:t>
      </w:r>
      <w:r>
        <w:rPr/>
        <w:t>capability code to each study.</w:t>
      </w:r>
    </w:p>
    <w:p>
      <w:pPr>
        <w:pStyle w:val="BodyText"/>
        <w:spacing w:line="228" w:lineRule="auto"/>
        <w:ind w:right="39"/>
      </w:pPr>
      <w:r>
        <w:rPr/>
        <w:t>Yessef et al. [10] provide the closest methodological comparison. Their review introduces an implementation-</w:t>
      </w:r>
      <w:r>
        <w:rPr>
          <w:spacing w:val="-2"/>
        </w:rPr>
        <w:t>oriented</w:t>
      </w:r>
      <w:r>
        <w:rPr>
          <w:spacing w:val="-3"/>
        </w:rPr>
        <w:t> </w:t>
      </w:r>
      <w:r>
        <w:rPr>
          <w:spacing w:val="-2"/>
        </w:rPr>
        <w:t>capability</w:t>
      </w:r>
      <w:r>
        <w:rPr>
          <w:spacing w:val="-3"/>
        </w:rPr>
        <w:t> </w:t>
      </w:r>
      <w:r>
        <w:rPr>
          <w:spacing w:val="-2"/>
        </w:rPr>
        <w:t>pipeline,</w:t>
      </w:r>
      <w:r>
        <w:rPr>
          <w:spacing w:val="-4"/>
        </w:rPr>
        <w:t> </w:t>
      </w:r>
      <w:r>
        <w:rPr>
          <w:spacing w:val="-2"/>
        </w:rPr>
        <w:t>measurable</w:t>
      </w:r>
      <w:r>
        <w:rPr>
          <w:spacing w:val="-4"/>
        </w:rPr>
        <w:t> </w:t>
      </w:r>
      <w:r>
        <w:rPr>
          <w:spacing w:val="-2"/>
        </w:rPr>
        <w:t>engineering</w:t>
      </w:r>
      <w:r>
        <w:rPr>
          <w:spacing w:val="-3"/>
        </w:rPr>
        <w:t> </w:t>
      </w:r>
      <w:r>
        <w:rPr>
          <w:spacing w:val="-2"/>
        </w:rPr>
        <w:t>targets,</w:t>
      </w:r>
      <w:r>
        <w:rPr>
          <w:spacing w:val="-4"/>
        </w:rPr>
        <w:t> </w:t>
      </w:r>
      <w:r>
        <w:rPr>
          <w:spacing w:val="-2"/>
        </w:rPr>
        <w:t>a </w:t>
      </w:r>
      <w:r>
        <w:rPr/>
        <w:t>capability/use-case matrix, and a Digital-Twin Implementation Readiness Level. Those elements are </w:t>
      </w:r>
      <w:r>
        <w:rPr>
          <w:spacing w:val="-2"/>
        </w:rPr>
        <w:t>valuable</w:t>
      </w:r>
      <w:r>
        <w:rPr>
          <w:spacing w:val="-5"/>
        </w:rPr>
        <w:t> </w:t>
      </w:r>
      <w:r>
        <w:rPr>
          <w:spacing w:val="-2"/>
        </w:rPr>
        <w:t>established</w:t>
      </w:r>
      <w:r>
        <w:rPr>
          <w:spacing w:val="-5"/>
        </w:rPr>
        <w:t> </w:t>
      </w:r>
      <w:r>
        <w:rPr>
          <w:spacing w:val="-2"/>
        </w:rPr>
        <w:t>contributions.</w:t>
      </w:r>
      <w:r>
        <w:rPr>
          <w:spacing w:val="-5"/>
        </w:rPr>
        <w:t> </w:t>
      </w:r>
      <w:r>
        <w:rPr>
          <w:spacing w:val="-2"/>
        </w:rPr>
        <w:t>The</w:t>
      </w:r>
      <w:r>
        <w:rPr>
          <w:spacing w:val="-5"/>
        </w:rPr>
        <w:t> </w:t>
      </w:r>
      <w:r>
        <w:rPr>
          <w:spacing w:val="-2"/>
        </w:rPr>
        <w:t>present</w:t>
      </w:r>
      <w:r>
        <w:rPr>
          <w:spacing w:val="-6"/>
        </w:rPr>
        <w:t> </w:t>
      </w:r>
      <w:r>
        <w:rPr>
          <w:spacing w:val="-2"/>
        </w:rPr>
        <w:t>paper</w:t>
      </w:r>
      <w:r>
        <w:rPr>
          <w:spacing w:val="-4"/>
        </w:rPr>
        <w:t> </w:t>
      </w:r>
      <w:r>
        <w:rPr>
          <w:spacing w:val="-2"/>
        </w:rPr>
        <w:t>does</w:t>
      </w:r>
      <w:r>
        <w:rPr>
          <w:spacing w:val="-6"/>
        </w:rPr>
        <w:t> </w:t>
      </w:r>
      <w:r>
        <w:rPr>
          <w:spacing w:val="-2"/>
        </w:rPr>
        <w:t>not </w:t>
      </w:r>
      <w:r>
        <w:rPr/>
        <w:t>reproduce</w:t>
      </w:r>
      <w:r>
        <w:rPr>
          <w:spacing w:val="-13"/>
        </w:rPr>
        <w:t> </w:t>
      </w:r>
      <w:r>
        <w:rPr/>
        <w:t>them</w:t>
      </w:r>
      <w:r>
        <w:rPr>
          <w:spacing w:val="-12"/>
        </w:rPr>
        <w:t> </w:t>
      </w:r>
      <w:r>
        <w:rPr/>
        <w:t>as</w:t>
      </w:r>
      <w:r>
        <w:rPr>
          <w:spacing w:val="-13"/>
        </w:rPr>
        <w:t> </w:t>
      </w:r>
      <w:r>
        <w:rPr/>
        <w:t>original</w:t>
      </w:r>
      <w:r>
        <w:rPr>
          <w:spacing w:val="-12"/>
        </w:rPr>
        <w:t> </w:t>
      </w:r>
      <w:r>
        <w:rPr/>
        <w:t>ideas.</w:t>
      </w:r>
      <w:r>
        <w:rPr>
          <w:spacing w:val="-13"/>
        </w:rPr>
        <w:t> </w:t>
      </w:r>
      <w:r>
        <w:rPr/>
        <w:t>Instead,</w:t>
      </w:r>
      <w:r>
        <w:rPr>
          <w:spacing w:val="-12"/>
        </w:rPr>
        <w:t> </w:t>
      </w:r>
      <w:r>
        <w:rPr/>
        <w:t>it</w:t>
      </w:r>
      <w:r>
        <w:rPr>
          <w:spacing w:val="-13"/>
        </w:rPr>
        <w:t> </w:t>
      </w:r>
      <w:r>
        <w:rPr/>
        <w:t>uses</w:t>
      </w:r>
      <w:r>
        <w:rPr>
          <w:spacing w:val="-12"/>
        </w:rPr>
        <w:t> </w:t>
      </w:r>
      <w:r>
        <w:rPr/>
        <w:t>a</w:t>
      </w:r>
      <w:r>
        <w:rPr>
          <w:spacing w:val="-13"/>
        </w:rPr>
        <w:t> </w:t>
      </w:r>
      <w:r>
        <w:rPr/>
        <w:t>study-level capability</w:t>
      </w:r>
      <w:r>
        <w:rPr>
          <w:spacing w:val="-11"/>
        </w:rPr>
        <w:t> </w:t>
      </w:r>
      <w:r>
        <w:rPr/>
        <w:t>matrix</w:t>
      </w:r>
      <w:r>
        <w:rPr>
          <w:spacing w:val="-10"/>
        </w:rPr>
        <w:t> </w:t>
      </w:r>
      <w:r>
        <w:rPr/>
        <w:t>to</w:t>
      </w:r>
      <w:r>
        <w:rPr>
          <w:spacing w:val="-10"/>
        </w:rPr>
        <w:t> </w:t>
      </w:r>
      <w:r>
        <w:rPr/>
        <w:t>compare</w:t>
      </w:r>
      <w:r>
        <w:rPr>
          <w:spacing w:val="-11"/>
        </w:rPr>
        <w:t> </w:t>
      </w:r>
      <w:r>
        <w:rPr/>
        <w:t>the</w:t>
      </w:r>
      <w:r>
        <w:rPr>
          <w:spacing w:val="-11"/>
        </w:rPr>
        <w:t> </w:t>
      </w:r>
      <w:r>
        <w:rPr/>
        <w:t>selected</w:t>
      </w:r>
      <w:r>
        <w:rPr>
          <w:spacing w:val="-12"/>
        </w:rPr>
        <w:t> </w:t>
      </w:r>
      <w:r>
        <w:rPr/>
        <w:t>research</w:t>
      </w:r>
      <w:r>
        <w:rPr>
          <w:spacing w:val="-12"/>
        </w:rPr>
        <w:t> </w:t>
      </w:r>
      <w:r>
        <w:rPr/>
        <w:t>papers</w:t>
      </w:r>
      <w:r>
        <w:rPr>
          <w:spacing w:val="-13"/>
        </w:rPr>
        <w:t> </w:t>
      </w:r>
      <w:r>
        <w:rPr/>
        <w:t>and quantify which capabilities are actually demonstrated in the </w:t>
      </w:r>
      <w:r>
        <w:rPr>
          <w:spacing w:val="-2"/>
        </w:rPr>
        <w:t>corpus.</w:t>
      </w:r>
    </w:p>
    <w:p>
      <w:pPr>
        <w:pStyle w:val="BodyText"/>
        <w:spacing w:line="228" w:lineRule="auto" w:before="80"/>
        <w:ind w:right="166"/>
      </w:pPr>
      <w:r>
        <w:rPr/>
        <w:br w:type="column"/>
      </w:r>
      <w:r>
        <w:rPr>
          <w:spacing w:val="-2"/>
        </w:rPr>
        <w:t>The</w:t>
      </w:r>
      <w:r>
        <w:rPr>
          <w:spacing w:val="-4"/>
        </w:rPr>
        <w:t> </w:t>
      </w:r>
      <w:r>
        <w:rPr>
          <w:spacing w:val="-2"/>
        </w:rPr>
        <w:t>resulting distinction is</w:t>
      </w:r>
      <w:r>
        <w:rPr>
          <w:spacing w:val="-5"/>
        </w:rPr>
        <w:t> </w:t>
      </w:r>
      <w:r>
        <w:rPr>
          <w:spacing w:val="-2"/>
        </w:rPr>
        <w:t>therefore</w:t>
      </w:r>
      <w:r>
        <w:rPr>
          <w:spacing w:val="-4"/>
        </w:rPr>
        <w:t> </w:t>
      </w:r>
      <w:r>
        <w:rPr>
          <w:spacing w:val="-2"/>
        </w:rPr>
        <w:t>threefold:</w:t>
      </w:r>
      <w:r>
        <w:rPr>
          <w:spacing w:val="-4"/>
        </w:rPr>
        <w:t> </w:t>
      </w:r>
      <w:r>
        <w:rPr>
          <w:spacing w:val="-2"/>
        </w:rPr>
        <w:t>(1)</w:t>
      </w:r>
      <w:r>
        <w:rPr>
          <w:spacing w:val="-4"/>
        </w:rPr>
        <w:t> </w:t>
      </w:r>
      <w:r>
        <w:rPr>
          <w:spacing w:val="-2"/>
        </w:rPr>
        <w:t>the</w:t>
      </w:r>
      <w:r>
        <w:rPr>
          <w:spacing w:val="-4"/>
        </w:rPr>
        <w:t> </w:t>
      </w:r>
      <w:r>
        <w:rPr>
          <w:spacing w:val="-2"/>
        </w:rPr>
        <w:t>unit </w:t>
      </w:r>
      <w:r>
        <w:rPr/>
        <w:t>of analysis is the individual research study; (2) the primary output</w:t>
      </w:r>
      <w:r>
        <w:rPr>
          <w:spacing w:val="-8"/>
        </w:rPr>
        <w:t> </w:t>
      </w:r>
      <w:r>
        <w:rPr/>
        <w:t>is</w:t>
      </w:r>
      <w:r>
        <w:rPr>
          <w:spacing w:val="-8"/>
        </w:rPr>
        <w:t> </w:t>
      </w:r>
      <w:r>
        <w:rPr/>
        <w:t>a</w:t>
      </w:r>
      <w:r>
        <w:rPr>
          <w:spacing w:val="-7"/>
        </w:rPr>
        <w:t> </w:t>
      </w:r>
      <w:r>
        <w:rPr/>
        <w:t>transparent</w:t>
      </w:r>
      <w:r>
        <w:rPr>
          <w:spacing w:val="-8"/>
        </w:rPr>
        <w:t> </w:t>
      </w:r>
      <w:r>
        <w:rPr/>
        <w:t>capability-by-study</w:t>
      </w:r>
      <w:r>
        <w:rPr>
          <w:spacing w:val="-9"/>
        </w:rPr>
        <w:t> </w:t>
      </w:r>
      <w:r>
        <w:rPr/>
        <w:t>coding</w:t>
      </w:r>
      <w:r>
        <w:rPr>
          <w:spacing w:val="-6"/>
        </w:rPr>
        <w:t> </w:t>
      </w:r>
      <w:r>
        <w:rPr/>
        <w:t>matrix</w:t>
      </w:r>
      <w:r>
        <w:rPr>
          <w:spacing w:val="-7"/>
        </w:rPr>
        <w:t> </w:t>
      </w:r>
      <w:r>
        <w:rPr/>
        <w:t>and numerical coverage summary; and (3) the research gap is expressed as missing capability combinations and under-demonstrated operational functions rather than as another generic Digital Twin lifecycle. This positioning gives the review a specific comparative contribution while respecting prior frameworks.</w:t>
      </w:r>
    </w:p>
    <w:p>
      <w:pPr>
        <w:pStyle w:val="BodyText"/>
        <w:spacing w:before="180"/>
        <w:ind w:left="0" w:firstLine="0"/>
        <w:jc w:val="left"/>
      </w:pPr>
    </w:p>
    <w:p>
      <w:pPr>
        <w:pStyle w:val="Heading1"/>
        <w:numPr>
          <w:ilvl w:val="0"/>
          <w:numId w:val="2"/>
        </w:numPr>
        <w:tabs>
          <w:tab w:pos="566" w:val="left" w:leader="none"/>
        </w:tabs>
        <w:spacing w:line="240" w:lineRule="auto" w:before="0" w:after="0"/>
        <w:ind w:left="172" w:right="365" w:firstLine="0"/>
        <w:jc w:val="left"/>
      </w:pPr>
      <w:r>
        <w:rPr/>
        <w:t>RESEARCH</w:t>
      </w:r>
      <w:r>
        <w:rPr>
          <w:spacing w:val="-11"/>
        </w:rPr>
        <w:t> </w:t>
      </w:r>
      <w:r>
        <w:rPr/>
        <w:t>GAPS</w:t>
      </w:r>
      <w:r>
        <w:rPr>
          <w:spacing w:val="-12"/>
        </w:rPr>
        <w:t> </w:t>
      </w:r>
      <w:r>
        <w:rPr/>
        <w:t>AND</w:t>
      </w:r>
      <w:r>
        <w:rPr>
          <w:spacing w:val="-11"/>
        </w:rPr>
        <w:t> </w:t>
      </w:r>
      <w:r>
        <w:rPr/>
        <w:t>EVIDENCE-DERIVED </w:t>
      </w:r>
      <w:r>
        <w:rPr>
          <w:spacing w:val="-2"/>
        </w:rPr>
        <w:t>SYNTHESIS</w:t>
      </w:r>
    </w:p>
    <w:p>
      <w:pPr>
        <w:pStyle w:val="BodyText"/>
        <w:spacing w:line="228" w:lineRule="auto" w:before="61"/>
        <w:ind w:right="168"/>
      </w:pPr>
      <w:r>
        <w:rPr/>
        <w:t>Four</w:t>
      </w:r>
      <w:r>
        <w:rPr>
          <w:spacing w:val="-13"/>
        </w:rPr>
        <w:t> </w:t>
      </w:r>
      <w:r>
        <w:rPr/>
        <w:t>gaps</w:t>
      </w:r>
      <w:r>
        <w:rPr>
          <w:spacing w:val="-12"/>
        </w:rPr>
        <w:t> </w:t>
      </w:r>
      <w:r>
        <w:rPr/>
        <w:t>become</w:t>
      </w:r>
      <w:r>
        <w:rPr>
          <w:spacing w:val="-13"/>
        </w:rPr>
        <w:t> </w:t>
      </w:r>
      <w:r>
        <w:rPr/>
        <w:t>particularly</w:t>
      </w:r>
      <w:r>
        <w:rPr>
          <w:spacing w:val="-12"/>
        </w:rPr>
        <w:t> </w:t>
      </w:r>
      <w:r>
        <w:rPr/>
        <w:t>clear</w:t>
      </w:r>
      <w:r>
        <w:rPr>
          <w:spacing w:val="-13"/>
        </w:rPr>
        <w:t> </w:t>
      </w:r>
      <w:r>
        <w:rPr/>
        <w:t>from</w:t>
      </w:r>
      <w:r>
        <w:rPr>
          <w:spacing w:val="-12"/>
        </w:rPr>
        <w:t> </w:t>
      </w:r>
      <w:r>
        <w:rPr/>
        <w:t>the</w:t>
      </w:r>
      <w:r>
        <w:rPr>
          <w:spacing w:val="-13"/>
        </w:rPr>
        <w:t> </w:t>
      </w:r>
      <w:r>
        <w:rPr/>
        <w:t>comparison. </w:t>
      </w:r>
      <w:r>
        <w:rPr>
          <w:spacing w:val="-2"/>
        </w:rPr>
        <w:t>First,</w:t>
      </w:r>
      <w:r>
        <w:rPr>
          <w:spacing w:val="-4"/>
        </w:rPr>
        <w:t> </w:t>
      </w:r>
      <w:r>
        <w:rPr>
          <w:spacing w:val="-2"/>
        </w:rPr>
        <w:t>interoperability</w:t>
      </w:r>
      <w:r>
        <w:rPr>
          <w:spacing w:val="-5"/>
        </w:rPr>
        <w:t> </w:t>
      </w:r>
      <w:r>
        <w:rPr>
          <w:spacing w:val="-2"/>
        </w:rPr>
        <w:t>is</w:t>
      </w:r>
      <w:r>
        <w:rPr>
          <w:spacing w:val="-5"/>
        </w:rPr>
        <w:t> </w:t>
      </w:r>
      <w:r>
        <w:rPr>
          <w:spacing w:val="-2"/>
        </w:rPr>
        <w:t>still</w:t>
      </w:r>
      <w:r>
        <w:rPr>
          <w:spacing w:val="-7"/>
        </w:rPr>
        <w:t> </w:t>
      </w:r>
      <w:r>
        <w:rPr>
          <w:spacing w:val="-2"/>
        </w:rPr>
        <w:t>uneven.</w:t>
      </w:r>
      <w:r>
        <w:rPr>
          <w:spacing w:val="-4"/>
        </w:rPr>
        <w:t> </w:t>
      </w:r>
      <w:r>
        <w:rPr>
          <w:spacing w:val="-2"/>
        </w:rPr>
        <w:t>Studies</w:t>
      </w:r>
      <w:r>
        <w:rPr>
          <w:spacing w:val="-7"/>
        </w:rPr>
        <w:t> </w:t>
      </w:r>
      <w:r>
        <w:rPr>
          <w:spacing w:val="-2"/>
        </w:rPr>
        <w:t>use</w:t>
      </w:r>
      <w:r>
        <w:rPr>
          <w:spacing w:val="-6"/>
        </w:rPr>
        <w:t> </w:t>
      </w:r>
      <w:r>
        <w:rPr>
          <w:spacing w:val="-2"/>
        </w:rPr>
        <w:t>different</w:t>
      </w:r>
      <w:r>
        <w:rPr>
          <w:spacing w:val="-7"/>
        </w:rPr>
        <w:t> </w:t>
      </w:r>
      <w:r>
        <w:rPr>
          <w:spacing w:val="-2"/>
        </w:rPr>
        <w:t>data </w:t>
      </w:r>
      <w:r>
        <w:rPr/>
        <w:t>models, domain representations, IoT platforms, and application-specific interfaces. Semantic work such as [16] </w:t>
      </w:r>
      <w:r>
        <w:rPr>
          <w:spacing w:val="-2"/>
        </w:rPr>
        <w:t>addresses</w:t>
      </w:r>
      <w:r>
        <w:rPr>
          <w:spacing w:val="-7"/>
        </w:rPr>
        <w:t> </w:t>
      </w:r>
      <w:r>
        <w:rPr>
          <w:spacing w:val="-2"/>
        </w:rPr>
        <w:t>part</w:t>
      </w:r>
      <w:r>
        <w:rPr>
          <w:spacing w:val="-7"/>
        </w:rPr>
        <w:t> </w:t>
      </w:r>
      <w:r>
        <w:rPr>
          <w:spacing w:val="-2"/>
        </w:rPr>
        <w:t>of</w:t>
      </w:r>
      <w:r>
        <w:rPr>
          <w:spacing w:val="-6"/>
        </w:rPr>
        <w:t> </w:t>
      </w:r>
      <w:r>
        <w:rPr>
          <w:spacing w:val="-2"/>
        </w:rPr>
        <w:t>this</w:t>
      </w:r>
      <w:r>
        <w:rPr>
          <w:spacing w:val="-7"/>
        </w:rPr>
        <w:t> </w:t>
      </w:r>
      <w:r>
        <w:rPr>
          <w:spacing w:val="-2"/>
        </w:rPr>
        <w:t>problem,</w:t>
      </w:r>
      <w:r>
        <w:rPr>
          <w:spacing w:val="-6"/>
        </w:rPr>
        <w:t> </w:t>
      </w:r>
      <w:r>
        <w:rPr>
          <w:spacing w:val="-2"/>
        </w:rPr>
        <w:t>but</w:t>
      </w:r>
      <w:r>
        <w:rPr>
          <w:spacing w:val="-4"/>
        </w:rPr>
        <w:t> </w:t>
      </w:r>
      <w:r>
        <w:rPr>
          <w:spacing w:val="-2"/>
        </w:rPr>
        <w:t>semantic</w:t>
      </w:r>
      <w:r>
        <w:rPr>
          <w:spacing w:val="-6"/>
        </w:rPr>
        <w:t> </w:t>
      </w:r>
      <w:r>
        <w:rPr>
          <w:spacing w:val="-2"/>
        </w:rPr>
        <w:t>consistency</w:t>
      </w:r>
      <w:r>
        <w:rPr>
          <w:spacing w:val="-6"/>
        </w:rPr>
        <w:t> </w:t>
      </w:r>
      <w:r>
        <w:rPr>
          <w:spacing w:val="-2"/>
        </w:rPr>
        <w:t>is</w:t>
      </w:r>
      <w:r>
        <w:rPr>
          <w:spacing w:val="-7"/>
        </w:rPr>
        <w:t> </w:t>
      </w:r>
      <w:r>
        <w:rPr>
          <w:spacing w:val="-2"/>
        </w:rPr>
        <w:t>not </w:t>
      </w:r>
      <w:r>
        <w:rPr/>
        <w:t>uniformly integrated into real-time operational platforms. A future UDT should therefore treat shared urban entities and machine-readable semantics</w:t>
      </w:r>
      <w:r>
        <w:rPr>
          <w:spacing w:val="-1"/>
        </w:rPr>
        <w:t> </w:t>
      </w:r>
      <w:r>
        <w:rPr/>
        <w:t>as core integration mechanisms rather than optional documentation.</w:t>
      </w:r>
    </w:p>
    <w:p>
      <w:pPr>
        <w:pStyle w:val="BodyText"/>
        <w:spacing w:line="228" w:lineRule="auto"/>
        <w:ind w:right="168"/>
      </w:pPr>
      <w:r>
        <w:rPr/>
        <w:t>Second,</w:t>
      </w:r>
      <w:r>
        <w:rPr>
          <w:spacing w:val="-13"/>
        </w:rPr>
        <w:t> </w:t>
      </w:r>
      <w:r>
        <w:rPr/>
        <w:t>real-time</w:t>
      </w:r>
      <w:r>
        <w:rPr>
          <w:spacing w:val="-12"/>
        </w:rPr>
        <w:t> </w:t>
      </w:r>
      <w:r>
        <w:rPr/>
        <w:t>capability</w:t>
      </w:r>
      <w:r>
        <w:rPr>
          <w:spacing w:val="-13"/>
        </w:rPr>
        <w:t> </w:t>
      </w:r>
      <w:r>
        <w:rPr/>
        <w:t>does</w:t>
      </w:r>
      <w:r>
        <w:rPr>
          <w:spacing w:val="-12"/>
        </w:rPr>
        <w:t> </w:t>
      </w:r>
      <w:r>
        <w:rPr/>
        <w:t>not</w:t>
      </w:r>
      <w:r>
        <w:rPr>
          <w:spacing w:val="-13"/>
        </w:rPr>
        <w:t> </w:t>
      </w:r>
      <w:r>
        <w:rPr/>
        <w:t>automatically</w:t>
      </w:r>
      <w:r>
        <w:rPr>
          <w:spacing w:val="-12"/>
        </w:rPr>
        <w:t> </w:t>
      </w:r>
      <w:r>
        <w:rPr/>
        <w:t>imply reliable synchronization. Live data can be delayed, missing, </w:t>
      </w:r>
      <w:r>
        <w:rPr>
          <w:spacing w:val="-2"/>
        </w:rPr>
        <w:t>noisy,</w:t>
      </w:r>
      <w:r>
        <w:rPr>
          <w:spacing w:val="-7"/>
        </w:rPr>
        <w:t> </w:t>
      </w:r>
      <w:r>
        <w:rPr>
          <w:spacing w:val="-2"/>
        </w:rPr>
        <w:t>or</w:t>
      </w:r>
      <w:r>
        <w:rPr>
          <w:spacing w:val="-7"/>
        </w:rPr>
        <w:t> </w:t>
      </w:r>
      <w:r>
        <w:rPr>
          <w:spacing w:val="-2"/>
        </w:rPr>
        <w:t>spatially</w:t>
      </w:r>
      <w:r>
        <w:rPr>
          <w:spacing w:val="-4"/>
        </w:rPr>
        <w:t> </w:t>
      </w:r>
      <w:r>
        <w:rPr>
          <w:spacing w:val="-2"/>
        </w:rPr>
        <w:t>incomplete.</w:t>
      </w:r>
      <w:r>
        <w:rPr>
          <w:spacing w:val="-7"/>
        </w:rPr>
        <w:t> </w:t>
      </w:r>
      <w:r>
        <w:rPr>
          <w:spacing w:val="-2"/>
        </w:rPr>
        <w:t>The</w:t>
      </w:r>
      <w:r>
        <w:rPr>
          <w:spacing w:val="-5"/>
        </w:rPr>
        <w:t> </w:t>
      </w:r>
      <w:r>
        <w:rPr>
          <w:spacing w:val="-2"/>
        </w:rPr>
        <w:t>air-quality</w:t>
      </w:r>
      <w:r>
        <w:rPr>
          <w:spacing w:val="-4"/>
        </w:rPr>
        <w:t> </w:t>
      </w:r>
      <w:r>
        <w:rPr>
          <w:spacing w:val="-2"/>
        </w:rPr>
        <w:t>study</w:t>
      </w:r>
      <w:r>
        <w:rPr>
          <w:spacing w:val="-4"/>
        </w:rPr>
        <w:t> </w:t>
      </w:r>
      <w:r>
        <w:rPr>
          <w:spacing w:val="-2"/>
        </w:rPr>
        <w:t>[5]</w:t>
      </w:r>
      <w:r>
        <w:rPr>
          <w:spacing w:val="-4"/>
        </w:rPr>
        <w:t> </w:t>
      </w:r>
      <w:r>
        <w:rPr>
          <w:spacing w:val="-2"/>
        </w:rPr>
        <w:t>shows </w:t>
      </w:r>
      <w:r>
        <w:rPr/>
        <w:t>why model–sensor coupling and calibration matter, while participatory sensing [2] illustrates dependence on image quality and citizen participation. Real-time UDT research should</w:t>
      </w:r>
      <w:r>
        <w:rPr>
          <w:spacing w:val="-2"/>
        </w:rPr>
        <w:t> </w:t>
      </w:r>
      <w:r>
        <w:rPr/>
        <w:t>therefore</w:t>
      </w:r>
      <w:r>
        <w:rPr>
          <w:spacing w:val="-3"/>
        </w:rPr>
        <w:t> </w:t>
      </w:r>
      <w:r>
        <w:rPr/>
        <w:t>evaluate</w:t>
      </w:r>
      <w:r>
        <w:rPr>
          <w:spacing w:val="-2"/>
        </w:rPr>
        <w:t> </w:t>
      </w:r>
      <w:r>
        <w:rPr/>
        <w:t>not</w:t>
      </w:r>
      <w:r>
        <w:rPr>
          <w:spacing w:val="-5"/>
        </w:rPr>
        <w:t> </w:t>
      </w:r>
      <w:r>
        <w:rPr/>
        <w:t>only update</w:t>
      </w:r>
      <w:r>
        <w:rPr>
          <w:spacing w:val="-3"/>
        </w:rPr>
        <w:t> </w:t>
      </w:r>
      <w:r>
        <w:rPr/>
        <w:t>frequency</w:t>
      </w:r>
      <w:r>
        <w:rPr>
          <w:spacing w:val="-2"/>
        </w:rPr>
        <w:t> </w:t>
      </w:r>
      <w:r>
        <w:rPr/>
        <w:t>but</w:t>
      </w:r>
      <w:r>
        <w:rPr>
          <w:spacing w:val="-1"/>
        </w:rPr>
        <w:t> </w:t>
      </w:r>
      <w:r>
        <w:rPr/>
        <w:t>also data</w:t>
      </w:r>
      <w:r>
        <w:rPr>
          <w:spacing w:val="-13"/>
        </w:rPr>
        <w:t> </w:t>
      </w:r>
      <w:r>
        <w:rPr/>
        <w:t>quality,</w:t>
      </w:r>
      <w:r>
        <w:rPr>
          <w:spacing w:val="-12"/>
        </w:rPr>
        <w:t> </w:t>
      </w:r>
      <w:r>
        <w:rPr/>
        <w:t>uncertainty,</w:t>
      </w:r>
      <w:r>
        <w:rPr>
          <w:spacing w:val="-13"/>
        </w:rPr>
        <w:t> </w:t>
      </w:r>
      <w:r>
        <w:rPr/>
        <w:t>synchronization</w:t>
      </w:r>
      <w:r>
        <w:rPr>
          <w:spacing w:val="-12"/>
        </w:rPr>
        <w:t> </w:t>
      </w:r>
      <w:r>
        <w:rPr/>
        <w:t>error,</w:t>
      </w:r>
      <w:r>
        <w:rPr>
          <w:spacing w:val="-13"/>
        </w:rPr>
        <w:t> </w:t>
      </w:r>
      <w:r>
        <w:rPr/>
        <w:t>and</w:t>
      </w:r>
      <w:r>
        <w:rPr>
          <w:spacing w:val="-12"/>
        </w:rPr>
        <w:t> </w:t>
      </w:r>
      <w:r>
        <w:rPr/>
        <w:t>the</w:t>
      </w:r>
      <w:r>
        <w:rPr>
          <w:spacing w:val="-13"/>
        </w:rPr>
        <w:t> </w:t>
      </w:r>
      <w:r>
        <w:rPr/>
        <w:t>effect of imperfect observations on downstream decisions.</w:t>
      </w:r>
    </w:p>
    <w:p>
      <w:pPr>
        <w:pStyle w:val="BodyText"/>
        <w:spacing w:line="228" w:lineRule="auto" w:before="59"/>
        <w:ind w:right="164"/>
      </w:pPr>
      <w:r>
        <w:rPr/>
        <w:t>Third, the literature has a noticeable gap between prediction/simulation and validated physical intervention. Traffic research [3] provides evidence of cyber-physical control, but many other studies stop at monitoring, visualization, forecasting, or scenario evaluation. This suggests a need for safe human-in-the-loop control, intervention validation, feedback measurement, and explicit criteria for when an automated recommendation is trusted.</w:t>
      </w:r>
    </w:p>
    <w:p>
      <w:pPr>
        <w:pStyle w:val="BodyText"/>
        <w:spacing w:line="228" w:lineRule="auto" w:before="62"/>
        <w:ind w:right="168"/>
      </w:pPr>
      <w:r>
        <w:rPr/>
        <w:t>Fourth,</w:t>
      </w:r>
      <w:r>
        <w:rPr>
          <w:spacing w:val="-3"/>
        </w:rPr>
        <w:t> </w:t>
      </w:r>
      <w:r>
        <w:rPr/>
        <w:t>security,</w:t>
      </w:r>
      <w:r>
        <w:rPr>
          <w:spacing w:val="-5"/>
        </w:rPr>
        <w:t> </w:t>
      </w:r>
      <w:r>
        <w:rPr/>
        <w:t>privacy,</w:t>
      </w:r>
      <w:r>
        <w:rPr>
          <w:spacing w:val="-5"/>
        </w:rPr>
        <w:t> </w:t>
      </w:r>
      <w:r>
        <w:rPr/>
        <w:t>governance,</w:t>
      </w:r>
      <w:r>
        <w:rPr>
          <w:spacing w:val="-4"/>
        </w:rPr>
        <w:t> </w:t>
      </w:r>
      <w:r>
        <w:rPr/>
        <w:t>and</w:t>
      </w:r>
      <w:r>
        <w:rPr>
          <w:spacing w:val="-3"/>
        </w:rPr>
        <w:t> </w:t>
      </w:r>
      <w:r>
        <w:rPr/>
        <w:t>accountability are not consistently demonstrated as integrated capabilities. City twins can combine traffic, environmental, building, mobility, and citizen information, creating technical and institutional risks. Future work should connect identity and access management, privacy-preserving analytics, provenance,</w:t>
      </w:r>
      <w:r>
        <w:rPr>
          <w:spacing w:val="-3"/>
        </w:rPr>
        <w:t> </w:t>
      </w:r>
      <w:r>
        <w:rPr/>
        <w:t>auditability,</w:t>
      </w:r>
      <w:r>
        <w:rPr>
          <w:spacing w:val="-4"/>
        </w:rPr>
        <w:t> </w:t>
      </w:r>
      <w:r>
        <w:rPr/>
        <w:t>model</w:t>
      </w:r>
      <w:r>
        <w:rPr>
          <w:spacing w:val="-3"/>
        </w:rPr>
        <w:t> </w:t>
      </w:r>
      <w:r>
        <w:rPr/>
        <w:t>governance,</w:t>
      </w:r>
      <w:r>
        <w:rPr>
          <w:spacing w:val="-2"/>
        </w:rPr>
        <w:t> </w:t>
      </w:r>
      <w:r>
        <w:rPr/>
        <w:t>and</w:t>
      </w:r>
      <w:r>
        <w:rPr>
          <w:spacing w:val="-2"/>
        </w:rPr>
        <w:t> </w:t>
      </w:r>
      <w:r>
        <w:rPr/>
        <w:t>uncertainty </w:t>
      </w:r>
      <w:r>
        <w:rPr>
          <w:spacing w:val="-2"/>
        </w:rPr>
        <w:t>communication</w:t>
      </w:r>
      <w:r>
        <w:rPr>
          <w:spacing w:val="-3"/>
        </w:rPr>
        <w:t> </w:t>
      </w:r>
      <w:r>
        <w:rPr>
          <w:spacing w:val="-2"/>
        </w:rPr>
        <w:t>with</w:t>
      </w:r>
      <w:r>
        <w:rPr>
          <w:spacing w:val="-3"/>
        </w:rPr>
        <w:t> </w:t>
      </w:r>
      <w:r>
        <w:rPr>
          <w:spacing w:val="-2"/>
        </w:rPr>
        <w:t>the</w:t>
      </w:r>
      <w:r>
        <w:rPr>
          <w:spacing w:val="-4"/>
        </w:rPr>
        <w:t> </w:t>
      </w:r>
      <w:r>
        <w:rPr>
          <w:spacing w:val="-2"/>
        </w:rPr>
        <w:t>same</w:t>
      </w:r>
      <w:r>
        <w:rPr>
          <w:spacing w:val="-6"/>
        </w:rPr>
        <w:t> </w:t>
      </w:r>
      <w:r>
        <w:rPr>
          <w:spacing w:val="-2"/>
        </w:rPr>
        <w:t>operational</w:t>
      </w:r>
      <w:r>
        <w:rPr>
          <w:spacing w:val="-4"/>
        </w:rPr>
        <w:t> </w:t>
      </w:r>
      <w:r>
        <w:rPr>
          <w:spacing w:val="-2"/>
        </w:rPr>
        <w:t>workflows</w:t>
      </w:r>
      <w:r>
        <w:rPr>
          <w:spacing w:val="-5"/>
        </w:rPr>
        <w:t> </w:t>
      </w:r>
      <w:r>
        <w:rPr>
          <w:spacing w:val="-2"/>
        </w:rPr>
        <w:t>used</w:t>
      </w:r>
      <w:r>
        <w:rPr>
          <w:spacing w:val="-5"/>
        </w:rPr>
        <w:t> </w:t>
      </w:r>
      <w:r>
        <w:rPr>
          <w:spacing w:val="-2"/>
        </w:rPr>
        <w:t>for </w:t>
      </w:r>
      <w:r>
        <w:rPr/>
        <w:t>analytics and decision support.</w:t>
      </w:r>
    </w:p>
    <w:p>
      <w:pPr>
        <w:pStyle w:val="BodyText"/>
        <w:spacing w:line="228" w:lineRule="auto"/>
        <w:ind w:right="168"/>
      </w:pPr>
      <w:r>
        <w:rPr/>
        <w:t>The</w:t>
      </w:r>
      <w:r>
        <w:rPr>
          <w:spacing w:val="-8"/>
        </w:rPr>
        <w:t> </w:t>
      </w:r>
      <w:r>
        <w:rPr/>
        <w:t>evidence-derived</w:t>
      </w:r>
      <w:r>
        <w:rPr>
          <w:spacing w:val="-7"/>
        </w:rPr>
        <w:t> </w:t>
      </w:r>
      <w:r>
        <w:rPr/>
        <w:t>synthesis</w:t>
      </w:r>
      <w:r>
        <w:rPr>
          <w:spacing w:val="-7"/>
        </w:rPr>
        <w:t> </w:t>
      </w:r>
      <w:r>
        <w:rPr/>
        <w:t>can</w:t>
      </w:r>
      <w:r>
        <w:rPr>
          <w:spacing w:val="-7"/>
        </w:rPr>
        <w:t> </w:t>
      </w:r>
      <w:r>
        <w:rPr/>
        <w:t>therefore</w:t>
      </w:r>
      <w:r>
        <w:rPr>
          <w:spacing w:val="-8"/>
        </w:rPr>
        <w:t> </w:t>
      </w:r>
      <w:r>
        <w:rPr/>
        <w:t>be</w:t>
      </w:r>
      <w:r>
        <w:rPr>
          <w:spacing w:val="-8"/>
        </w:rPr>
        <w:t> </w:t>
      </w:r>
      <w:r>
        <w:rPr/>
        <w:t>stated</w:t>
      </w:r>
      <w:r>
        <w:rPr>
          <w:spacing w:val="-7"/>
        </w:rPr>
        <w:t> </w:t>
      </w:r>
      <w:r>
        <w:rPr/>
        <w:t>as a progression of capability dependencies rather than a new architecture: reliable urban data must be collected and integrated before a twin can be updated; synchronized data </w:t>
      </w:r>
      <w:r>
        <w:rPr>
          <w:spacing w:val="-2"/>
        </w:rPr>
        <w:t>supports state estimation;</w:t>
      </w:r>
      <w:r>
        <w:rPr>
          <w:spacing w:val="-4"/>
        </w:rPr>
        <w:t> </w:t>
      </w:r>
      <w:r>
        <w:rPr>
          <w:spacing w:val="-2"/>
        </w:rPr>
        <w:t>validated models support</w:t>
      </w:r>
      <w:r>
        <w:rPr>
          <w:spacing w:val="-4"/>
        </w:rPr>
        <w:t> </w:t>
      </w:r>
      <w:r>
        <w:rPr>
          <w:spacing w:val="-2"/>
        </w:rPr>
        <w:t>prediction and</w:t>
      </w:r>
      <w:r>
        <w:rPr>
          <w:spacing w:val="-10"/>
        </w:rPr>
        <w:t> </w:t>
      </w:r>
      <w:r>
        <w:rPr>
          <w:spacing w:val="-2"/>
        </w:rPr>
        <w:t>simulation;</w:t>
      </w:r>
      <w:r>
        <w:rPr>
          <w:spacing w:val="-10"/>
        </w:rPr>
        <w:t> </w:t>
      </w:r>
      <w:r>
        <w:rPr>
          <w:spacing w:val="-2"/>
        </w:rPr>
        <w:t>these</w:t>
      </w:r>
      <w:r>
        <w:rPr>
          <w:spacing w:val="-10"/>
        </w:rPr>
        <w:t> </w:t>
      </w:r>
      <w:r>
        <w:rPr>
          <w:spacing w:val="-2"/>
        </w:rPr>
        <w:t>outputs</w:t>
      </w:r>
      <w:r>
        <w:rPr>
          <w:spacing w:val="-10"/>
        </w:rPr>
        <w:t> </w:t>
      </w:r>
      <w:r>
        <w:rPr>
          <w:spacing w:val="-2"/>
        </w:rPr>
        <w:t>can</w:t>
      </w:r>
      <w:r>
        <w:rPr>
          <w:spacing w:val="-6"/>
        </w:rPr>
        <w:t> </w:t>
      </w:r>
      <w:r>
        <w:rPr>
          <w:spacing w:val="-2"/>
        </w:rPr>
        <w:t>support</w:t>
      </w:r>
      <w:r>
        <w:rPr>
          <w:spacing w:val="-11"/>
        </w:rPr>
        <w:t> </w:t>
      </w:r>
      <w:r>
        <w:rPr>
          <w:spacing w:val="-2"/>
        </w:rPr>
        <w:t>human</w:t>
      </w:r>
      <w:r>
        <w:rPr>
          <w:spacing w:val="-9"/>
        </w:rPr>
        <w:t> </w:t>
      </w:r>
      <w:r>
        <w:rPr>
          <w:spacing w:val="-2"/>
        </w:rPr>
        <w:t>or</w:t>
      </w:r>
      <w:r>
        <w:rPr>
          <w:spacing w:val="-11"/>
        </w:rPr>
        <w:t> </w:t>
      </w:r>
      <w:r>
        <w:rPr>
          <w:spacing w:val="-2"/>
        </w:rPr>
        <w:t>automated </w:t>
      </w:r>
      <w:r>
        <w:rPr/>
        <w:t>decisions; and only selected studies currently demonstrate a validated transition from decisions to physical control. Feedback from interventions is then required to evaluate whether</w:t>
      </w:r>
      <w:r>
        <w:rPr>
          <w:spacing w:val="-10"/>
        </w:rPr>
        <w:t> </w:t>
      </w:r>
      <w:r>
        <w:rPr/>
        <w:t>the</w:t>
      </w:r>
      <w:r>
        <w:rPr>
          <w:spacing w:val="-12"/>
        </w:rPr>
        <w:t> </w:t>
      </w:r>
      <w:r>
        <w:rPr/>
        <w:t>predicted</w:t>
      </w:r>
      <w:r>
        <w:rPr>
          <w:spacing w:val="-11"/>
        </w:rPr>
        <w:t> </w:t>
      </w:r>
      <w:r>
        <w:rPr/>
        <w:t>effect</w:t>
      </w:r>
      <w:r>
        <w:rPr>
          <w:spacing w:val="-13"/>
        </w:rPr>
        <w:t> </w:t>
      </w:r>
      <w:r>
        <w:rPr/>
        <w:t>actually</w:t>
      </w:r>
      <w:r>
        <w:rPr>
          <w:spacing w:val="-11"/>
        </w:rPr>
        <w:t> </w:t>
      </w:r>
      <w:r>
        <w:rPr/>
        <w:t>occurred.</w:t>
      </w:r>
      <w:r>
        <w:rPr>
          <w:spacing w:val="-11"/>
        </w:rPr>
        <w:t> </w:t>
      </w:r>
      <w:r>
        <w:rPr/>
        <w:t>This</w:t>
      </w:r>
      <w:r>
        <w:rPr>
          <w:spacing w:val="-13"/>
        </w:rPr>
        <w:t> </w:t>
      </w:r>
      <w:r>
        <w:rPr/>
        <w:t>synthesis is</w:t>
      </w:r>
      <w:r>
        <w:rPr>
          <w:spacing w:val="31"/>
        </w:rPr>
        <w:t>  </w:t>
      </w:r>
      <w:r>
        <w:rPr/>
        <w:t>deliberately</w:t>
      </w:r>
      <w:r>
        <w:rPr>
          <w:spacing w:val="31"/>
        </w:rPr>
        <w:t>  </w:t>
      </w:r>
      <w:r>
        <w:rPr/>
        <w:t>described</w:t>
      </w:r>
      <w:r>
        <w:rPr>
          <w:spacing w:val="32"/>
        </w:rPr>
        <w:t>  </w:t>
      </w:r>
      <w:r>
        <w:rPr/>
        <w:t>as</w:t>
      </w:r>
      <w:r>
        <w:rPr>
          <w:spacing w:val="33"/>
        </w:rPr>
        <w:t>  </w:t>
      </w:r>
      <w:r>
        <w:rPr/>
        <w:t>an</w:t>
      </w:r>
      <w:r>
        <w:rPr>
          <w:spacing w:val="32"/>
        </w:rPr>
        <w:t>  </w:t>
      </w:r>
      <w:r>
        <w:rPr/>
        <w:t>interpretation</w:t>
      </w:r>
      <w:r>
        <w:rPr>
          <w:spacing w:val="32"/>
        </w:rPr>
        <w:t>  </w:t>
      </w:r>
      <w:r>
        <w:rPr/>
        <w:t>of</w:t>
      </w:r>
      <w:r>
        <w:rPr>
          <w:spacing w:val="32"/>
        </w:rPr>
        <w:t>  </w:t>
      </w:r>
      <w:r>
        <w:rPr>
          <w:spacing w:val="-5"/>
        </w:rPr>
        <w:t>the</w:t>
      </w:r>
    </w:p>
    <w:p>
      <w:pPr>
        <w:pStyle w:val="BodyText"/>
        <w:spacing w:after="0" w:line="228" w:lineRule="auto"/>
        <w:sectPr>
          <w:pgSz w:w="12240" w:h="15840"/>
          <w:pgMar w:top="1000" w:bottom="280" w:left="720" w:right="720"/>
          <w:cols w:num="2" w:equalWidth="0">
            <w:col w:w="5086" w:space="503"/>
            <w:col w:w="5211"/>
          </w:cols>
        </w:sectPr>
      </w:pPr>
    </w:p>
    <w:p>
      <w:pPr>
        <w:pStyle w:val="BodyText"/>
        <w:spacing w:line="228" w:lineRule="auto" w:before="80"/>
        <w:ind w:firstLine="0"/>
        <w:jc w:val="left"/>
      </w:pPr>
      <w:r>
        <w:rPr/>
        <w:t>comparative</w:t>
      </w:r>
      <w:r>
        <w:rPr>
          <w:spacing w:val="40"/>
        </w:rPr>
        <w:t> </w:t>
      </w:r>
      <w:r>
        <w:rPr/>
        <w:t>evidence,</w:t>
      </w:r>
      <w:r>
        <w:rPr>
          <w:spacing w:val="40"/>
        </w:rPr>
        <w:t> </w:t>
      </w:r>
      <w:r>
        <w:rPr/>
        <w:t>not</w:t>
      </w:r>
      <w:r>
        <w:rPr>
          <w:spacing w:val="40"/>
        </w:rPr>
        <w:t> </w:t>
      </w:r>
      <w:r>
        <w:rPr/>
        <w:t>as</w:t>
      </w:r>
      <w:r>
        <w:rPr>
          <w:spacing w:val="40"/>
        </w:rPr>
        <w:t> </w:t>
      </w:r>
      <w:r>
        <w:rPr/>
        <w:t>an</w:t>
      </w:r>
      <w:r>
        <w:rPr>
          <w:spacing w:val="40"/>
        </w:rPr>
        <w:t> </w:t>
      </w:r>
      <w:r>
        <w:rPr/>
        <w:t>original</w:t>
      </w:r>
      <w:r>
        <w:rPr>
          <w:spacing w:val="40"/>
        </w:rPr>
        <w:t> </w:t>
      </w:r>
      <w:r>
        <w:rPr/>
        <w:t>Digital</w:t>
      </w:r>
      <w:r>
        <w:rPr>
          <w:spacing w:val="40"/>
        </w:rPr>
        <w:t> </w:t>
      </w:r>
      <w:r>
        <w:rPr/>
        <w:t>Twin</w:t>
      </w:r>
      <w:r>
        <w:rPr>
          <w:spacing w:val="80"/>
        </w:rPr>
        <w:t> </w:t>
      </w:r>
      <w:r>
        <w:rPr>
          <w:spacing w:val="-2"/>
        </w:rPr>
        <w:t>pipeline.</w:t>
      </w:r>
    </w:p>
    <w:p>
      <w:pPr>
        <w:pStyle w:val="Heading1"/>
        <w:numPr>
          <w:ilvl w:val="0"/>
          <w:numId w:val="2"/>
        </w:numPr>
        <w:tabs>
          <w:tab w:pos="645" w:val="left" w:leader="none"/>
        </w:tabs>
        <w:spacing w:line="240" w:lineRule="auto" w:before="120" w:after="0"/>
        <w:ind w:left="172" w:right="541" w:firstLine="0"/>
        <w:jc w:val="left"/>
      </w:pPr>
      <w:r>
        <w:rPr/>
        <w:t>IMPLICATIONS</w:t>
      </w:r>
      <w:r>
        <w:rPr>
          <w:spacing w:val="-12"/>
        </w:rPr>
        <w:t> </w:t>
      </w:r>
      <w:r>
        <w:rPr/>
        <w:t>OF</w:t>
      </w:r>
      <w:r>
        <w:rPr>
          <w:spacing w:val="-12"/>
        </w:rPr>
        <w:t> </w:t>
      </w:r>
      <w:r>
        <w:rPr/>
        <w:t>THE</w:t>
      </w:r>
      <w:r>
        <w:rPr>
          <w:spacing w:val="-12"/>
        </w:rPr>
        <w:t> </w:t>
      </w:r>
      <w:r>
        <w:rPr/>
        <w:t>COMPARATIVE </w:t>
      </w:r>
      <w:r>
        <w:rPr>
          <w:spacing w:val="-2"/>
        </w:rPr>
        <w:t>FINDINGS</w:t>
      </w:r>
    </w:p>
    <w:p>
      <w:pPr>
        <w:pStyle w:val="BodyText"/>
        <w:spacing w:line="228" w:lineRule="auto" w:before="61"/>
        <w:ind w:right="42"/>
      </w:pPr>
      <w:r>
        <w:rPr/>
        <w:t>The comparison also suggests that future UDT studies </w:t>
      </w:r>
      <w:r>
        <w:rPr>
          <w:spacing w:val="-2"/>
        </w:rPr>
        <w:t>should</w:t>
      </w:r>
      <w:r>
        <w:rPr>
          <w:spacing w:val="-8"/>
        </w:rPr>
        <w:t> </w:t>
      </w:r>
      <w:r>
        <w:rPr>
          <w:spacing w:val="-2"/>
        </w:rPr>
        <w:t>be</w:t>
      </w:r>
      <w:r>
        <w:rPr>
          <w:spacing w:val="-6"/>
        </w:rPr>
        <w:t> </w:t>
      </w:r>
      <w:r>
        <w:rPr>
          <w:spacing w:val="-2"/>
        </w:rPr>
        <w:t>evaluated</w:t>
      </w:r>
      <w:r>
        <w:rPr>
          <w:spacing w:val="-5"/>
        </w:rPr>
        <w:t> </w:t>
      </w:r>
      <w:r>
        <w:rPr>
          <w:spacing w:val="-2"/>
        </w:rPr>
        <w:t>in</w:t>
      </w:r>
      <w:r>
        <w:rPr>
          <w:spacing w:val="-6"/>
        </w:rPr>
        <w:t> </w:t>
      </w:r>
      <w:r>
        <w:rPr>
          <w:spacing w:val="-2"/>
        </w:rPr>
        <w:t>terms</w:t>
      </w:r>
      <w:r>
        <w:rPr>
          <w:spacing w:val="-10"/>
        </w:rPr>
        <w:t> </w:t>
      </w:r>
      <w:r>
        <w:rPr>
          <w:spacing w:val="-2"/>
        </w:rPr>
        <w:t>of</w:t>
      </w:r>
      <w:r>
        <w:rPr>
          <w:spacing w:val="-6"/>
        </w:rPr>
        <w:t> </w:t>
      </w:r>
      <w:r>
        <w:rPr>
          <w:spacing w:val="-2"/>
        </w:rPr>
        <w:t>capability</w:t>
      </w:r>
      <w:r>
        <w:rPr>
          <w:spacing w:val="-5"/>
        </w:rPr>
        <w:t> </w:t>
      </w:r>
      <w:r>
        <w:rPr>
          <w:spacing w:val="-2"/>
        </w:rPr>
        <w:t>combinations</w:t>
      </w:r>
      <w:r>
        <w:rPr>
          <w:spacing w:val="-7"/>
        </w:rPr>
        <w:t> </w:t>
      </w:r>
      <w:r>
        <w:rPr>
          <w:spacing w:val="-2"/>
        </w:rPr>
        <w:t>rather </w:t>
      </w:r>
      <w:r>
        <w:rPr/>
        <w:t>than isolated functions. Prediction without reliable data integration can produce unstable results, while visualization without</w:t>
      </w:r>
      <w:r>
        <w:rPr>
          <w:spacing w:val="-13"/>
        </w:rPr>
        <w:t> </w:t>
      </w:r>
      <w:r>
        <w:rPr/>
        <w:t>decision</w:t>
      </w:r>
      <w:r>
        <w:rPr>
          <w:spacing w:val="-12"/>
        </w:rPr>
        <w:t> </w:t>
      </w:r>
      <w:r>
        <w:rPr/>
        <w:t>support</w:t>
      </w:r>
      <w:r>
        <w:rPr>
          <w:spacing w:val="-13"/>
        </w:rPr>
        <w:t> </w:t>
      </w:r>
      <w:r>
        <w:rPr/>
        <w:t>may</w:t>
      </w:r>
      <w:r>
        <w:rPr>
          <w:spacing w:val="-12"/>
        </w:rPr>
        <w:t> </w:t>
      </w:r>
      <w:r>
        <w:rPr/>
        <w:t>remain</w:t>
      </w:r>
      <w:r>
        <w:rPr>
          <w:spacing w:val="-13"/>
        </w:rPr>
        <w:t> </w:t>
      </w:r>
      <w:r>
        <w:rPr/>
        <w:t>primarily</w:t>
      </w:r>
      <w:r>
        <w:rPr>
          <w:spacing w:val="-12"/>
        </w:rPr>
        <w:t> </w:t>
      </w:r>
      <w:r>
        <w:rPr/>
        <w:t>descriptive.</w:t>
      </w:r>
      <w:r>
        <w:rPr>
          <w:spacing w:val="-13"/>
        </w:rPr>
        <w:t> </w:t>
      </w:r>
      <w:r>
        <w:rPr/>
        <w:t>A </w:t>
      </w:r>
      <w:r>
        <w:rPr>
          <w:spacing w:val="-2"/>
        </w:rPr>
        <w:t>useful</w:t>
      </w:r>
      <w:r>
        <w:rPr>
          <w:spacing w:val="-4"/>
        </w:rPr>
        <w:t> </w:t>
      </w:r>
      <w:r>
        <w:rPr>
          <w:spacing w:val="-2"/>
        </w:rPr>
        <w:t>research</w:t>
      </w:r>
      <w:r>
        <w:rPr>
          <w:spacing w:val="-3"/>
        </w:rPr>
        <w:t> </w:t>
      </w:r>
      <w:r>
        <w:rPr>
          <w:spacing w:val="-2"/>
        </w:rPr>
        <w:t>evaluation</w:t>
      </w:r>
      <w:r>
        <w:rPr>
          <w:spacing w:val="-3"/>
        </w:rPr>
        <w:t> </w:t>
      </w:r>
      <w:r>
        <w:rPr>
          <w:spacing w:val="-2"/>
        </w:rPr>
        <w:t>should therefore</w:t>
      </w:r>
      <w:r>
        <w:rPr>
          <w:spacing w:val="-4"/>
        </w:rPr>
        <w:t> </w:t>
      </w:r>
      <w:r>
        <w:rPr>
          <w:spacing w:val="-2"/>
        </w:rPr>
        <w:t>report</w:t>
      </w:r>
      <w:r>
        <w:rPr>
          <w:spacing w:val="-4"/>
        </w:rPr>
        <w:t> </w:t>
      </w:r>
      <w:r>
        <w:rPr>
          <w:spacing w:val="-2"/>
        </w:rPr>
        <w:t>the</w:t>
      </w:r>
      <w:r>
        <w:rPr>
          <w:spacing w:val="-4"/>
        </w:rPr>
        <w:t> </w:t>
      </w:r>
      <w:r>
        <w:rPr>
          <w:spacing w:val="-2"/>
        </w:rPr>
        <w:t>chain</w:t>
      </w:r>
      <w:r>
        <w:rPr>
          <w:spacing w:val="-3"/>
        </w:rPr>
        <w:t> </w:t>
      </w:r>
      <w:r>
        <w:rPr>
          <w:spacing w:val="-2"/>
        </w:rPr>
        <w:t>of </w:t>
      </w:r>
      <w:r>
        <w:rPr/>
        <w:t>evidence connecting source data, synchronization, model execution, analytical output, decision recommendation, and observed outcome. This makes it possible to distinguish a demonstrator that displays a city model from a system that supports validated operational decisions.</w:t>
      </w:r>
    </w:p>
    <w:p>
      <w:pPr>
        <w:pStyle w:val="BodyText"/>
        <w:spacing w:line="228" w:lineRule="auto"/>
        <w:ind w:right="41"/>
      </w:pPr>
      <w:r>
        <w:rPr/>
        <w:t>A</w:t>
      </w:r>
      <w:r>
        <w:rPr>
          <w:spacing w:val="-5"/>
        </w:rPr>
        <w:t> </w:t>
      </w:r>
      <w:r>
        <w:rPr/>
        <w:t>second</w:t>
      </w:r>
      <w:r>
        <w:rPr>
          <w:spacing w:val="-4"/>
        </w:rPr>
        <w:t> </w:t>
      </w:r>
      <w:r>
        <w:rPr/>
        <w:t>implication</w:t>
      </w:r>
      <w:r>
        <w:rPr>
          <w:spacing w:val="-4"/>
        </w:rPr>
        <w:t> </w:t>
      </w:r>
      <w:r>
        <w:rPr/>
        <w:t>concerns</w:t>
      </w:r>
      <w:r>
        <w:rPr>
          <w:spacing w:val="-5"/>
        </w:rPr>
        <w:t> </w:t>
      </w:r>
      <w:r>
        <w:rPr/>
        <w:t>evaluation</w:t>
      </w:r>
      <w:r>
        <w:rPr>
          <w:spacing w:val="-4"/>
        </w:rPr>
        <w:t> </w:t>
      </w:r>
      <w:r>
        <w:rPr/>
        <w:t>standards.</w:t>
      </w:r>
      <w:r>
        <w:rPr>
          <w:spacing w:val="-6"/>
        </w:rPr>
        <w:t> </w:t>
      </w:r>
      <w:r>
        <w:rPr/>
        <w:t>The selected studies use different application metrics, making direct technical comparison difficult. Future work would benefit from reporting common measures such as update latency,</w:t>
      </w:r>
      <w:r>
        <w:rPr>
          <w:spacing w:val="-7"/>
        </w:rPr>
        <w:t> </w:t>
      </w:r>
      <w:r>
        <w:rPr/>
        <w:t>data</w:t>
      </w:r>
      <w:r>
        <w:rPr>
          <w:spacing w:val="-8"/>
        </w:rPr>
        <w:t> </w:t>
      </w:r>
      <w:r>
        <w:rPr/>
        <w:t>completeness,</w:t>
      </w:r>
      <w:r>
        <w:rPr>
          <w:spacing w:val="-6"/>
        </w:rPr>
        <w:t> </w:t>
      </w:r>
      <w:r>
        <w:rPr/>
        <w:t>synchronization</w:t>
      </w:r>
      <w:r>
        <w:rPr>
          <w:spacing w:val="-7"/>
        </w:rPr>
        <w:t> </w:t>
      </w:r>
      <w:r>
        <w:rPr/>
        <w:t>error,</w:t>
      </w:r>
      <w:r>
        <w:rPr>
          <w:spacing w:val="-7"/>
        </w:rPr>
        <w:t> </w:t>
      </w:r>
      <w:r>
        <w:rPr/>
        <w:t>prediction accuracy,</w:t>
      </w:r>
      <w:r>
        <w:rPr>
          <w:spacing w:val="-9"/>
        </w:rPr>
        <w:t> </w:t>
      </w:r>
      <w:r>
        <w:rPr/>
        <w:t>simulation</w:t>
      </w:r>
      <w:r>
        <w:rPr>
          <w:spacing w:val="-9"/>
        </w:rPr>
        <w:t> </w:t>
      </w:r>
      <w:r>
        <w:rPr/>
        <w:t>execution</w:t>
      </w:r>
      <w:r>
        <w:rPr>
          <w:spacing w:val="-9"/>
        </w:rPr>
        <w:t> </w:t>
      </w:r>
      <w:r>
        <w:rPr/>
        <w:t>time,</w:t>
      </w:r>
      <w:r>
        <w:rPr>
          <w:spacing w:val="-10"/>
        </w:rPr>
        <w:t> </w:t>
      </w:r>
      <w:r>
        <w:rPr/>
        <w:t>decision-response</w:t>
      </w:r>
      <w:r>
        <w:rPr>
          <w:spacing w:val="-9"/>
        </w:rPr>
        <w:t> </w:t>
      </w:r>
      <w:r>
        <w:rPr/>
        <w:t>time, </w:t>
      </w:r>
      <w:r>
        <w:rPr>
          <w:spacing w:val="-2"/>
        </w:rPr>
        <w:t>resource consumption, and control reliability. Reporting these </w:t>
      </w:r>
      <w:r>
        <w:rPr/>
        <w:t>measures</w:t>
      </w:r>
      <w:r>
        <w:rPr>
          <w:spacing w:val="-3"/>
        </w:rPr>
        <w:t> </w:t>
      </w:r>
      <w:r>
        <w:rPr/>
        <w:t>alongside the capability matrix would</w:t>
      </w:r>
      <w:r>
        <w:rPr>
          <w:spacing w:val="-2"/>
        </w:rPr>
        <w:t> </w:t>
      </w:r>
      <w:r>
        <w:rPr/>
        <w:t>allow</w:t>
      </w:r>
      <w:r>
        <w:rPr>
          <w:spacing w:val="-3"/>
        </w:rPr>
        <w:t> </w:t>
      </w:r>
      <w:r>
        <w:rPr/>
        <w:t>future reviews to compare not only whether a capability exists, but how effectively it is implemented.</w:t>
      </w:r>
    </w:p>
    <w:p>
      <w:pPr>
        <w:pStyle w:val="BodyText"/>
        <w:spacing w:line="228" w:lineRule="auto" w:before="59"/>
        <w:ind w:right="41"/>
      </w:pPr>
      <w:r>
        <w:rPr/>
        <w:t>A third implication is the need for benchmarkable urban datasets and repeatable scenarios. Traffic, air-quality, flood, building, and public-infrastructure twins are often evaluated in</w:t>
      </w:r>
      <w:r>
        <w:rPr>
          <w:spacing w:val="-13"/>
        </w:rPr>
        <w:t> </w:t>
      </w:r>
      <w:r>
        <w:rPr/>
        <w:t>different</w:t>
      </w:r>
      <w:r>
        <w:rPr>
          <w:spacing w:val="-12"/>
        </w:rPr>
        <w:t> </w:t>
      </w:r>
      <w:r>
        <w:rPr/>
        <w:t>cities</w:t>
      </w:r>
      <w:r>
        <w:rPr>
          <w:spacing w:val="-13"/>
        </w:rPr>
        <w:t> </w:t>
      </w:r>
      <w:r>
        <w:rPr/>
        <w:t>with</w:t>
      </w:r>
      <w:r>
        <w:rPr>
          <w:spacing w:val="-12"/>
        </w:rPr>
        <w:t> </w:t>
      </w:r>
      <w:r>
        <w:rPr/>
        <w:t>different</w:t>
      </w:r>
      <w:r>
        <w:rPr>
          <w:spacing w:val="-13"/>
        </w:rPr>
        <w:t> </w:t>
      </w:r>
      <w:r>
        <w:rPr/>
        <w:t>sensor</w:t>
      </w:r>
      <w:r>
        <w:rPr>
          <w:spacing w:val="-12"/>
        </w:rPr>
        <w:t> </w:t>
      </w:r>
      <w:r>
        <w:rPr/>
        <w:t>configurations.</w:t>
      </w:r>
      <w:r>
        <w:rPr>
          <w:spacing w:val="-13"/>
        </w:rPr>
        <w:t> </w:t>
      </w:r>
      <w:r>
        <w:rPr/>
        <w:t>Shared benchmark scenarios could allow researchers to test interoperability, model transfer, uncertainty handling, and scalability under comparable conditions. Such benchmarks would also make it easier to assess whether an architecture that performs well in one demonstrator can be adapted to another urban context.</w:t>
      </w:r>
    </w:p>
    <w:p>
      <w:pPr>
        <w:pStyle w:val="BodyText"/>
        <w:spacing w:line="228" w:lineRule="auto" w:before="62"/>
        <w:ind w:right="40"/>
      </w:pPr>
      <w:r>
        <w:rPr/>
        <w:t>The framework also has a practical implication for municipal planning. City authorities may not need every </w:t>
      </w:r>
      <w:r>
        <w:rPr>
          <w:spacing w:val="-2"/>
        </w:rPr>
        <w:t>capability</w:t>
      </w:r>
      <w:r>
        <w:rPr>
          <w:spacing w:val="-11"/>
        </w:rPr>
        <w:t> </w:t>
      </w:r>
      <w:r>
        <w:rPr>
          <w:spacing w:val="-2"/>
        </w:rPr>
        <w:t>at</w:t>
      </w:r>
      <w:r>
        <w:rPr>
          <w:spacing w:val="-10"/>
        </w:rPr>
        <w:t> </w:t>
      </w:r>
      <w:r>
        <w:rPr>
          <w:spacing w:val="-2"/>
        </w:rPr>
        <w:t>the</w:t>
      </w:r>
      <w:r>
        <w:rPr>
          <w:spacing w:val="-11"/>
        </w:rPr>
        <w:t> </w:t>
      </w:r>
      <w:r>
        <w:rPr>
          <w:spacing w:val="-2"/>
        </w:rPr>
        <w:t>same</w:t>
      </w:r>
      <w:r>
        <w:rPr>
          <w:spacing w:val="-9"/>
        </w:rPr>
        <w:t> </w:t>
      </w:r>
      <w:r>
        <w:rPr>
          <w:spacing w:val="-2"/>
        </w:rPr>
        <w:t>time.</w:t>
      </w:r>
      <w:r>
        <w:rPr>
          <w:spacing w:val="-9"/>
        </w:rPr>
        <w:t> </w:t>
      </w:r>
      <w:r>
        <w:rPr>
          <w:spacing w:val="-2"/>
        </w:rPr>
        <w:t>A</w:t>
      </w:r>
      <w:r>
        <w:rPr>
          <w:spacing w:val="-11"/>
        </w:rPr>
        <w:t> </w:t>
      </w:r>
      <w:r>
        <w:rPr>
          <w:spacing w:val="-2"/>
        </w:rPr>
        <w:t>monitoring-focused</w:t>
      </w:r>
      <w:r>
        <w:rPr>
          <w:spacing w:val="-10"/>
        </w:rPr>
        <w:t> </w:t>
      </w:r>
      <w:r>
        <w:rPr>
          <w:spacing w:val="-2"/>
        </w:rPr>
        <w:t>deployment </w:t>
      </w:r>
      <w:r>
        <w:rPr/>
        <w:t>may prioritize reliable data integration and visualization, while a traffic-control deployment may require low-latency synchronization, prediction, decision support, and validated actuation.</w:t>
      </w:r>
      <w:r>
        <w:rPr>
          <w:spacing w:val="-10"/>
        </w:rPr>
        <w:t> </w:t>
      </w:r>
      <w:r>
        <w:rPr/>
        <w:t>The</w:t>
      </w:r>
      <w:r>
        <w:rPr>
          <w:spacing w:val="-10"/>
        </w:rPr>
        <w:t> </w:t>
      </w:r>
      <w:r>
        <w:rPr/>
        <w:t>matrix</w:t>
      </w:r>
      <w:r>
        <w:rPr>
          <w:spacing w:val="-10"/>
        </w:rPr>
        <w:t> </w:t>
      </w:r>
      <w:r>
        <w:rPr/>
        <w:t>can</w:t>
      </w:r>
      <w:r>
        <w:rPr>
          <w:spacing w:val="-8"/>
        </w:rPr>
        <w:t> </w:t>
      </w:r>
      <w:r>
        <w:rPr/>
        <w:t>therefore</w:t>
      </w:r>
      <w:r>
        <w:rPr>
          <w:spacing w:val="-10"/>
        </w:rPr>
        <w:t> </w:t>
      </w:r>
      <w:r>
        <w:rPr/>
        <w:t>be</w:t>
      </w:r>
      <w:r>
        <w:rPr>
          <w:spacing w:val="-10"/>
        </w:rPr>
        <w:t> </w:t>
      </w:r>
      <w:r>
        <w:rPr/>
        <w:t>used</w:t>
      </w:r>
      <w:r>
        <w:rPr>
          <w:spacing w:val="-10"/>
        </w:rPr>
        <w:t> </w:t>
      </w:r>
      <w:r>
        <w:rPr/>
        <w:t>as</w:t>
      </w:r>
      <w:r>
        <w:rPr>
          <w:spacing w:val="-11"/>
        </w:rPr>
        <w:t> </w:t>
      </w:r>
      <w:r>
        <w:rPr/>
        <w:t>a</w:t>
      </w:r>
      <w:r>
        <w:rPr>
          <w:spacing w:val="-10"/>
        </w:rPr>
        <w:t> </w:t>
      </w:r>
      <w:r>
        <w:rPr/>
        <w:t>requirements checklist when a city defines the scope of a proposed twin. This is a review-derived use of the framework, not a prescriptive architecture for every city.</w:t>
      </w:r>
    </w:p>
    <w:p>
      <w:pPr>
        <w:pStyle w:val="BodyText"/>
        <w:spacing w:line="228" w:lineRule="auto"/>
        <w:ind w:right="38"/>
      </w:pPr>
      <w:r>
        <w:rPr/>
        <w:t>Finally,</w:t>
      </w:r>
      <w:r>
        <w:rPr>
          <w:spacing w:val="-13"/>
        </w:rPr>
        <w:t> </w:t>
      </w:r>
      <w:r>
        <w:rPr/>
        <w:t>deployment</w:t>
      </w:r>
      <w:r>
        <w:rPr>
          <w:spacing w:val="-12"/>
        </w:rPr>
        <w:t> </w:t>
      </w:r>
      <w:r>
        <w:rPr/>
        <w:t>maturity</w:t>
      </w:r>
      <w:r>
        <w:rPr>
          <w:spacing w:val="-11"/>
        </w:rPr>
        <w:t> </w:t>
      </w:r>
      <w:r>
        <w:rPr/>
        <w:t>should</w:t>
      </w:r>
      <w:r>
        <w:rPr>
          <w:spacing w:val="-12"/>
        </w:rPr>
        <w:t> </w:t>
      </w:r>
      <w:r>
        <w:rPr/>
        <w:t>be</w:t>
      </w:r>
      <w:r>
        <w:rPr>
          <w:spacing w:val="-11"/>
        </w:rPr>
        <w:t> </w:t>
      </w:r>
      <w:r>
        <w:rPr/>
        <w:t>treated</w:t>
      </w:r>
      <w:r>
        <w:rPr>
          <w:spacing w:val="-11"/>
        </w:rPr>
        <w:t> </w:t>
      </w:r>
      <w:r>
        <w:rPr/>
        <w:t>separately from</w:t>
      </w:r>
      <w:r>
        <w:rPr>
          <w:spacing w:val="-9"/>
        </w:rPr>
        <w:t> </w:t>
      </w:r>
      <w:r>
        <w:rPr/>
        <w:t>feature</w:t>
      </w:r>
      <w:r>
        <w:rPr>
          <w:spacing w:val="-12"/>
        </w:rPr>
        <w:t> </w:t>
      </w:r>
      <w:r>
        <w:rPr/>
        <w:t>count.</w:t>
      </w:r>
      <w:r>
        <w:rPr>
          <w:spacing w:val="-10"/>
        </w:rPr>
        <w:t> </w:t>
      </w:r>
      <w:r>
        <w:rPr/>
        <w:t>A</w:t>
      </w:r>
      <w:r>
        <w:rPr>
          <w:spacing w:val="-13"/>
        </w:rPr>
        <w:t> </w:t>
      </w:r>
      <w:r>
        <w:rPr/>
        <w:t>platform</w:t>
      </w:r>
      <w:r>
        <w:rPr>
          <w:spacing w:val="-9"/>
        </w:rPr>
        <w:t> </w:t>
      </w:r>
      <w:r>
        <w:rPr/>
        <w:t>with</w:t>
      </w:r>
      <w:r>
        <w:rPr>
          <w:spacing w:val="-12"/>
        </w:rPr>
        <w:t> </w:t>
      </w:r>
      <w:r>
        <w:rPr/>
        <w:t>many</w:t>
      </w:r>
      <w:r>
        <w:rPr>
          <w:spacing w:val="-9"/>
        </w:rPr>
        <w:t> </w:t>
      </w:r>
      <w:r>
        <w:rPr/>
        <w:t>listed</w:t>
      </w:r>
      <w:r>
        <w:rPr>
          <w:spacing w:val="-9"/>
        </w:rPr>
        <w:t> </w:t>
      </w:r>
      <w:r>
        <w:rPr/>
        <w:t>technologies is not necessarily closer to operational deployment than a smaller system with reliable synchronization and validated </w:t>
      </w:r>
      <w:r>
        <w:rPr>
          <w:spacing w:val="-2"/>
        </w:rPr>
        <w:t>control.</w:t>
      </w:r>
      <w:r>
        <w:rPr>
          <w:spacing w:val="-3"/>
        </w:rPr>
        <w:t> </w:t>
      </w:r>
      <w:r>
        <w:rPr>
          <w:spacing w:val="-2"/>
        </w:rPr>
        <w:t>Future</w:t>
      </w:r>
      <w:r>
        <w:rPr>
          <w:spacing w:val="-3"/>
        </w:rPr>
        <w:t> </w:t>
      </w:r>
      <w:r>
        <w:rPr>
          <w:spacing w:val="-2"/>
        </w:rPr>
        <w:t>comparative studies</w:t>
      </w:r>
      <w:r>
        <w:rPr>
          <w:spacing w:val="-5"/>
        </w:rPr>
        <w:t> </w:t>
      </w:r>
      <w:r>
        <w:rPr>
          <w:spacing w:val="-2"/>
        </w:rPr>
        <w:t>should</w:t>
      </w:r>
      <w:r>
        <w:rPr>
          <w:spacing w:val="-5"/>
        </w:rPr>
        <w:t> </w:t>
      </w:r>
      <w:r>
        <w:rPr>
          <w:spacing w:val="-2"/>
        </w:rPr>
        <w:t>report</w:t>
      </w:r>
      <w:r>
        <w:rPr>
          <w:spacing w:val="-3"/>
        </w:rPr>
        <w:t> </w:t>
      </w:r>
      <w:r>
        <w:rPr>
          <w:spacing w:val="-2"/>
        </w:rPr>
        <w:t>the</w:t>
      </w:r>
      <w:r>
        <w:rPr>
          <w:spacing w:val="-3"/>
        </w:rPr>
        <w:t> </w:t>
      </w:r>
      <w:r>
        <w:rPr>
          <w:spacing w:val="-2"/>
        </w:rPr>
        <w:t>maturity </w:t>
      </w:r>
      <w:r>
        <w:rPr/>
        <w:t>of the demonstrated workflow, the role of human operators, </w:t>
      </w:r>
      <w:r>
        <w:rPr>
          <w:spacing w:val="-2"/>
        </w:rPr>
        <w:t>the</w:t>
      </w:r>
      <w:r>
        <w:rPr>
          <w:spacing w:val="-9"/>
        </w:rPr>
        <w:t> </w:t>
      </w:r>
      <w:r>
        <w:rPr>
          <w:spacing w:val="-2"/>
        </w:rPr>
        <w:t>quality</w:t>
      </w:r>
      <w:r>
        <w:rPr>
          <w:spacing w:val="-8"/>
        </w:rPr>
        <w:t> </w:t>
      </w:r>
      <w:r>
        <w:rPr>
          <w:spacing w:val="-2"/>
        </w:rPr>
        <w:t>of</w:t>
      </w:r>
      <w:r>
        <w:rPr>
          <w:spacing w:val="-8"/>
        </w:rPr>
        <w:t> </w:t>
      </w:r>
      <w:r>
        <w:rPr>
          <w:spacing w:val="-2"/>
        </w:rPr>
        <w:t>feedback</w:t>
      </w:r>
      <w:r>
        <w:rPr>
          <w:spacing w:val="-8"/>
        </w:rPr>
        <w:t> </w:t>
      </w:r>
      <w:r>
        <w:rPr>
          <w:spacing w:val="-2"/>
        </w:rPr>
        <w:t>data,</w:t>
      </w:r>
      <w:r>
        <w:rPr>
          <w:spacing w:val="-8"/>
        </w:rPr>
        <w:t> </w:t>
      </w:r>
      <w:r>
        <w:rPr>
          <w:spacing w:val="-2"/>
        </w:rPr>
        <w:t>and</w:t>
      </w:r>
      <w:r>
        <w:rPr>
          <w:spacing w:val="-5"/>
        </w:rPr>
        <w:t> </w:t>
      </w:r>
      <w:r>
        <w:rPr>
          <w:spacing w:val="-2"/>
        </w:rPr>
        <w:t>the</w:t>
      </w:r>
      <w:r>
        <w:rPr>
          <w:spacing w:val="-9"/>
        </w:rPr>
        <w:t> </w:t>
      </w:r>
      <w:r>
        <w:rPr>
          <w:spacing w:val="-2"/>
        </w:rPr>
        <w:t>safeguards</w:t>
      </w:r>
      <w:r>
        <w:rPr>
          <w:spacing w:val="-10"/>
        </w:rPr>
        <w:t> </w:t>
      </w:r>
      <w:r>
        <w:rPr>
          <w:spacing w:val="-2"/>
        </w:rPr>
        <w:t>applied</w:t>
      </w:r>
      <w:r>
        <w:rPr>
          <w:spacing w:val="-6"/>
        </w:rPr>
        <w:t> </w:t>
      </w:r>
      <w:r>
        <w:rPr>
          <w:spacing w:val="-2"/>
        </w:rPr>
        <w:t>before </w:t>
      </w:r>
      <w:r>
        <w:rPr/>
        <w:t>physical intervention. This would complement capability-based</w:t>
      </w:r>
      <w:r>
        <w:rPr>
          <w:spacing w:val="-7"/>
        </w:rPr>
        <w:t> </w:t>
      </w:r>
      <w:r>
        <w:rPr/>
        <w:t>comparison</w:t>
      </w:r>
      <w:r>
        <w:rPr>
          <w:spacing w:val="-7"/>
        </w:rPr>
        <w:t> </w:t>
      </w:r>
      <w:r>
        <w:rPr/>
        <w:t>without</w:t>
      </w:r>
      <w:r>
        <w:rPr>
          <w:spacing w:val="-7"/>
        </w:rPr>
        <w:t> </w:t>
      </w:r>
      <w:r>
        <w:rPr/>
        <w:t>claiming</w:t>
      </w:r>
      <w:r>
        <w:rPr>
          <w:spacing w:val="-5"/>
        </w:rPr>
        <w:t> </w:t>
      </w:r>
      <w:r>
        <w:rPr/>
        <w:t>that</w:t>
      </w:r>
      <w:r>
        <w:rPr>
          <w:spacing w:val="-7"/>
        </w:rPr>
        <w:t> </w:t>
      </w:r>
      <w:r>
        <w:rPr/>
        <w:t>a</w:t>
      </w:r>
      <w:r>
        <w:rPr>
          <w:spacing w:val="-8"/>
        </w:rPr>
        <w:t> </w:t>
      </w:r>
      <w:r>
        <w:rPr/>
        <w:t>particular</w:t>
      </w:r>
      <w:r>
        <w:rPr>
          <w:spacing w:val="-8"/>
        </w:rPr>
        <w:t> </w:t>
      </w:r>
      <w:r>
        <w:rPr/>
        <w:t>maturity scale is newly invented by this review.</w:t>
      </w:r>
    </w:p>
    <w:p>
      <w:pPr>
        <w:pStyle w:val="Heading1"/>
        <w:numPr>
          <w:ilvl w:val="0"/>
          <w:numId w:val="2"/>
        </w:numPr>
        <w:tabs>
          <w:tab w:pos="492" w:val="left" w:leader="none"/>
        </w:tabs>
        <w:spacing w:line="240" w:lineRule="auto" w:before="120" w:after="0"/>
        <w:ind w:left="492" w:right="0" w:hanging="320"/>
        <w:jc w:val="left"/>
      </w:pPr>
      <w:r>
        <w:rPr>
          <w:spacing w:val="-2"/>
        </w:rPr>
        <w:t>CONCLUSION</w:t>
      </w:r>
    </w:p>
    <w:p>
      <w:pPr>
        <w:pStyle w:val="BodyText"/>
        <w:spacing w:line="228" w:lineRule="auto"/>
        <w:ind w:right="41"/>
      </w:pPr>
      <w:r>
        <w:rPr/>
        <w:t>This review compared 20 peer-reviewed urban Digital Twin</w:t>
      </w:r>
      <w:r>
        <w:rPr>
          <w:spacing w:val="59"/>
        </w:rPr>
        <w:t> </w:t>
      </w:r>
      <w:r>
        <w:rPr/>
        <w:t>research</w:t>
      </w:r>
      <w:r>
        <w:rPr>
          <w:spacing w:val="60"/>
        </w:rPr>
        <w:t> </w:t>
      </w:r>
      <w:r>
        <w:rPr/>
        <w:t>studies</w:t>
      </w:r>
      <w:r>
        <w:rPr>
          <w:spacing w:val="58"/>
        </w:rPr>
        <w:t> </w:t>
      </w:r>
      <w:r>
        <w:rPr/>
        <w:t>using</w:t>
      </w:r>
      <w:r>
        <w:rPr>
          <w:spacing w:val="60"/>
        </w:rPr>
        <w:t> </w:t>
      </w:r>
      <w:r>
        <w:rPr/>
        <w:t>a</w:t>
      </w:r>
      <w:r>
        <w:rPr>
          <w:spacing w:val="59"/>
        </w:rPr>
        <w:t> </w:t>
      </w:r>
      <w:r>
        <w:rPr/>
        <w:t>common</w:t>
      </w:r>
      <w:r>
        <w:rPr>
          <w:spacing w:val="60"/>
        </w:rPr>
        <w:t> </w:t>
      </w:r>
      <w:r>
        <w:rPr/>
        <w:t>capability-</w:t>
      </w:r>
      <w:r>
        <w:rPr>
          <w:spacing w:val="-4"/>
        </w:rPr>
        <w:t>based</w:t>
      </w:r>
    </w:p>
    <w:p>
      <w:pPr>
        <w:pStyle w:val="BodyText"/>
        <w:spacing w:line="228" w:lineRule="auto" w:before="80"/>
        <w:ind w:right="169" w:firstLine="0"/>
      </w:pPr>
      <w:r>
        <w:rPr/>
        <w:br w:type="column"/>
      </w:r>
      <w:r>
        <w:rPr/>
        <w:t>framework. The approach addresses a specific limitation of broad</w:t>
      </w:r>
      <w:r>
        <w:rPr>
          <w:spacing w:val="-13"/>
        </w:rPr>
        <w:t> </w:t>
      </w:r>
      <w:r>
        <w:rPr/>
        <w:t>narrative</w:t>
      </w:r>
      <w:r>
        <w:rPr>
          <w:spacing w:val="-12"/>
        </w:rPr>
        <w:t> </w:t>
      </w:r>
      <w:r>
        <w:rPr/>
        <w:t>reviews:</w:t>
      </w:r>
      <w:r>
        <w:rPr>
          <w:spacing w:val="-13"/>
        </w:rPr>
        <w:t> </w:t>
      </w:r>
      <w:r>
        <w:rPr/>
        <w:t>individual</w:t>
      </w:r>
      <w:r>
        <w:rPr>
          <w:spacing w:val="-12"/>
        </w:rPr>
        <w:t> </w:t>
      </w:r>
      <w:r>
        <w:rPr/>
        <w:t>studies</w:t>
      </w:r>
      <w:r>
        <w:rPr>
          <w:spacing w:val="-13"/>
        </w:rPr>
        <w:t> </w:t>
      </w:r>
      <w:r>
        <w:rPr/>
        <w:t>often</w:t>
      </w:r>
      <w:r>
        <w:rPr>
          <w:spacing w:val="-12"/>
        </w:rPr>
        <w:t> </w:t>
      </w:r>
      <w:r>
        <w:rPr/>
        <w:t>use</w:t>
      </w:r>
      <w:r>
        <w:rPr>
          <w:spacing w:val="-13"/>
        </w:rPr>
        <w:t> </w:t>
      </w:r>
      <w:r>
        <w:rPr/>
        <w:t>different </w:t>
      </w:r>
      <w:r>
        <w:rPr>
          <w:spacing w:val="-2"/>
        </w:rPr>
        <w:t>terminology and emphasize different</w:t>
      </w:r>
      <w:r>
        <w:rPr>
          <w:spacing w:val="-3"/>
        </w:rPr>
        <w:t> </w:t>
      </w:r>
      <w:r>
        <w:rPr>
          <w:spacing w:val="-2"/>
        </w:rPr>
        <w:t>functions,</w:t>
      </w:r>
      <w:r>
        <w:rPr>
          <w:spacing w:val="-3"/>
        </w:rPr>
        <w:t> </w:t>
      </w:r>
      <w:r>
        <w:rPr>
          <w:spacing w:val="-2"/>
        </w:rPr>
        <w:t>making direct </w:t>
      </w:r>
      <w:r>
        <w:rPr/>
        <w:t>comparison difficult. By coding the same capability dimensions across the corpus and summarizing their occurrence quantitatively, the review identifies where the evidence is concentrated and where important functions remain under-demonstrated.</w:t>
      </w:r>
    </w:p>
    <w:p>
      <w:pPr>
        <w:pStyle w:val="BodyText"/>
        <w:spacing w:line="228" w:lineRule="auto"/>
        <w:ind w:right="168"/>
      </w:pPr>
      <w:r>
        <w:rPr/>
        <w:t>The</w:t>
      </w:r>
      <w:r>
        <w:rPr>
          <w:spacing w:val="-5"/>
        </w:rPr>
        <w:t> </w:t>
      </w:r>
      <w:r>
        <w:rPr/>
        <w:t>analysis</w:t>
      </w:r>
      <w:r>
        <w:rPr>
          <w:spacing w:val="-6"/>
        </w:rPr>
        <w:t> </w:t>
      </w:r>
      <w:r>
        <w:rPr/>
        <w:t>indicates</w:t>
      </w:r>
      <w:r>
        <w:rPr>
          <w:spacing w:val="-6"/>
        </w:rPr>
        <w:t> </w:t>
      </w:r>
      <w:r>
        <w:rPr/>
        <w:t>that</w:t>
      </w:r>
      <w:r>
        <w:rPr>
          <w:spacing w:val="-7"/>
        </w:rPr>
        <w:t> </w:t>
      </w:r>
      <w:r>
        <w:rPr/>
        <w:t>multi-source</w:t>
      </w:r>
      <w:r>
        <w:rPr>
          <w:spacing w:val="-6"/>
        </w:rPr>
        <w:t> </w:t>
      </w:r>
      <w:r>
        <w:rPr/>
        <w:t>data,</w:t>
      </w:r>
      <w:r>
        <w:rPr>
          <w:spacing w:val="-6"/>
        </w:rPr>
        <w:t> </w:t>
      </w:r>
      <w:r>
        <w:rPr/>
        <w:t>integration, decision support, and data-driven intelligence are central themes. Prediction, simulation, visualization, and scalable computing are also substantial components of the selected </w:t>
      </w:r>
      <w:r>
        <w:rPr>
          <w:spacing w:val="-2"/>
        </w:rPr>
        <w:t>research.</w:t>
      </w:r>
      <w:r>
        <w:rPr>
          <w:spacing w:val="-11"/>
        </w:rPr>
        <w:t> </w:t>
      </w:r>
      <w:r>
        <w:rPr>
          <w:spacing w:val="-2"/>
        </w:rPr>
        <w:t>In</w:t>
      </w:r>
      <w:r>
        <w:rPr>
          <w:spacing w:val="-7"/>
        </w:rPr>
        <w:t> </w:t>
      </w:r>
      <w:r>
        <w:rPr>
          <w:spacing w:val="-2"/>
        </w:rPr>
        <w:t>contrast,</w:t>
      </w:r>
      <w:r>
        <w:rPr>
          <w:spacing w:val="-9"/>
        </w:rPr>
        <w:t> </w:t>
      </w:r>
      <w:r>
        <w:rPr>
          <w:spacing w:val="-2"/>
        </w:rPr>
        <w:t>explicit</w:t>
      </w:r>
      <w:r>
        <w:rPr>
          <w:spacing w:val="-9"/>
        </w:rPr>
        <w:t> </w:t>
      </w:r>
      <w:r>
        <w:rPr>
          <w:spacing w:val="-2"/>
        </w:rPr>
        <w:t>physical</w:t>
      </w:r>
      <w:r>
        <w:rPr>
          <w:spacing w:val="-9"/>
        </w:rPr>
        <w:t> </w:t>
      </w:r>
      <w:r>
        <w:rPr>
          <w:spacing w:val="-2"/>
        </w:rPr>
        <w:t>actuation</w:t>
      </w:r>
      <w:r>
        <w:rPr>
          <w:spacing w:val="-8"/>
        </w:rPr>
        <w:t> </w:t>
      </w:r>
      <w:r>
        <w:rPr>
          <w:spacing w:val="-2"/>
        </w:rPr>
        <w:t>and</w:t>
      </w:r>
      <w:r>
        <w:rPr>
          <w:spacing w:val="-8"/>
        </w:rPr>
        <w:t> </w:t>
      </w:r>
      <w:r>
        <w:rPr>
          <w:spacing w:val="-2"/>
        </w:rPr>
        <w:t>integrated </w:t>
      </w:r>
      <w:r>
        <w:rPr/>
        <w:t>security/governance</w:t>
      </w:r>
      <w:r>
        <w:rPr>
          <w:spacing w:val="-13"/>
        </w:rPr>
        <w:t> </w:t>
      </w:r>
      <w:r>
        <w:rPr/>
        <w:t>are</w:t>
      </w:r>
      <w:r>
        <w:rPr>
          <w:spacing w:val="-12"/>
        </w:rPr>
        <w:t> </w:t>
      </w:r>
      <w:r>
        <w:rPr/>
        <w:t>uncommon.</w:t>
      </w:r>
      <w:r>
        <w:rPr>
          <w:spacing w:val="-13"/>
        </w:rPr>
        <w:t> </w:t>
      </w:r>
      <w:r>
        <w:rPr/>
        <w:t>Mobility</w:t>
      </w:r>
      <w:r>
        <w:rPr>
          <w:spacing w:val="-12"/>
        </w:rPr>
        <w:t> </w:t>
      </w:r>
      <w:r>
        <w:rPr/>
        <w:t>studies</w:t>
      </w:r>
      <w:r>
        <w:rPr>
          <w:spacing w:val="-13"/>
        </w:rPr>
        <w:t> </w:t>
      </w:r>
      <w:r>
        <w:rPr/>
        <w:t>provide some of the clearest examples of real-time operational behavior, while environmental, resilience, semantic, and building studies contribute complementary capabilities.</w:t>
      </w:r>
    </w:p>
    <w:p>
      <w:pPr>
        <w:pStyle w:val="BodyText"/>
        <w:spacing w:line="228" w:lineRule="auto" w:before="62"/>
        <w:ind w:right="165"/>
      </w:pPr>
      <w:r>
        <w:rPr>
          <w:spacing w:val="-2"/>
        </w:rPr>
        <w:t>The</w:t>
      </w:r>
      <w:r>
        <w:rPr>
          <w:spacing w:val="-4"/>
        </w:rPr>
        <w:t> </w:t>
      </w:r>
      <w:r>
        <w:rPr>
          <w:spacing w:val="-2"/>
        </w:rPr>
        <w:t>paper's</w:t>
      </w:r>
      <w:r>
        <w:rPr>
          <w:spacing w:val="-5"/>
        </w:rPr>
        <w:t> </w:t>
      </w:r>
      <w:r>
        <w:rPr>
          <w:spacing w:val="-2"/>
        </w:rPr>
        <w:t>contribution</w:t>
      </w:r>
      <w:r>
        <w:rPr>
          <w:spacing w:val="-3"/>
        </w:rPr>
        <w:t> </w:t>
      </w:r>
      <w:r>
        <w:rPr>
          <w:spacing w:val="-2"/>
        </w:rPr>
        <w:t>is</w:t>
      </w:r>
      <w:r>
        <w:rPr>
          <w:spacing w:val="-5"/>
        </w:rPr>
        <w:t> </w:t>
      </w:r>
      <w:r>
        <w:rPr>
          <w:spacing w:val="-2"/>
        </w:rPr>
        <w:t>therefore</w:t>
      </w:r>
      <w:r>
        <w:rPr>
          <w:spacing w:val="-4"/>
        </w:rPr>
        <w:t> </w:t>
      </w:r>
      <w:r>
        <w:rPr>
          <w:spacing w:val="-2"/>
        </w:rPr>
        <w:t>a</w:t>
      </w:r>
      <w:r>
        <w:rPr>
          <w:spacing w:val="-4"/>
        </w:rPr>
        <w:t> </w:t>
      </w:r>
      <w:r>
        <w:rPr>
          <w:spacing w:val="-2"/>
        </w:rPr>
        <w:t>comparative</w:t>
      </w:r>
      <w:r>
        <w:rPr>
          <w:spacing w:val="-4"/>
        </w:rPr>
        <w:t> </w:t>
      </w:r>
      <w:r>
        <w:rPr>
          <w:spacing w:val="-2"/>
        </w:rPr>
        <w:t>review </w:t>
      </w:r>
      <w:r>
        <w:rPr/>
        <w:t>method and evidence synthesis, not a claim of a new urban </w:t>
      </w:r>
      <w:r>
        <w:rPr>
          <w:spacing w:val="-2"/>
        </w:rPr>
        <w:t>Digital</w:t>
      </w:r>
      <w:r>
        <w:rPr>
          <w:spacing w:val="-7"/>
        </w:rPr>
        <w:t> </w:t>
      </w:r>
      <w:r>
        <w:rPr>
          <w:spacing w:val="-2"/>
        </w:rPr>
        <w:t>Twin</w:t>
      </w:r>
      <w:r>
        <w:rPr>
          <w:spacing w:val="-3"/>
        </w:rPr>
        <w:t> </w:t>
      </w:r>
      <w:r>
        <w:rPr>
          <w:spacing w:val="-2"/>
        </w:rPr>
        <w:t>architecture.</w:t>
      </w:r>
      <w:r>
        <w:rPr>
          <w:spacing w:val="-6"/>
        </w:rPr>
        <w:t> </w:t>
      </w:r>
      <w:r>
        <w:rPr>
          <w:spacing w:val="-2"/>
        </w:rPr>
        <w:t>The</w:t>
      </w:r>
      <w:r>
        <w:rPr>
          <w:spacing w:val="-6"/>
        </w:rPr>
        <w:t> </w:t>
      </w:r>
      <w:r>
        <w:rPr>
          <w:spacing w:val="-2"/>
        </w:rPr>
        <w:t>capability</w:t>
      </w:r>
      <w:r>
        <w:rPr>
          <w:spacing w:val="-3"/>
        </w:rPr>
        <w:t> </w:t>
      </w:r>
      <w:r>
        <w:rPr>
          <w:spacing w:val="-2"/>
        </w:rPr>
        <w:t>matrix</w:t>
      </w:r>
      <w:r>
        <w:rPr>
          <w:spacing w:val="-6"/>
        </w:rPr>
        <w:t> </w:t>
      </w:r>
      <w:r>
        <w:rPr>
          <w:spacing w:val="-2"/>
        </w:rPr>
        <w:t>can</w:t>
      </w:r>
      <w:r>
        <w:rPr>
          <w:spacing w:val="-6"/>
        </w:rPr>
        <w:t> </w:t>
      </w:r>
      <w:r>
        <w:rPr>
          <w:spacing w:val="-2"/>
        </w:rPr>
        <w:t>be</w:t>
      </w:r>
      <w:r>
        <w:rPr>
          <w:spacing w:val="-6"/>
        </w:rPr>
        <w:t> </w:t>
      </w:r>
      <w:r>
        <w:rPr>
          <w:spacing w:val="-2"/>
        </w:rPr>
        <w:t>reused for</w:t>
      </w:r>
      <w:r>
        <w:rPr>
          <w:spacing w:val="-8"/>
        </w:rPr>
        <w:t> </w:t>
      </w:r>
      <w:r>
        <w:rPr>
          <w:spacing w:val="-2"/>
        </w:rPr>
        <w:t>future</w:t>
      </w:r>
      <w:r>
        <w:rPr>
          <w:spacing w:val="-9"/>
        </w:rPr>
        <w:t> </w:t>
      </w:r>
      <w:r>
        <w:rPr>
          <w:spacing w:val="-2"/>
        </w:rPr>
        <w:t>studies</w:t>
      </w:r>
      <w:r>
        <w:rPr>
          <w:spacing w:val="-10"/>
        </w:rPr>
        <w:t> </w:t>
      </w:r>
      <w:r>
        <w:rPr>
          <w:spacing w:val="-2"/>
        </w:rPr>
        <w:t>and</w:t>
      </w:r>
      <w:r>
        <w:rPr>
          <w:spacing w:val="-8"/>
        </w:rPr>
        <w:t> </w:t>
      </w:r>
      <w:r>
        <w:rPr>
          <w:spacing w:val="-2"/>
        </w:rPr>
        <w:t>expanded</w:t>
      </w:r>
      <w:r>
        <w:rPr>
          <w:spacing w:val="-8"/>
        </w:rPr>
        <w:t> </w:t>
      </w:r>
      <w:r>
        <w:rPr>
          <w:spacing w:val="-2"/>
        </w:rPr>
        <w:t>as</w:t>
      </w:r>
      <w:r>
        <w:rPr>
          <w:spacing w:val="-9"/>
        </w:rPr>
        <w:t> </w:t>
      </w:r>
      <w:r>
        <w:rPr>
          <w:spacing w:val="-2"/>
        </w:rPr>
        <w:t>additional</w:t>
      </w:r>
      <w:r>
        <w:rPr>
          <w:spacing w:val="-9"/>
        </w:rPr>
        <w:t> </w:t>
      </w:r>
      <w:r>
        <w:rPr>
          <w:spacing w:val="-2"/>
        </w:rPr>
        <w:t>city-scale</w:t>
      </w:r>
      <w:r>
        <w:rPr>
          <w:spacing w:val="-8"/>
        </w:rPr>
        <w:t> </w:t>
      </w:r>
      <w:r>
        <w:rPr>
          <w:spacing w:val="-2"/>
        </w:rPr>
        <w:t>Digital </w:t>
      </w:r>
      <w:r>
        <w:rPr/>
        <w:t>Twin implementations become available. The next research step should be to evaluate these capabilities using common datasets, performance measures, uncertainty reporting, and intervention-validation</w:t>
      </w:r>
      <w:r>
        <w:rPr>
          <w:spacing w:val="-6"/>
        </w:rPr>
        <w:t> </w:t>
      </w:r>
      <w:r>
        <w:rPr/>
        <w:t>protocols</w:t>
      </w:r>
      <w:r>
        <w:rPr>
          <w:spacing w:val="-6"/>
        </w:rPr>
        <w:t> </w:t>
      </w:r>
      <w:r>
        <w:rPr/>
        <w:t>so</w:t>
      </w:r>
      <w:r>
        <w:rPr>
          <w:spacing w:val="-5"/>
        </w:rPr>
        <w:t> </w:t>
      </w:r>
      <w:r>
        <w:rPr/>
        <w:t>that</w:t>
      </w:r>
      <w:r>
        <w:rPr>
          <w:spacing w:val="-7"/>
        </w:rPr>
        <w:t> </w:t>
      </w:r>
      <w:r>
        <w:rPr/>
        <w:t>urban</w:t>
      </w:r>
      <w:r>
        <w:rPr>
          <w:spacing w:val="-5"/>
        </w:rPr>
        <w:t> </w:t>
      </w:r>
      <w:r>
        <w:rPr/>
        <w:t>Digital</w:t>
      </w:r>
      <w:r>
        <w:rPr>
          <w:spacing w:val="-7"/>
        </w:rPr>
        <w:t> </w:t>
      </w:r>
      <w:r>
        <w:rPr/>
        <w:t>Twins </w:t>
      </w:r>
      <w:r>
        <w:rPr>
          <w:spacing w:val="-2"/>
        </w:rPr>
        <w:t>can</w:t>
      </w:r>
      <w:r>
        <w:rPr>
          <w:spacing w:val="-5"/>
        </w:rPr>
        <w:t> </w:t>
      </w:r>
      <w:r>
        <w:rPr>
          <w:spacing w:val="-2"/>
        </w:rPr>
        <w:t>progress</w:t>
      </w:r>
      <w:r>
        <w:rPr>
          <w:spacing w:val="-7"/>
        </w:rPr>
        <w:t> </w:t>
      </w:r>
      <w:r>
        <w:rPr>
          <w:spacing w:val="-2"/>
        </w:rPr>
        <w:t>from isolated</w:t>
      </w:r>
      <w:r>
        <w:rPr>
          <w:spacing w:val="-5"/>
        </w:rPr>
        <w:t> </w:t>
      </w:r>
      <w:r>
        <w:rPr>
          <w:spacing w:val="-2"/>
        </w:rPr>
        <w:t>demonstrations</w:t>
      </w:r>
      <w:r>
        <w:rPr>
          <w:spacing w:val="-4"/>
        </w:rPr>
        <w:t> </w:t>
      </w:r>
      <w:r>
        <w:rPr>
          <w:spacing w:val="-2"/>
        </w:rPr>
        <w:t>toward</w:t>
      </w:r>
      <w:r>
        <w:rPr>
          <w:spacing w:val="-5"/>
        </w:rPr>
        <w:t> </w:t>
      </w:r>
      <w:r>
        <w:rPr>
          <w:spacing w:val="-2"/>
        </w:rPr>
        <w:t>trustworthy </w:t>
      </w:r>
      <w:r>
        <w:rPr/>
        <w:t>decision-support infrastructure.</w:t>
      </w:r>
    </w:p>
    <w:p>
      <w:pPr>
        <w:pStyle w:val="BodyText"/>
        <w:spacing w:before="139"/>
        <w:ind w:left="0" w:firstLine="0"/>
        <w:jc w:val="left"/>
      </w:pPr>
    </w:p>
    <w:p>
      <w:pPr>
        <w:pStyle w:val="Heading1"/>
        <w:ind w:left="0"/>
        <w:jc w:val="center"/>
      </w:pPr>
      <w:r>
        <w:rPr>
          <w:spacing w:val="-2"/>
        </w:rPr>
        <w:t>REFERENCES</w:t>
      </w:r>
    </w:p>
    <w:p>
      <w:pPr>
        <w:pStyle w:val="ListParagraph"/>
        <w:numPr>
          <w:ilvl w:val="0"/>
          <w:numId w:val="3"/>
        </w:numPr>
        <w:tabs>
          <w:tab w:pos="411" w:val="left" w:leader="none"/>
          <w:tab w:pos="431" w:val="left" w:leader="none"/>
        </w:tabs>
        <w:spacing w:line="240" w:lineRule="auto" w:before="62" w:after="0"/>
        <w:ind w:left="431" w:right="168" w:hanging="260"/>
        <w:jc w:val="both"/>
        <w:rPr>
          <w:sz w:val="16"/>
        </w:rPr>
      </w:pPr>
      <w:r>
        <w:rPr>
          <w:sz w:val="16"/>
        </w:rPr>
        <w:t>M. Mendula, A. Bujari, L. Foschini, and P. Bellavista, “A data-driven</w:t>
      </w:r>
      <w:r>
        <w:rPr>
          <w:spacing w:val="40"/>
          <w:sz w:val="16"/>
        </w:rPr>
        <w:t> </w:t>
      </w:r>
      <w:r>
        <w:rPr>
          <w:sz w:val="16"/>
        </w:rPr>
        <w:t>digital twin for urban activity monitoring,” in Proc. 2022 IEEE Symp.</w:t>
      </w:r>
      <w:r>
        <w:rPr>
          <w:spacing w:val="40"/>
          <w:sz w:val="16"/>
        </w:rPr>
        <w:t> </w:t>
      </w:r>
      <w:r>
        <w:rPr>
          <w:sz w:val="16"/>
        </w:rPr>
        <w:t>Comput. Commun. (ISCC), 2022, pp. 1–6, doi:</w:t>
      </w:r>
      <w:r>
        <w:rPr>
          <w:spacing w:val="40"/>
          <w:sz w:val="16"/>
        </w:rPr>
        <w:t> </w:t>
      </w:r>
      <w:r>
        <w:rPr>
          <w:spacing w:val="-2"/>
          <w:sz w:val="16"/>
        </w:rPr>
        <w:t>10.1109/ISCC55528.2022.9912914.</w:t>
      </w:r>
    </w:p>
    <w:p>
      <w:pPr>
        <w:pStyle w:val="ListParagraph"/>
        <w:numPr>
          <w:ilvl w:val="0"/>
          <w:numId w:val="3"/>
        </w:numPr>
        <w:tabs>
          <w:tab w:pos="431" w:val="left" w:leader="none"/>
          <w:tab w:pos="492" w:val="left" w:leader="none"/>
        </w:tabs>
        <w:spacing w:line="240" w:lineRule="auto" w:before="0" w:after="0"/>
        <w:ind w:left="431" w:right="165" w:hanging="260"/>
        <w:jc w:val="both"/>
        <w:rPr>
          <w:sz w:val="16"/>
        </w:rPr>
      </w:pPr>
      <w:r>
        <w:rPr>
          <w:sz w:val="16"/>
        </w:rPr>
        <w:tab/>
        <w:t>J. Kim and Y. Ham, “Real-time participatory sensing-driven</w:t>
      </w:r>
      <w:r>
        <w:rPr>
          <w:spacing w:val="40"/>
          <w:sz w:val="16"/>
        </w:rPr>
        <w:t> </w:t>
      </w:r>
      <w:r>
        <w:rPr>
          <w:sz w:val="16"/>
        </w:rPr>
        <w:t>computational framework toward digital twin city modeling,” in Proc.</w:t>
      </w:r>
      <w:r>
        <w:rPr>
          <w:spacing w:val="40"/>
          <w:sz w:val="16"/>
        </w:rPr>
        <w:t> </w:t>
      </w:r>
      <w:r>
        <w:rPr>
          <w:sz w:val="16"/>
        </w:rPr>
        <w:t>Construction Research Congress 2022, 2022, pp. 281–289, doi:</w:t>
      </w:r>
      <w:r>
        <w:rPr>
          <w:spacing w:val="40"/>
          <w:sz w:val="16"/>
        </w:rPr>
        <w:t> </w:t>
      </w:r>
      <w:r>
        <w:rPr>
          <w:spacing w:val="-2"/>
          <w:sz w:val="16"/>
        </w:rPr>
        <w:t>10.1061/9780784483961.030.</w:t>
      </w:r>
    </w:p>
    <w:p>
      <w:pPr>
        <w:pStyle w:val="ListParagraph"/>
        <w:numPr>
          <w:ilvl w:val="0"/>
          <w:numId w:val="3"/>
        </w:numPr>
        <w:tabs>
          <w:tab w:pos="395" w:val="left" w:leader="none"/>
        </w:tabs>
        <w:spacing w:line="240" w:lineRule="auto" w:before="0" w:after="0"/>
        <w:ind w:left="395" w:right="0" w:hanging="223"/>
        <w:jc w:val="both"/>
        <w:rPr>
          <w:sz w:val="16"/>
        </w:rPr>
      </w:pPr>
      <w:r>
        <w:rPr>
          <w:sz w:val="16"/>
        </w:rPr>
        <w:t>H.</w:t>
      </w:r>
      <w:r>
        <w:rPr>
          <w:spacing w:val="-5"/>
          <w:sz w:val="16"/>
        </w:rPr>
        <w:t> </w:t>
      </w:r>
      <w:r>
        <w:rPr>
          <w:sz w:val="16"/>
        </w:rPr>
        <w:t>Xu,</w:t>
      </w:r>
      <w:r>
        <w:rPr>
          <w:spacing w:val="-5"/>
          <w:sz w:val="16"/>
        </w:rPr>
        <w:t> </w:t>
      </w:r>
      <w:r>
        <w:rPr>
          <w:sz w:val="16"/>
        </w:rPr>
        <w:t>A.</w:t>
      </w:r>
      <w:r>
        <w:rPr>
          <w:spacing w:val="-6"/>
          <w:sz w:val="16"/>
        </w:rPr>
        <w:t> </w:t>
      </w:r>
      <w:r>
        <w:rPr>
          <w:sz w:val="16"/>
        </w:rPr>
        <w:t>Berres,</w:t>
      </w:r>
      <w:r>
        <w:rPr>
          <w:spacing w:val="-4"/>
          <w:sz w:val="16"/>
        </w:rPr>
        <w:t> </w:t>
      </w:r>
      <w:r>
        <w:rPr>
          <w:sz w:val="16"/>
        </w:rPr>
        <w:t>S.</w:t>
      </w:r>
      <w:r>
        <w:rPr>
          <w:spacing w:val="-7"/>
          <w:sz w:val="16"/>
        </w:rPr>
        <w:t> </w:t>
      </w:r>
      <w:r>
        <w:rPr>
          <w:sz w:val="16"/>
        </w:rPr>
        <w:t>B.</w:t>
      </w:r>
      <w:r>
        <w:rPr>
          <w:spacing w:val="-6"/>
          <w:sz w:val="16"/>
        </w:rPr>
        <w:t> </w:t>
      </w:r>
      <w:r>
        <w:rPr>
          <w:sz w:val="16"/>
        </w:rPr>
        <w:t>Yoginath,</w:t>
      </w:r>
      <w:r>
        <w:rPr>
          <w:spacing w:val="-7"/>
          <w:sz w:val="16"/>
        </w:rPr>
        <w:t> </w:t>
      </w:r>
      <w:r>
        <w:rPr>
          <w:sz w:val="16"/>
        </w:rPr>
        <w:t>H.</w:t>
      </w:r>
      <w:r>
        <w:rPr>
          <w:spacing w:val="-4"/>
          <w:sz w:val="16"/>
        </w:rPr>
        <w:t> </w:t>
      </w:r>
      <w:r>
        <w:rPr>
          <w:sz w:val="16"/>
        </w:rPr>
        <w:t>Sorensen,</w:t>
      </w:r>
      <w:r>
        <w:rPr>
          <w:spacing w:val="-7"/>
          <w:sz w:val="16"/>
        </w:rPr>
        <w:t> </w:t>
      </w:r>
      <w:r>
        <w:rPr>
          <w:sz w:val="16"/>
        </w:rPr>
        <w:t>P.</w:t>
      </w:r>
      <w:r>
        <w:rPr>
          <w:spacing w:val="-4"/>
          <w:sz w:val="16"/>
        </w:rPr>
        <w:t> </w:t>
      </w:r>
      <w:r>
        <w:rPr>
          <w:sz w:val="16"/>
        </w:rPr>
        <w:t>J.</w:t>
      </w:r>
      <w:r>
        <w:rPr>
          <w:spacing w:val="-7"/>
          <w:sz w:val="16"/>
        </w:rPr>
        <w:t> </w:t>
      </w:r>
      <w:r>
        <w:rPr>
          <w:sz w:val="16"/>
        </w:rPr>
        <w:t>Nugent,</w:t>
      </w:r>
      <w:r>
        <w:rPr>
          <w:spacing w:val="-4"/>
          <w:sz w:val="16"/>
        </w:rPr>
        <w:t> </w:t>
      </w:r>
      <w:r>
        <w:rPr>
          <w:sz w:val="16"/>
        </w:rPr>
        <w:t>J.</w:t>
      </w:r>
      <w:r>
        <w:rPr>
          <w:spacing w:val="-6"/>
          <w:sz w:val="16"/>
        </w:rPr>
        <w:t> </w:t>
      </w:r>
      <w:r>
        <w:rPr>
          <w:spacing w:val="-2"/>
          <w:sz w:val="16"/>
        </w:rPr>
        <w:t>Severino,</w:t>
      </w:r>
    </w:p>
    <w:p>
      <w:pPr>
        <w:spacing w:before="0"/>
        <w:ind w:left="431" w:right="164" w:firstLine="0"/>
        <w:jc w:val="both"/>
        <w:rPr>
          <w:sz w:val="16"/>
        </w:rPr>
      </w:pPr>
      <w:r>
        <w:rPr>
          <w:sz w:val="16"/>
        </w:rPr>
        <w:t>S. A. Tennille, A. Moore, W. Jones, and J. Sanyal, “Smart mobility in</w:t>
      </w:r>
      <w:r>
        <w:rPr>
          <w:spacing w:val="40"/>
          <w:sz w:val="16"/>
        </w:rPr>
        <w:t> </w:t>
      </w:r>
      <w:r>
        <w:rPr>
          <w:sz w:val="16"/>
        </w:rPr>
        <w:t>the cloud: Enabling real-time situational awareness and cyber-physical</w:t>
      </w:r>
      <w:r>
        <w:rPr>
          <w:spacing w:val="40"/>
          <w:sz w:val="16"/>
        </w:rPr>
        <w:t> </w:t>
      </w:r>
      <w:r>
        <w:rPr>
          <w:sz w:val="16"/>
        </w:rPr>
        <w:t>control through a digital twin for traffic,” IEEE Trans. Intell. Transp.</w:t>
      </w:r>
      <w:r>
        <w:rPr>
          <w:spacing w:val="40"/>
          <w:sz w:val="16"/>
        </w:rPr>
        <w:t> </w:t>
      </w:r>
      <w:r>
        <w:rPr>
          <w:sz w:val="16"/>
        </w:rPr>
        <w:t>Syst., vol. 24, no. 3, pp. 3145–3156, 2023, doi:</w:t>
      </w:r>
      <w:r>
        <w:rPr>
          <w:spacing w:val="40"/>
          <w:sz w:val="16"/>
        </w:rPr>
        <w:t> </w:t>
      </w:r>
      <w:r>
        <w:rPr>
          <w:spacing w:val="-2"/>
          <w:sz w:val="16"/>
        </w:rPr>
        <w:t>10.1109/TITS.2022.3226746.</w:t>
      </w:r>
    </w:p>
    <w:p>
      <w:pPr>
        <w:pStyle w:val="ListParagraph"/>
        <w:numPr>
          <w:ilvl w:val="0"/>
          <w:numId w:val="3"/>
        </w:numPr>
        <w:tabs>
          <w:tab w:pos="392" w:val="left" w:leader="none"/>
          <w:tab w:pos="431" w:val="left" w:leader="none"/>
        </w:tabs>
        <w:spacing w:line="240" w:lineRule="auto" w:before="0" w:after="0"/>
        <w:ind w:left="431" w:right="170" w:hanging="260"/>
        <w:jc w:val="both"/>
        <w:rPr>
          <w:sz w:val="16"/>
        </w:rPr>
      </w:pPr>
      <w:r>
        <w:rPr>
          <w:sz w:val="16"/>
        </w:rPr>
        <w:t>P.</w:t>
      </w:r>
      <w:r>
        <w:rPr>
          <w:spacing w:val="-10"/>
          <w:sz w:val="16"/>
        </w:rPr>
        <w:t> </w:t>
      </w:r>
      <w:r>
        <w:rPr>
          <w:sz w:val="16"/>
        </w:rPr>
        <w:t>Bellini,</w:t>
      </w:r>
      <w:r>
        <w:rPr>
          <w:spacing w:val="-10"/>
          <w:sz w:val="16"/>
        </w:rPr>
        <w:t> </w:t>
      </w:r>
      <w:r>
        <w:rPr>
          <w:sz w:val="16"/>
        </w:rPr>
        <w:t>E.</w:t>
      </w:r>
      <w:r>
        <w:rPr>
          <w:spacing w:val="-10"/>
          <w:sz w:val="16"/>
        </w:rPr>
        <w:t> </w:t>
      </w:r>
      <w:r>
        <w:rPr>
          <w:sz w:val="16"/>
        </w:rPr>
        <w:t>Collini,</w:t>
      </w:r>
      <w:r>
        <w:rPr>
          <w:spacing w:val="-10"/>
          <w:sz w:val="16"/>
        </w:rPr>
        <w:t> </w:t>
      </w:r>
      <w:r>
        <w:rPr>
          <w:sz w:val="16"/>
        </w:rPr>
        <w:t>M.</w:t>
      </w:r>
      <w:r>
        <w:rPr>
          <w:spacing w:val="-8"/>
          <w:sz w:val="16"/>
        </w:rPr>
        <w:t> </w:t>
      </w:r>
      <w:r>
        <w:rPr>
          <w:sz w:val="16"/>
        </w:rPr>
        <w:t>Fanfani,</w:t>
      </w:r>
      <w:r>
        <w:rPr>
          <w:spacing w:val="-10"/>
          <w:sz w:val="16"/>
        </w:rPr>
        <w:t> </w:t>
      </w:r>
      <w:r>
        <w:rPr>
          <w:sz w:val="16"/>
        </w:rPr>
        <w:t>L.</w:t>
      </w:r>
      <w:r>
        <w:rPr>
          <w:spacing w:val="-8"/>
          <w:sz w:val="16"/>
        </w:rPr>
        <w:t> </w:t>
      </w:r>
      <w:r>
        <w:rPr>
          <w:sz w:val="16"/>
        </w:rPr>
        <w:t>A.</w:t>
      </w:r>
      <w:r>
        <w:rPr>
          <w:spacing w:val="-10"/>
          <w:sz w:val="16"/>
        </w:rPr>
        <w:t> </w:t>
      </w:r>
      <w:r>
        <w:rPr>
          <w:sz w:val="16"/>
        </w:rPr>
        <w:t>Ipsaro</w:t>
      </w:r>
      <w:r>
        <w:rPr>
          <w:spacing w:val="-5"/>
          <w:sz w:val="16"/>
        </w:rPr>
        <w:t> </w:t>
      </w:r>
      <w:r>
        <w:rPr>
          <w:sz w:val="16"/>
        </w:rPr>
        <w:t>Palesi,</w:t>
      </w:r>
      <w:r>
        <w:rPr>
          <w:spacing w:val="-10"/>
          <w:sz w:val="16"/>
        </w:rPr>
        <w:t> </w:t>
      </w:r>
      <w:r>
        <w:rPr>
          <w:sz w:val="16"/>
        </w:rPr>
        <w:t>and</w:t>
      </w:r>
      <w:r>
        <w:rPr>
          <w:spacing w:val="-8"/>
          <w:sz w:val="16"/>
        </w:rPr>
        <w:t> </w:t>
      </w:r>
      <w:r>
        <w:rPr>
          <w:sz w:val="16"/>
        </w:rPr>
        <w:t>P.</w:t>
      </w:r>
      <w:r>
        <w:rPr>
          <w:spacing w:val="-8"/>
          <w:sz w:val="16"/>
        </w:rPr>
        <w:t> </w:t>
      </w:r>
      <w:r>
        <w:rPr>
          <w:sz w:val="16"/>
        </w:rPr>
        <w:t>Nesi,</w:t>
      </w:r>
      <w:r>
        <w:rPr>
          <w:spacing w:val="-10"/>
          <w:sz w:val="16"/>
        </w:rPr>
        <w:t> </w:t>
      </w:r>
      <w:r>
        <w:rPr>
          <w:sz w:val="16"/>
        </w:rPr>
        <w:t>“Smart</w:t>
      </w:r>
      <w:r>
        <w:rPr>
          <w:spacing w:val="40"/>
          <w:sz w:val="16"/>
        </w:rPr>
        <w:t> </w:t>
      </w:r>
      <w:r>
        <w:rPr>
          <w:sz w:val="16"/>
        </w:rPr>
        <w:t>city</w:t>
      </w:r>
      <w:r>
        <w:rPr>
          <w:spacing w:val="-10"/>
          <w:sz w:val="16"/>
        </w:rPr>
        <w:t> </w:t>
      </w:r>
      <w:r>
        <w:rPr>
          <w:sz w:val="16"/>
        </w:rPr>
        <w:t>digital</w:t>
      </w:r>
      <w:r>
        <w:rPr>
          <w:spacing w:val="-10"/>
          <w:sz w:val="16"/>
        </w:rPr>
        <w:t> </w:t>
      </w:r>
      <w:r>
        <w:rPr>
          <w:sz w:val="16"/>
        </w:rPr>
        <w:t>twin</w:t>
      </w:r>
      <w:r>
        <w:rPr>
          <w:spacing w:val="-10"/>
          <w:sz w:val="16"/>
        </w:rPr>
        <w:t> </w:t>
      </w:r>
      <w:r>
        <w:rPr>
          <w:sz w:val="16"/>
        </w:rPr>
        <w:t>platform</w:t>
      </w:r>
      <w:r>
        <w:rPr>
          <w:spacing w:val="-10"/>
          <w:sz w:val="16"/>
        </w:rPr>
        <w:t> </w:t>
      </w:r>
      <w:r>
        <w:rPr>
          <w:sz w:val="16"/>
        </w:rPr>
        <w:t>architecture</w:t>
      </w:r>
      <w:r>
        <w:rPr>
          <w:spacing w:val="-10"/>
          <w:sz w:val="16"/>
        </w:rPr>
        <w:t> </w:t>
      </w:r>
      <w:r>
        <w:rPr>
          <w:sz w:val="16"/>
        </w:rPr>
        <w:t>for</w:t>
      </w:r>
      <w:r>
        <w:rPr>
          <w:spacing w:val="-10"/>
          <w:sz w:val="16"/>
        </w:rPr>
        <w:t> </w:t>
      </w:r>
      <w:r>
        <w:rPr>
          <w:sz w:val="16"/>
        </w:rPr>
        <w:t>mobility</w:t>
      </w:r>
      <w:r>
        <w:rPr>
          <w:spacing w:val="-10"/>
          <w:sz w:val="16"/>
        </w:rPr>
        <w:t> </w:t>
      </w:r>
      <w:r>
        <w:rPr>
          <w:sz w:val="16"/>
        </w:rPr>
        <w:t>and</w:t>
      </w:r>
      <w:r>
        <w:rPr>
          <w:spacing w:val="-10"/>
          <w:sz w:val="16"/>
        </w:rPr>
        <w:t> </w:t>
      </w:r>
      <w:r>
        <w:rPr>
          <w:sz w:val="16"/>
        </w:rPr>
        <w:t>transport</w:t>
      </w:r>
      <w:r>
        <w:rPr>
          <w:spacing w:val="-10"/>
          <w:sz w:val="16"/>
        </w:rPr>
        <w:t> </w:t>
      </w:r>
      <w:r>
        <w:rPr>
          <w:sz w:val="16"/>
        </w:rPr>
        <w:t>decision</w:t>
      </w:r>
      <w:r>
        <w:rPr>
          <w:spacing w:val="40"/>
          <w:sz w:val="16"/>
        </w:rPr>
        <w:t> </w:t>
      </w:r>
      <w:r>
        <w:rPr>
          <w:sz w:val="16"/>
        </w:rPr>
        <w:t>support</w:t>
      </w:r>
      <w:r>
        <w:rPr>
          <w:spacing w:val="-8"/>
          <w:sz w:val="16"/>
        </w:rPr>
        <w:t> </w:t>
      </w:r>
      <w:r>
        <w:rPr>
          <w:sz w:val="16"/>
        </w:rPr>
        <w:t>systems,”</w:t>
      </w:r>
      <w:r>
        <w:rPr>
          <w:spacing w:val="-8"/>
          <w:sz w:val="16"/>
        </w:rPr>
        <w:t> </w:t>
      </w:r>
      <w:r>
        <w:rPr>
          <w:sz w:val="16"/>
        </w:rPr>
        <w:t>in</w:t>
      </w:r>
      <w:r>
        <w:rPr>
          <w:spacing w:val="-8"/>
          <w:sz w:val="16"/>
        </w:rPr>
        <w:t> </w:t>
      </w:r>
      <w:r>
        <w:rPr>
          <w:sz w:val="16"/>
        </w:rPr>
        <w:t>Proc.</w:t>
      </w:r>
      <w:r>
        <w:rPr>
          <w:spacing w:val="-9"/>
          <w:sz w:val="16"/>
        </w:rPr>
        <w:t> </w:t>
      </w:r>
      <w:r>
        <w:rPr>
          <w:sz w:val="16"/>
        </w:rPr>
        <w:t>2024</w:t>
      </w:r>
      <w:r>
        <w:rPr>
          <w:spacing w:val="-8"/>
          <w:sz w:val="16"/>
        </w:rPr>
        <w:t> </w:t>
      </w:r>
      <w:r>
        <w:rPr>
          <w:sz w:val="16"/>
        </w:rPr>
        <w:t>IEEE</w:t>
      </w:r>
      <w:r>
        <w:rPr>
          <w:spacing w:val="-8"/>
          <w:sz w:val="16"/>
        </w:rPr>
        <w:t> </w:t>
      </w:r>
      <w:r>
        <w:rPr>
          <w:sz w:val="16"/>
        </w:rPr>
        <w:t>Int.</w:t>
      </w:r>
      <w:r>
        <w:rPr>
          <w:spacing w:val="-8"/>
          <w:sz w:val="16"/>
        </w:rPr>
        <w:t> </w:t>
      </w:r>
      <w:r>
        <w:rPr>
          <w:sz w:val="16"/>
        </w:rPr>
        <w:t>Conf.</w:t>
      </w:r>
      <w:r>
        <w:rPr>
          <w:spacing w:val="-9"/>
          <w:sz w:val="16"/>
        </w:rPr>
        <w:t> </w:t>
      </w:r>
      <w:r>
        <w:rPr>
          <w:sz w:val="16"/>
        </w:rPr>
        <w:t>Big</w:t>
      </w:r>
      <w:r>
        <w:rPr>
          <w:spacing w:val="-8"/>
          <w:sz w:val="16"/>
        </w:rPr>
        <w:t> </w:t>
      </w:r>
      <w:r>
        <w:rPr>
          <w:sz w:val="16"/>
        </w:rPr>
        <w:t>Data</w:t>
      </w:r>
      <w:r>
        <w:rPr>
          <w:spacing w:val="-8"/>
          <w:sz w:val="16"/>
        </w:rPr>
        <w:t> </w:t>
      </w:r>
      <w:r>
        <w:rPr>
          <w:sz w:val="16"/>
        </w:rPr>
        <w:t>(BigData),</w:t>
      </w:r>
      <w:r>
        <w:rPr>
          <w:spacing w:val="-9"/>
          <w:sz w:val="16"/>
        </w:rPr>
        <w:t> </w:t>
      </w:r>
      <w:r>
        <w:rPr>
          <w:sz w:val="16"/>
        </w:rPr>
        <w:t>pp.</w:t>
      </w:r>
      <w:r>
        <w:rPr>
          <w:spacing w:val="40"/>
          <w:sz w:val="16"/>
        </w:rPr>
        <w:t> </w:t>
      </w:r>
      <w:r>
        <w:rPr>
          <w:sz w:val="16"/>
        </w:rPr>
        <w:t>5486–5495, 2024, doi: 10.1109/BigData62323.2024.10825075.</w:t>
      </w:r>
    </w:p>
    <w:p>
      <w:pPr>
        <w:pStyle w:val="ListParagraph"/>
        <w:numPr>
          <w:ilvl w:val="0"/>
          <w:numId w:val="3"/>
        </w:numPr>
        <w:tabs>
          <w:tab w:pos="411" w:val="left" w:leader="none"/>
          <w:tab w:pos="431" w:val="left" w:leader="none"/>
        </w:tabs>
        <w:spacing w:line="240" w:lineRule="auto" w:before="0" w:after="0"/>
        <w:ind w:left="431" w:right="170" w:hanging="260"/>
        <w:jc w:val="both"/>
        <w:rPr>
          <w:sz w:val="16"/>
        </w:rPr>
      </w:pPr>
      <w:r>
        <w:rPr>
          <w:sz w:val="16"/>
        </w:rPr>
        <w:t>G. Tancev and F. Grasso Toro, “Towards a digital twin for air quality</w:t>
      </w:r>
      <w:r>
        <w:rPr>
          <w:spacing w:val="40"/>
          <w:sz w:val="16"/>
        </w:rPr>
        <w:t> </w:t>
      </w:r>
      <w:r>
        <w:rPr>
          <w:sz w:val="16"/>
        </w:rPr>
        <w:t>monitoring</w:t>
      </w:r>
      <w:r>
        <w:rPr>
          <w:spacing w:val="-7"/>
          <w:sz w:val="16"/>
        </w:rPr>
        <w:t> </w:t>
      </w:r>
      <w:r>
        <w:rPr>
          <w:sz w:val="16"/>
        </w:rPr>
        <w:t>networks</w:t>
      </w:r>
      <w:r>
        <w:rPr>
          <w:spacing w:val="-8"/>
          <w:sz w:val="16"/>
        </w:rPr>
        <w:t> </w:t>
      </w:r>
      <w:r>
        <w:rPr>
          <w:sz w:val="16"/>
        </w:rPr>
        <w:t>in</w:t>
      </w:r>
      <w:r>
        <w:rPr>
          <w:spacing w:val="-7"/>
          <w:sz w:val="16"/>
        </w:rPr>
        <w:t> </w:t>
      </w:r>
      <w:r>
        <w:rPr>
          <w:sz w:val="16"/>
        </w:rPr>
        <w:t>smart</w:t>
      </w:r>
      <w:r>
        <w:rPr>
          <w:spacing w:val="-7"/>
          <w:sz w:val="16"/>
        </w:rPr>
        <w:t> </w:t>
      </w:r>
      <w:r>
        <w:rPr>
          <w:sz w:val="16"/>
        </w:rPr>
        <w:t>cities,”</w:t>
      </w:r>
      <w:r>
        <w:rPr>
          <w:spacing w:val="-7"/>
          <w:sz w:val="16"/>
        </w:rPr>
        <w:t> </w:t>
      </w:r>
      <w:r>
        <w:rPr>
          <w:sz w:val="16"/>
        </w:rPr>
        <w:t>in</w:t>
      </w:r>
      <w:r>
        <w:rPr>
          <w:spacing w:val="-7"/>
          <w:sz w:val="16"/>
        </w:rPr>
        <w:t> </w:t>
      </w:r>
      <w:r>
        <w:rPr>
          <w:sz w:val="16"/>
        </w:rPr>
        <w:t>Proc.</w:t>
      </w:r>
      <w:r>
        <w:rPr>
          <w:spacing w:val="-7"/>
          <w:sz w:val="16"/>
        </w:rPr>
        <w:t> </w:t>
      </w:r>
      <w:r>
        <w:rPr>
          <w:sz w:val="16"/>
        </w:rPr>
        <w:t>8th</w:t>
      </w:r>
      <w:r>
        <w:rPr>
          <w:spacing w:val="-7"/>
          <w:sz w:val="16"/>
        </w:rPr>
        <w:t> </w:t>
      </w:r>
      <w:r>
        <w:rPr>
          <w:sz w:val="16"/>
        </w:rPr>
        <w:t>IEEE</w:t>
      </w:r>
      <w:r>
        <w:rPr>
          <w:spacing w:val="-7"/>
          <w:sz w:val="16"/>
        </w:rPr>
        <w:t> </w:t>
      </w:r>
      <w:r>
        <w:rPr>
          <w:sz w:val="16"/>
        </w:rPr>
        <w:t>Int.</w:t>
      </w:r>
      <w:r>
        <w:rPr>
          <w:spacing w:val="-7"/>
          <w:sz w:val="16"/>
        </w:rPr>
        <w:t> </w:t>
      </w:r>
      <w:r>
        <w:rPr>
          <w:sz w:val="16"/>
        </w:rPr>
        <w:t>Smart</w:t>
      </w:r>
      <w:r>
        <w:rPr>
          <w:spacing w:val="-9"/>
          <w:sz w:val="16"/>
        </w:rPr>
        <w:t> </w:t>
      </w:r>
      <w:r>
        <w:rPr>
          <w:sz w:val="16"/>
        </w:rPr>
        <w:t>Cities</w:t>
      </w:r>
      <w:r>
        <w:rPr>
          <w:spacing w:val="40"/>
          <w:sz w:val="16"/>
        </w:rPr>
        <w:t> </w:t>
      </w:r>
      <w:r>
        <w:rPr>
          <w:sz w:val="16"/>
        </w:rPr>
        <w:t>Conf. (ISC2), 2022, doi: 10.1109/ISC255366.2022.9921782.</w:t>
      </w:r>
    </w:p>
    <w:p>
      <w:pPr>
        <w:pStyle w:val="ListParagraph"/>
        <w:numPr>
          <w:ilvl w:val="0"/>
          <w:numId w:val="3"/>
        </w:numPr>
        <w:tabs>
          <w:tab w:pos="394" w:val="left" w:leader="none"/>
          <w:tab w:pos="431" w:val="left" w:leader="none"/>
        </w:tabs>
        <w:spacing w:line="240" w:lineRule="auto" w:before="0" w:after="0"/>
        <w:ind w:left="431" w:right="169" w:hanging="260"/>
        <w:jc w:val="both"/>
        <w:rPr>
          <w:sz w:val="16"/>
        </w:rPr>
      </w:pPr>
      <w:r>
        <w:rPr>
          <w:sz w:val="16"/>
        </w:rPr>
        <w:t>S.</w:t>
      </w:r>
      <w:r>
        <w:rPr>
          <w:spacing w:val="-5"/>
          <w:sz w:val="16"/>
        </w:rPr>
        <w:t> </w:t>
      </w:r>
      <w:r>
        <w:rPr>
          <w:sz w:val="16"/>
        </w:rPr>
        <w:t>Sabri,</w:t>
      </w:r>
      <w:r>
        <w:rPr>
          <w:spacing w:val="-7"/>
          <w:sz w:val="16"/>
        </w:rPr>
        <w:t> </w:t>
      </w:r>
      <w:r>
        <w:rPr>
          <w:sz w:val="16"/>
        </w:rPr>
        <w:t>K.</w:t>
      </w:r>
      <w:r>
        <w:rPr>
          <w:spacing w:val="-5"/>
          <w:sz w:val="16"/>
        </w:rPr>
        <w:t> </w:t>
      </w:r>
      <w:r>
        <w:rPr>
          <w:sz w:val="16"/>
        </w:rPr>
        <w:t>Alexandridis,</w:t>
      </w:r>
      <w:r>
        <w:rPr>
          <w:spacing w:val="-5"/>
          <w:sz w:val="16"/>
        </w:rPr>
        <w:t> </w:t>
      </w:r>
      <w:r>
        <w:rPr>
          <w:sz w:val="16"/>
        </w:rPr>
        <w:t>M.</w:t>
      </w:r>
      <w:r>
        <w:rPr>
          <w:spacing w:val="-7"/>
          <w:sz w:val="16"/>
        </w:rPr>
        <w:t> </w:t>
      </w:r>
      <w:r>
        <w:rPr>
          <w:sz w:val="16"/>
        </w:rPr>
        <w:t>Koohikamali,</w:t>
      </w:r>
      <w:r>
        <w:rPr>
          <w:spacing w:val="-5"/>
          <w:sz w:val="16"/>
        </w:rPr>
        <w:t> </w:t>
      </w:r>
      <w:r>
        <w:rPr>
          <w:sz w:val="16"/>
        </w:rPr>
        <w:t>S.</w:t>
      </w:r>
      <w:r>
        <w:rPr>
          <w:spacing w:val="-5"/>
          <w:sz w:val="16"/>
        </w:rPr>
        <w:t> </w:t>
      </w:r>
      <w:r>
        <w:rPr>
          <w:sz w:val="16"/>
        </w:rPr>
        <w:t>Zhang,</w:t>
      </w:r>
      <w:r>
        <w:rPr>
          <w:spacing w:val="-5"/>
          <w:sz w:val="16"/>
        </w:rPr>
        <w:t> </w:t>
      </w:r>
      <w:r>
        <w:rPr>
          <w:sz w:val="16"/>
        </w:rPr>
        <w:t>and</w:t>
      </w:r>
      <w:r>
        <w:rPr>
          <w:spacing w:val="-4"/>
          <w:sz w:val="16"/>
        </w:rPr>
        <w:t> </w:t>
      </w:r>
      <w:r>
        <w:rPr>
          <w:sz w:val="16"/>
        </w:rPr>
        <w:t>H.</w:t>
      </w:r>
      <w:r>
        <w:rPr>
          <w:spacing w:val="-5"/>
          <w:sz w:val="16"/>
        </w:rPr>
        <w:t> </w:t>
      </w:r>
      <w:r>
        <w:rPr>
          <w:sz w:val="16"/>
        </w:rPr>
        <w:t>E. Ozkaya,</w:t>
      </w:r>
      <w:r>
        <w:rPr>
          <w:spacing w:val="40"/>
          <w:sz w:val="16"/>
        </w:rPr>
        <w:t> </w:t>
      </w:r>
      <w:r>
        <w:rPr>
          <w:sz w:val="16"/>
        </w:rPr>
        <w:t>“Designing a spatially-explicit urban digital twin framework for smart</w:t>
      </w:r>
      <w:r>
        <w:rPr>
          <w:spacing w:val="40"/>
          <w:sz w:val="16"/>
        </w:rPr>
        <w:t> </w:t>
      </w:r>
      <w:r>
        <w:rPr>
          <w:sz w:val="16"/>
        </w:rPr>
        <w:t>water</w:t>
      </w:r>
      <w:r>
        <w:rPr>
          <w:spacing w:val="-10"/>
          <w:sz w:val="16"/>
        </w:rPr>
        <w:t> </w:t>
      </w:r>
      <w:r>
        <w:rPr>
          <w:sz w:val="16"/>
        </w:rPr>
        <w:t>infrastructure</w:t>
      </w:r>
      <w:r>
        <w:rPr>
          <w:spacing w:val="-10"/>
          <w:sz w:val="16"/>
        </w:rPr>
        <w:t> </w:t>
      </w:r>
      <w:r>
        <w:rPr>
          <w:sz w:val="16"/>
        </w:rPr>
        <w:t>and</w:t>
      </w:r>
      <w:r>
        <w:rPr>
          <w:spacing w:val="-10"/>
          <w:sz w:val="16"/>
        </w:rPr>
        <w:t> </w:t>
      </w:r>
      <w:r>
        <w:rPr>
          <w:sz w:val="16"/>
        </w:rPr>
        <w:t>flood</w:t>
      </w:r>
      <w:r>
        <w:rPr>
          <w:spacing w:val="-10"/>
          <w:sz w:val="16"/>
        </w:rPr>
        <w:t> </w:t>
      </w:r>
      <w:r>
        <w:rPr>
          <w:sz w:val="16"/>
        </w:rPr>
        <w:t>management,”</w:t>
      </w:r>
      <w:r>
        <w:rPr>
          <w:spacing w:val="-10"/>
          <w:sz w:val="16"/>
        </w:rPr>
        <w:t> </w:t>
      </w:r>
      <w:r>
        <w:rPr>
          <w:sz w:val="16"/>
        </w:rPr>
        <w:t>in</w:t>
      </w:r>
      <w:r>
        <w:rPr>
          <w:spacing w:val="-10"/>
          <w:sz w:val="16"/>
        </w:rPr>
        <w:t> </w:t>
      </w:r>
      <w:r>
        <w:rPr>
          <w:sz w:val="16"/>
        </w:rPr>
        <w:t>Proc.</w:t>
      </w:r>
      <w:r>
        <w:rPr>
          <w:spacing w:val="-10"/>
          <w:sz w:val="16"/>
        </w:rPr>
        <w:t> </w:t>
      </w:r>
      <w:r>
        <w:rPr>
          <w:sz w:val="16"/>
        </w:rPr>
        <w:t>2023</w:t>
      </w:r>
      <w:r>
        <w:rPr>
          <w:spacing w:val="-10"/>
          <w:sz w:val="16"/>
        </w:rPr>
        <w:t> </w:t>
      </w:r>
      <w:r>
        <w:rPr>
          <w:sz w:val="16"/>
        </w:rPr>
        <w:t>IEEE</w:t>
      </w:r>
      <w:r>
        <w:rPr>
          <w:spacing w:val="-10"/>
          <w:sz w:val="16"/>
        </w:rPr>
        <w:t> </w:t>
      </w:r>
      <w:r>
        <w:rPr>
          <w:sz w:val="16"/>
        </w:rPr>
        <w:t>3rd</w:t>
      </w:r>
      <w:r>
        <w:rPr>
          <w:spacing w:val="-9"/>
          <w:sz w:val="16"/>
        </w:rPr>
        <w:t> </w:t>
      </w:r>
      <w:r>
        <w:rPr>
          <w:sz w:val="16"/>
        </w:rPr>
        <w:t>Int.</w:t>
      </w:r>
      <w:r>
        <w:rPr>
          <w:spacing w:val="40"/>
          <w:sz w:val="16"/>
        </w:rPr>
        <w:t> </w:t>
      </w:r>
      <w:r>
        <w:rPr>
          <w:sz w:val="16"/>
        </w:rPr>
        <w:t>Conf. Digital Twins Parallel Intell. (DTPI), 2023, doi:</w:t>
      </w:r>
      <w:r>
        <w:rPr>
          <w:spacing w:val="40"/>
          <w:sz w:val="16"/>
        </w:rPr>
        <w:t> </w:t>
      </w:r>
      <w:r>
        <w:rPr>
          <w:spacing w:val="-2"/>
          <w:sz w:val="16"/>
        </w:rPr>
        <w:t>10.1109/DTPI59677.2023.10365478.</w:t>
      </w:r>
    </w:p>
    <w:p>
      <w:pPr>
        <w:pStyle w:val="ListParagraph"/>
        <w:numPr>
          <w:ilvl w:val="0"/>
          <w:numId w:val="3"/>
        </w:numPr>
        <w:tabs>
          <w:tab w:pos="418" w:val="left" w:leader="none"/>
          <w:tab w:pos="431" w:val="left" w:leader="none"/>
        </w:tabs>
        <w:spacing w:line="240" w:lineRule="auto" w:before="0" w:after="0"/>
        <w:ind w:left="431" w:right="169" w:hanging="260"/>
        <w:jc w:val="both"/>
        <w:rPr>
          <w:sz w:val="16"/>
        </w:rPr>
      </w:pPr>
      <w:r>
        <w:rPr>
          <w:sz w:val="16"/>
        </w:rPr>
        <w:t>N. Mohammadi and J. E. Taylor, “Thinking fast and slow in disaster</w:t>
      </w:r>
      <w:r>
        <w:rPr>
          <w:spacing w:val="40"/>
          <w:sz w:val="16"/>
        </w:rPr>
        <w:t> </w:t>
      </w:r>
      <w:r>
        <w:rPr>
          <w:sz w:val="16"/>
        </w:rPr>
        <w:t>decision-making</w:t>
      </w:r>
      <w:r>
        <w:rPr>
          <w:spacing w:val="-10"/>
          <w:sz w:val="16"/>
        </w:rPr>
        <w:t> </w:t>
      </w:r>
      <w:r>
        <w:rPr>
          <w:sz w:val="16"/>
        </w:rPr>
        <w:t>with</w:t>
      </w:r>
      <w:r>
        <w:rPr>
          <w:spacing w:val="-10"/>
          <w:sz w:val="16"/>
        </w:rPr>
        <w:t> </w:t>
      </w:r>
      <w:r>
        <w:rPr>
          <w:sz w:val="16"/>
        </w:rPr>
        <w:t>Smart</w:t>
      </w:r>
      <w:r>
        <w:rPr>
          <w:spacing w:val="-10"/>
          <w:sz w:val="16"/>
        </w:rPr>
        <w:t> </w:t>
      </w:r>
      <w:r>
        <w:rPr>
          <w:sz w:val="16"/>
        </w:rPr>
        <w:t>City</w:t>
      </w:r>
      <w:r>
        <w:rPr>
          <w:spacing w:val="-10"/>
          <w:sz w:val="16"/>
        </w:rPr>
        <w:t> </w:t>
      </w:r>
      <w:r>
        <w:rPr>
          <w:sz w:val="16"/>
        </w:rPr>
        <w:t>Digital</w:t>
      </w:r>
      <w:r>
        <w:rPr>
          <w:spacing w:val="-10"/>
          <w:sz w:val="16"/>
        </w:rPr>
        <w:t> </w:t>
      </w:r>
      <w:r>
        <w:rPr>
          <w:sz w:val="16"/>
        </w:rPr>
        <w:t>Twins,”</w:t>
      </w:r>
      <w:r>
        <w:rPr>
          <w:spacing w:val="-10"/>
          <w:sz w:val="16"/>
        </w:rPr>
        <w:t> </w:t>
      </w:r>
      <w:r>
        <w:rPr>
          <w:sz w:val="16"/>
        </w:rPr>
        <w:t>Nat.</w:t>
      </w:r>
      <w:r>
        <w:rPr>
          <w:spacing w:val="-10"/>
          <w:sz w:val="16"/>
        </w:rPr>
        <w:t> </w:t>
      </w:r>
      <w:r>
        <w:rPr>
          <w:sz w:val="16"/>
        </w:rPr>
        <w:t>Comput.</w:t>
      </w:r>
      <w:r>
        <w:rPr>
          <w:spacing w:val="-10"/>
          <w:sz w:val="16"/>
        </w:rPr>
        <w:t> </w:t>
      </w:r>
      <w:r>
        <w:rPr>
          <w:sz w:val="16"/>
        </w:rPr>
        <w:t>Sci.,</w:t>
      </w:r>
      <w:r>
        <w:rPr>
          <w:spacing w:val="-10"/>
          <w:sz w:val="16"/>
        </w:rPr>
        <w:t> </w:t>
      </w:r>
      <w:r>
        <w:rPr>
          <w:sz w:val="16"/>
        </w:rPr>
        <w:t>vol.</w:t>
      </w:r>
      <w:r>
        <w:rPr>
          <w:spacing w:val="40"/>
          <w:sz w:val="16"/>
        </w:rPr>
        <w:t> </w:t>
      </w:r>
      <w:r>
        <w:rPr>
          <w:sz w:val="16"/>
        </w:rPr>
        <w:t>1, no. 12, pp. 771–773, 2021, doi: 10.1038/s43588-021-00174-0.</w:t>
      </w:r>
    </w:p>
    <w:p>
      <w:pPr>
        <w:pStyle w:val="ListParagraph"/>
        <w:numPr>
          <w:ilvl w:val="0"/>
          <w:numId w:val="3"/>
        </w:numPr>
        <w:tabs>
          <w:tab w:pos="394" w:val="left" w:leader="none"/>
          <w:tab w:pos="431" w:val="left" w:leader="none"/>
        </w:tabs>
        <w:spacing w:line="240" w:lineRule="auto" w:before="0" w:after="0"/>
        <w:ind w:left="431" w:right="167" w:hanging="260"/>
        <w:jc w:val="both"/>
        <w:rPr>
          <w:sz w:val="16"/>
        </w:rPr>
      </w:pPr>
      <w:r>
        <w:rPr>
          <w:sz w:val="16"/>
        </w:rPr>
        <w:t>A.</w:t>
      </w:r>
      <w:r>
        <w:rPr>
          <w:spacing w:val="-4"/>
          <w:sz w:val="16"/>
        </w:rPr>
        <w:t> </w:t>
      </w:r>
      <w:r>
        <w:rPr>
          <w:sz w:val="16"/>
        </w:rPr>
        <w:t>Therias</w:t>
      </w:r>
      <w:r>
        <w:rPr>
          <w:spacing w:val="-4"/>
          <w:sz w:val="16"/>
        </w:rPr>
        <w:t> </w:t>
      </w:r>
      <w:r>
        <w:rPr>
          <w:sz w:val="16"/>
        </w:rPr>
        <w:t>and</w:t>
      </w:r>
      <w:r>
        <w:rPr>
          <w:spacing w:val="-4"/>
          <w:sz w:val="16"/>
        </w:rPr>
        <w:t> </w:t>
      </w:r>
      <w:r>
        <w:rPr>
          <w:sz w:val="16"/>
        </w:rPr>
        <w:t>A.</w:t>
      </w:r>
      <w:r>
        <w:rPr>
          <w:spacing w:val="-4"/>
          <w:sz w:val="16"/>
        </w:rPr>
        <w:t> </w:t>
      </w:r>
      <w:r>
        <w:rPr>
          <w:sz w:val="16"/>
        </w:rPr>
        <w:t>Rafiee,</w:t>
      </w:r>
      <w:r>
        <w:rPr>
          <w:spacing w:val="-4"/>
          <w:sz w:val="16"/>
        </w:rPr>
        <w:t> </w:t>
      </w:r>
      <w:r>
        <w:rPr>
          <w:sz w:val="16"/>
        </w:rPr>
        <w:t>“City</w:t>
      </w:r>
      <w:r>
        <w:rPr>
          <w:spacing w:val="-6"/>
          <w:sz w:val="16"/>
        </w:rPr>
        <w:t> </w:t>
      </w:r>
      <w:r>
        <w:rPr>
          <w:sz w:val="16"/>
        </w:rPr>
        <w:t>digital</w:t>
      </w:r>
      <w:r>
        <w:rPr>
          <w:spacing w:val="-4"/>
          <w:sz w:val="16"/>
        </w:rPr>
        <w:t> </w:t>
      </w:r>
      <w:r>
        <w:rPr>
          <w:sz w:val="16"/>
        </w:rPr>
        <w:t>twins</w:t>
      </w:r>
      <w:r>
        <w:rPr>
          <w:spacing w:val="-4"/>
          <w:sz w:val="16"/>
        </w:rPr>
        <w:t> </w:t>
      </w:r>
      <w:r>
        <w:rPr>
          <w:sz w:val="16"/>
        </w:rPr>
        <w:t>for</w:t>
      </w:r>
      <w:r>
        <w:rPr>
          <w:spacing w:val="-5"/>
          <w:sz w:val="16"/>
        </w:rPr>
        <w:t> </w:t>
      </w:r>
      <w:r>
        <w:rPr>
          <w:sz w:val="16"/>
        </w:rPr>
        <w:t>urban</w:t>
      </w:r>
      <w:r>
        <w:rPr>
          <w:spacing w:val="-4"/>
          <w:sz w:val="16"/>
        </w:rPr>
        <w:t> </w:t>
      </w:r>
      <w:r>
        <w:rPr>
          <w:sz w:val="16"/>
        </w:rPr>
        <w:t>resilience,”</w:t>
      </w:r>
      <w:r>
        <w:rPr>
          <w:spacing w:val="-4"/>
          <w:sz w:val="16"/>
        </w:rPr>
        <w:t> </w:t>
      </w:r>
      <w:r>
        <w:rPr>
          <w:sz w:val="16"/>
        </w:rPr>
        <w:t>Int.</w:t>
      </w:r>
      <w:r>
        <w:rPr>
          <w:spacing w:val="-4"/>
          <w:sz w:val="16"/>
        </w:rPr>
        <w:t> </w:t>
      </w:r>
      <w:r>
        <w:rPr>
          <w:sz w:val="16"/>
        </w:rPr>
        <w:t>J.</w:t>
      </w:r>
      <w:r>
        <w:rPr>
          <w:spacing w:val="40"/>
          <w:sz w:val="16"/>
        </w:rPr>
        <w:t> </w:t>
      </w:r>
      <w:r>
        <w:rPr>
          <w:sz w:val="16"/>
        </w:rPr>
        <w:t>Digit. Earth, vol. 16, no. 2, pp. 4164–4190, 2023, doi:</w:t>
      </w:r>
      <w:r>
        <w:rPr>
          <w:spacing w:val="40"/>
          <w:sz w:val="16"/>
        </w:rPr>
        <w:t> </w:t>
      </w:r>
      <w:r>
        <w:rPr>
          <w:spacing w:val="-2"/>
          <w:sz w:val="16"/>
        </w:rPr>
        <w:t>10.1080/17538947.2023.2264827.</w:t>
      </w:r>
    </w:p>
    <w:p>
      <w:pPr>
        <w:pStyle w:val="ListParagraph"/>
        <w:numPr>
          <w:ilvl w:val="0"/>
          <w:numId w:val="3"/>
        </w:numPr>
        <w:tabs>
          <w:tab w:pos="401" w:val="left" w:leader="none"/>
          <w:tab w:pos="431" w:val="left" w:leader="none"/>
        </w:tabs>
        <w:spacing w:line="240" w:lineRule="auto" w:before="0" w:after="0"/>
        <w:ind w:left="431" w:right="171" w:hanging="260"/>
        <w:jc w:val="both"/>
        <w:rPr>
          <w:sz w:val="16"/>
        </w:rPr>
      </w:pPr>
      <w:r>
        <w:rPr>
          <w:sz w:val="16"/>
        </w:rPr>
        <w:t>A. Huzzat, A. Anpalagan, A. S. Khwaja, I. Woungang, A. A. Alnoman,</w:t>
      </w:r>
      <w:r>
        <w:rPr>
          <w:spacing w:val="40"/>
          <w:sz w:val="16"/>
        </w:rPr>
        <w:t> </w:t>
      </w:r>
      <w:r>
        <w:rPr>
          <w:sz w:val="16"/>
        </w:rPr>
        <w:t>and</w:t>
      </w:r>
      <w:r>
        <w:rPr>
          <w:spacing w:val="-3"/>
          <w:sz w:val="16"/>
        </w:rPr>
        <w:t> </w:t>
      </w:r>
      <w:r>
        <w:rPr>
          <w:sz w:val="16"/>
        </w:rPr>
        <w:t>A.</w:t>
      </w:r>
      <w:r>
        <w:rPr>
          <w:spacing w:val="-6"/>
          <w:sz w:val="16"/>
        </w:rPr>
        <w:t> </w:t>
      </w:r>
      <w:r>
        <w:rPr>
          <w:sz w:val="16"/>
        </w:rPr>
        <w:t>S.</w:t>
      </w:r>
      <w:r>
        <w:rPr>
          <w:spacing w:val="-3"/>
          <w:sz w:val="16"/>
        </w:rPr>
        <w:t> </w:t>
      </w:r>
      <w:r>
        <w:rPr>
          <w:sz w:val="16"/>
        </w:rPr>
        <w:t>Pillai,</w:t>
      </w:r>
      <w:r>
        <w:rPr>
          <w:spacing w:val="-3"/>
          <w:sz w:val="16"/>
        </w:rPr>
        <w:t> </w:t>
      </w:r>
      <w:r>
        <w:rPr>
          <w:sz w:val="16"/>
        </w:rPr>
        <w:t>“A</w:t>
      </w:r>
      <w:r>
        <w:rPr>
          <w:spacing w:val="-7"/>
          <w:sz w:val="16"/>
        </w:rPr>
        <w:t> </w:t>
      </w:r>
      <w:r>
        <w:rPr>
          <w:sz w:val="16"/>
        </w:rPr>
        <w:t>comprehensive</w:t>
      </w:r>
      <w:r>
        <w:rPr>
          <w:spacing w:val="-3"/>
          <w:sz w:val="16"/>
        </w:rPr>
        <w:t> </w:t>
      </w:r>
      <w:r>
        <w:rPr>
          <w:sz w:val="16"/>
        </w:rPr>
        <w:t>review</w:t>
      </w:r>
      <w:r>
        <w:rPr>
          <w:spacing w:val="-5"/>
          <w:sz w:val="16"/>
        </w:rPr>
        <w:t> </w:t>
      </w:r>
      <w:r>
        <w:rPr>
          <w:sz w:val="16"/>
        </w:rPr>
        <w:t>of</w:t>
      </w:r>
      <w:r>
        <w:rPr>
          <w:spacing w:val="-7"/>
          <w:sz w:val="16"/>
        </w:rPr>
        <w:t> </w:t>
      </w:r>
      <w:r>
        <w:rPr>
          <w:sz w:val="16"/>
        </w:rPr>
        <w:t>Digital</w:t>
      </w:r>
      <w:r>
        <w:rPr>
          <w:spacing w:val="-5"/>
          <w:sz w:val="16"/>
        </w:rPr>
        <w:t> </w:t>
      </w:r>
      <w:r>
        <w:rPr>
          <w:sz w:val="16"/>
        </w:rPr>
        <w:t>Twin</w:t>
      </w:r>
      <w:r>
        <w:rPr>
          <w:spacing w:val="-5"/>
          <w:sz w:val="16"/>
        </w:rPr>
        <w:t> </w:t>
      </w:r>
      <w:r>
        <w:rPr>
          <w:sz w:val="16"/>
        </w:rPr>
        <w:t>technologies</w:t>
      </w:r>
      <w:r>
        <w:rPr>
          <w:spacing w:val="40"/>
          <w:sz w:val="16"/>
        </w:rPr>
        <w:t> </w:t>
      </w:r>
      <w:r>
        <w:rPr>
          <w:sz w:val="16"/>
        </w:rPr>
        <w:t>in smart cities,” Digital Engineering, vol. 4, p. 100040, 2025, doi:</w:t>
      </w:r>
      <w:r>
        <w:rPr>
          <w:spacing w:val="40"/>
          <w:sz w:val="16"/>
        </w:rPr>
        <w:t> </w:t>
      </w:r>
      <w:r>
        <w:rPr>
          <w:spacing w:val="-2"/>
          <w:sz w:val="16"/>
        </w:rPr>
        <w:t>10.1016/j.dte.2025.100040.</w:t>
      </w:r>
    </w:p>
    <w:p>
      <w:pPr>
        <w:pStyle w:val="ListParagraph"/>
        <w:spacing w:after="0" w:line="240" w:lineRule="auto"/>
        <w:jc w:val="both"/>
        <w:rPr>
          <w:sz w:val="16"/>
        </w:rPr>
        <w:sectPr>
          <w:pgSz w:w="12240" w:h="15840"/>
          <w:pgMar w:top="1000" w:bottom="280" w:left="720" w:right="720"/>
          <w:cols w:num="2" w:equalWidth="0">
            <w:col w:w="5086" w:space="503"/>
            <w:col w:w="5211"/>
          </w:cols>
        </w:sectPr>
      </w:pPr>
    </w:p>
    <w:p>
      <w:pPr>
        <w:pStyle w:val="ListParagraph"/>
        <w:numPr>
          <w:ilvl w:val="0"/>
          <w:numId w:val="3"/>
        </w:numPr>
        <w:tabs>
          <w:tab w:pos="432" w:val="left" w:leader="none"/>
          <w:tab w:pos="511" w:val="left" w:leader="none"/>
        </w:tabs>
        <w:spacing w:line="240" w:lineRule="auto" w:before="82" w:after="0"/>
        <w:ind w:left="432" w:right="5755" w:hanging="260"/>
        <w:jc w:val="both"/>
        <w:rPr>
          <w:sz w:val="16"/>
        </w:rPr>
      </w:pPr>
      <w:r>
        <w:rPr>
          <w:sz w:val="16"/>
        </w:rPr>
        <w:t>M. Yessef, Y. Hakam, M. Tabaa, M. M. Alammar, and Z. M. S.</w:t>
      </w:r>
      <w:r>
        <w:rPr>
          <w:spacing w:val="40"/>
          <w:sz w:val="16"/>
        </w:rPr>
        <w:t> </w:t>
      </w:r>
      <w:r>
        <w:rPr>
          <w:sz w:val="16"/>
        </w:rPr>
        <w:t>Elbarbary, “Digital twin technology in smart cities: A step toward</w:t>
      </w:r>
      <w:r>
        <w:rPr>
          <w:spacing w:val="40"/>
          <w:sz w:val="16"/>
        </w:rPr>
        <w:t> </w:t>
      </w:r>
      <w:r>
        <w:rPr>
          <w:sz w:val="16"/>
        </w:rPr>
        <w:t>intelligent</w:t>
      </w:r>
      <w:r>
        <w:rPr>
          <w:spacing w:val="-10"/>
          <w:sz w:val="16"/>
        </w:rPr>
        <w:t> </w:t>
      </w:r>
      <w:r>
        <w:rPr>
          <w:sz w:val="16"/>
        </w:rPr>
        <w:t>urban</w:t>
      </w:r>
      <w:r>
        <w:rPr>
          <w:spacing w:val="-10"/>
          <w:sz w:val="16"/>
        </w:rPr>
        <w:t> </w:t>
      </w:r>
      <w:r>
        <w:rPr>
          <w:sz w:val="16"/>
        </w:rPr>
        <w:t>management,”</w:t>
      </w:r>
      <w:r>
        <w:rPr>
          <w:spacing w:val="-10"/>
          <w:sz w:val="16"/>
        </w:rPr>
        <w:t> </w:t>
      </w:r>
      <w:r>
        <w:rPr>
          <w:sz w:val="16"/>
        </w:rPr>
        <w:t>Energy</w:t>
      </w:r>
      <w:r>
        <w:rPr>
          <w:spacing w:val="-10"/>
          <w:sz w:val="16"/>
        </w:rPr>
        <w:t> </w:t>
      </w:r>
      <w:r>
        <w:rPr>
          <w:sz w:val="16"/>
        </w:rPr>
        <w:t>Reports,</w:t>
      </w:r>
      <w:r>
        <w:rPr>
          <w:spacing w:val="-10"/>
          <w:sz w:val="16"/>
        </w:rPr>
        <w:t> </w:t>
      </w:r>
      <w:r>
        <w:rPr>
          <w:sz w:val="16"/>
        </w:rPr>
        <w:t>vol.</w:t>
      </w:r>
      <w:r>
        <w:rPr>
          <w:spacing w:val="-10"/>
          <w:sz w:val="16"/>
        </w:rPr>
        <w:t> </w:t>
      </w:r>
      <w:r>
        <w:rPr>
          <w:sz w:val="16"/>
        </w:rPr>
        <w:t>14,</w:t>
      </w:r>
      <w:r>
        <w:rPr>
          <w:spacing w:val="-10"/>
          <w:sz w:val="16"/>
        </w:rPr>
        <w:t> </w:t>
      </w:r>
      <w:r>
        <w:rPr>
          <w:sz w:val="16"/>
        </w:rPr>
        <w:t>pp.</w:t>
      </w:r>
      <w:r>
        <w:rPr>
          <w:spacing w:val="-10"/>
          <w:sz w:val="16"/>
        </w:rPr>
        <w:t> </w:t>
      </w:r>
      <w:r>
        <w:rPr>
          <w:sz w:val="16"/>
        </w:rPr>
        <w:t>5539–5557,</w:t>
      </w:r>
      <w:r>
        <w:rPr>
          <w:spacing w:val="40"/>
          <w:sz w:val="16"/>
        </w:rPr>
        <w:t> </w:t>
      </w:r>
      <w:r>
        <w:rPr>
          <w:sz w:val="16"/>
        </w:rPr>
        <w:t>2025, doi: 10.1016/j.egyr.2025.11.097.</w:t>
      </w:r>
    </w:p>
    <w:p>
      <w:pPr>
        <w:pStyle w:val="ListParagraph"/>
        <w:numPr>
          <w:ilvl w:val="0"/>
          <w:numId w:val="3"/>
        </w:numPr>
        <w:tabs>
          <w:tab w:pos="432" w:val="left" w:leader="none"/>
          <w:tab w:pos="477" w:val="left" w:leader="none"/>
        </w:tabs>
        <w:spacing w:line="240" w:lineRule="auto" w:before="0" w:after="0"/>
        <w:ind w:left="432" w:right="5754" w:hanging="260"/>
        <w:jc w:val="both"/>
        <w:rPr>
          <w:sz w:val="16"/>
        </w:rPr>
      </w:pPr>
      <w:r>
        <w:rPr>
          <w:sz w:val="16"/>
        </w:rPr>
        <w:t>N.</w:t>
      </w:r>
      <w:r>
        <w:rPr>
          <w:spacing w:val="-5"/>
          <w:sz w:val="16"/>
        </w:rPr>
        <w:t> </w:t>
      </w:r>
      <w:r>
        <w:rPr>
          <w:sz w:val="16"/>
        </w:rPr>
        <w:t>Kikuchi,</w:t>
      </w:r>
      <w:r>
        <w:rPr>
          <w:spacing w:val="-2"/>
          <w:sz w:val="16"/>
        </w:rPr>
        <w:t> </w:t>
      </w:r>
      <w:r>
        <w:rPr>
          <w:sz w:val="16"/>
        </w:rPr>
        <w:t>T.</w:t>
      </w:r>
      <w:r>
        <w:rPr>
          <w:spacing w:val="-2"/>
          <w:sz w:val="16"/>
        </w:rPr>
        <w:t> </w:t>
      </w:r>
      <w:r>
        <w:rPr>
          <w:sz w:val="16"/>
        </w:rPr>
        <w:t>Fukuda,</w:t>
      </w:r>
      <w:r>
        <w:rPr>
          <w:spacing w:val="-2"/>
          <w:sz w:val="16"/>
        </w:rPr>
        <w:t> </w:t>
      </w:r>
      <w:r>
        <w:rPr>
          <w:sz w:val="16"/>
        </w:rPr>
        <w:t>and</w:t>
      </w:r>
      <w:r>
        <w:rPr>
          <w:spacing w:val="-2"/>
          <w:sz w:val="16"/>
        </w:rPr>
        <w:t> </w:t>
      </w:r>
      <w:r>
        <w:rPr>
          <w:sz w:val="16"/>
        </w:rPr>
        <w:t>N.</w:t>
      </w:r>
      <w:r>
        <w:rPr>
          <w:spacing w:val="-2"/>
          <w:sz w:val="16"/>
        </w:rPr>
        <w:t> </w:t>
      </w:r>
      <w:r>
        <w:rPr>
          <w:sz w:val="16"/>
        </w:rPr>
        <w:t>Yabuki,</w:t>
      </w:r>
      <w:r>
        <w:rPr>
          <w:spacing w:val="-5"/>
          <w:sz w:val="16"/>
        </w:rPr>
        <w:t> </w:t>
      </w:r>
      <w:r>
        <w:rPr>
          <w:sz w:val="16"/>
        </w:rPr>
        <w:t>“Future</w:t>
      </w:r>
      <w:r>
        <w:rPr>
          <w:spacing w:val="-2"/>
          <w:sz w:val="16"/>
        </w:rPr>
        <w:t> </w:t>
      </w:r>
      <w:r>
        <w:rPr>
          <w:sz w:val="16"/>
        </w:rPr>
        <w:t>landscape</w:t>
      </w:r>
      <w:r>
        <w:rPr>
          <w:spacing w:val="-5"/>
          <w:sz w:val="16"/>
        </w:rPr>
        <w:t> </w:t>
      </w:r>
      <w:r>
        <w:rPr>
          <w:sz w:val="16"/>
        </w:rPr>
        <w:t>visualisation</w:t>
      </w:r>
      <w:r>
        <w:rPr>
          <w:spacing w:val="40"/>
          <w:sz w:val="16"/>
        </w:rPr>
        <w:t> </w:t>
      </w:r>
      <w:r>
        <w:rPr>
          <w:sz w:val="16"/>
        </w:rPr>
        <w:t>using a city digital twin: Integration of augmented reality and drones</w:t>
      </w:r>
      <w:r>
        <w:rPr>
          <w:spacing w:val="40"/>
          <w:sz w:val="16"/>
        </w:rPr>
        <w:t> </w:t>
      </w:r>
      <w:r>
        <w:rPr>
          <w:sz w:val="16"/>
        </w:rPr>
        <w:t>with the implementation of 3D model-based occlusion handling,” J.</w:t>
      </w:r>
      <w:r>
        <w:rPr>
          <w:spacing w:val="40"/>
          <w:sz w:val="16"/>
        </w:rPr>
        <w:t> </w:t>
      </w:r>
      <w:r>
        <w:rPr>
          <w:sz w:val="16"/>
        </w:rPr>
        <w:t>Comput. Des. Eng., vol. 9, no. 2, pp. 837–856, 2022, doi:</w:t>
      </w:r>
      <w:r>
        <w:rPr>
          <w:spacing w:val="40"/>
          <w:sz w:val="16"/>
        </w:rPr>
        <w:t> </w:t>
      </w:r>
      <w:r>
        <w:rPr>
          <w:spacing w:val="-2"/>
          <w:sz w:val="16"/>
        </w:rPr>
        <w:t>10.1093/jcde/qwac032.</w:t>
      </w:r>
    </w:p>
    <w:p>
      <w:pPr>
        <w:pStyle w:val="ListParagraph"/>
        <w:numPr>
          <w:ilvl w:val="0"/>
          <w:numId w:val="3"/>
        </w:numPr>
        <w:tabs>
          <w:tab w:pos="432" w:val="left" w:leader="none"/>
          <w:tab w:pos="473" w:val="left" w:leader="none"/>
        </w:tabs>
        <w:spacing w:line="240" w:lineRule="auto" w:before="0" w:after="0"/>
        <w:ind w:left="432" w:right="5757" w:hanging="260"/>
        <w:jc w:val="both"/>
        <w:rPr>
          <w:sz w:val="16"/>
        </w:rPr>
      </w:pPr>
      <w:r>
        <w:rPr>
          <w:sz w:val="16"/>
        </w:rPr>
        <w:t>D.</w:t>
      </w:r>
      <w:r>
        <w:rPr>
          <w:spacing w:val="-7"/>
          <w:sz w:val="16"/>
        </w:rPr>
        <w:t> </w:t>
      </w:r>
      <w:r>
        <w:rPr>
          <w:sz w:val="16"/>
        </w:rPr>
        <w:t>Ariansyah,</w:t>
      </w:r>
      <w:r>
        <w:rPr>
          <w:spacing w:val="-9"/>
          <w:sz w:val="16"/>
        </w:rPr>
        <w:t> </w:t>
      </w:r>
      <w:r>
        <w:rPr>
          <w:sz w:val="16"/>
        </w:rPr>
        <w:t>M.</w:t>
      </w:r>
      <w:r>
        <w:rPr>
          <w:spacing w:val="-7"/>
          <w:sz w:val="16"/>
        </w:rPr>
        <w:t> </w:t>
      </w:r>
      <w:r>
        <w:rPr>
          <w:sz w:val="16"/>
        </w:rPr>
        <w:t>Isnan,</w:t>
      </w:r>
      <w:r>
        <w:rPr>
          <w:spacing w:val="-9"/>
          <w:sz w:val="16"/>
        </w:rPr>
        <w:t> </w:t>
      </w:r>
      <w:r>
        <w:rPr>
          <w:sz w:val="16"/>
        </w:rPr>
        <w:t>R.</w:t>
      </w:r>
      <w:r>
        <w:rPr>
          <w:spacing w:val="-9"/>
          <w:sz w:val="16"/>
        </w:rPr>
        <w:t> </w:t>
      </w:r>
      <w:r>
        <w:rPr>
          <w:sz w:val="16"/>
        </w:rPr>
        <w:t>Rahutomo,</w:t>
      </w:r>
      <w:r>
        <w:rPr>
          <w:spacing w:val="-7"/>
          <w:sz w:val="16"/>
        </w:rPr>
        <w:t> </w:t>
      </w:r>
      <w:r>
        <w:rPr>
          <w:sz w:val="16"/>
        </w:rPr>
        <w:t>and</w:t>
      </w:r>
      <w:r>
        <w:rPr>
          <w:spacing w:val="-7"/>
          <w:sz w:val="16"/>
        </w:rPr>
        <w:t> </w:t>
      </w:r>
      <w:r>
        <w:rPr>
          <w:sz w:val="16"/>
        </w:rPr>
        <w:t>B.</w:t>
      </w:r>
      <w:r>
        <w:rPr>
          <w:spacing w:val="-7"/>
          <w:sz w:val="16"/>
        </w:rPr>
        <w:t> </w:t>
      </w:r>
      <w:r>
        <w:rPr>
          <w:sz w:val="16"/>
        </w:rPr>
        <w:t>Pardamean,</w:t>
      </w:r>
      <w:r>
        <w:rPr>
          <w:spacing w:val="-9"/>
          <w:sz w:val="16"/>
        </w:rPr>
        <w:t> </w:t>
      </w:r>
      <w:r>
        <w:rPr>
          <w:sz w:val="16"/>
        </w:rPr>
        <w:t>“Digital</w:t>
      </w:r>
      <w:r>
        <w:rPr>
          <w:spacing w:val="-7"/>
          <w:sz w:val="16"/>
        </w:rPr>
        <w:t> </w:t>
      </w:r>
      <w:r>
        <w:rPr>
          <w:sz w:val="16"/>
        </w:rPr>
        <w:t>twin</w:t>
      </w:r>
      <w:r>
        <w:rPr>
          <w:spacing w:val="40"/>
          <w:sz w:val="16"/>
        </w:rPr>
        <w:t> </w:t>
      </w:r>
      <w:r>
        <w:rPr>
          <w:sz w:val="16"/>
        </w:rPr>
        <w:t>(DT)</w:t>
      </w:r>
      <w:r>
        <w:rPr>
          <w:spacing w:val="-10"/>
          <w:sz w:val="16"/>
        </w:rPr>
        <w:t> </w:t>
      </w:r>
      <w:r>
        <w:rPr>
          <w:sz w:val="16"/>
        </w:rPr>
        <w:t>smart</w:t>
      </w:r>
      <w:r>
        <w:rPr>
          <w:spacing w:val="-10"/>
          <w:sz w:val="16"/>
        </w:rPr>
        <w:t> </w:t>
      </w:r>
      <w:r>
        <w:rPr>
          <w:sz w:val="16"/>
        </w:rPr>
        <w:t>city</w:t>
      </w:r>
      <w:r>
        <w:rPr>
          <w:spacing w:val="-10"/>
          <w:sz w:val="16"/>
        </w:rPr>
        <w:t> </w:t>
      </w:r>
      <w:r>
        <w:rPr>
          <w:sz w:val="16"/>
        </w:rPr>
        <w:t>for</w:t>
      </w:r>
      <w:r>
        <w:rPr>
          <w:spacing w:val="-10"/>
          <w:sz w:val="16"/>
        </w:rPr>
        <w:t> </w:t>
      </w:r>
      <w:r>
        <w:rPr>
          <w:sz w:val="16"/>
        </w:rPr>
        <w:t>air</w:t>
      </w:r>
      <w:r>
        <w:rPr>
          <w:spacing w:val="-10"/>
          <w:sz w:val="16"/>
        </w:rPr>
        <w:t> </w:t>
      </w:r>
      <w:r>
        <w:rPr>
          <w:sz w:val="16"/>
        </w:rPr>
        <w:t>quality</w:t>
      </w:r>
      <w:r>
        <w:rPr>
          <w:spacing w:val="-10"/>
          <w:sz w:val="16"/>
        </w:rPr>
        <w:t> </w:t>
      </w:r>
      <w:r>
        <w:rPr>
          <w:sz w:val="16"/>
        </w:rPr>
        <w:t>management,”</w:t>
      </w:r>
      <w:r>
        <w:rPr>
          <w:spacing w:val="-10"/>
          <w:sz w:val="16"/>
        </w:rPr>
        <w:t> </w:t>
      </w:r>
      <w:r>
        <w:rPr>
          <w:sz w:val="16"/>
        </w:rPr>
        <w:t>Procedia</w:t>
      </w:r>
      <w:r>
        <w:rPr>
          <w:spacing w:val="-10"/>
          <w:sz w:val="16"/>
        </w:rPr>
        <w:t> </w:t>
      </w:r>
      <w:r>
        <w:rPr>
          <w:sz w:val="16"/>
        </w:rPr>
        <w:t>Comput.</w:t>
      </w:r>
      <w:r>
        <w:rPr>
          <w:spacing w:val="-10"/>
          <w:sz w:val="16"/>
        </w:rPr>
        <w:t> </w:t>
      </w:r>
      <w:r>
        <w:rPr>
          <w:sz w:val="16"/>
        </w:rPr>
        <w:t>Sci.,</w:t>
      </w:r>
      <w:r>
        <w:rPr>
          <w:spacing w:val="-10"/>
          <w:sz w:val="16"/>
        </w:rPr>
        <w:t> </w:t>
      </w:r>
      <w:r>
        <w:rPr>
          <w:sz w:val="16"/>
        </w:rPr>
        <w:t>vol.</w:t>
      </w:r>
      <w:r>
        <w:rPr>
          <w:spacing w:val="40"/>
          <w:sz w:val="16"/>
        </w:rPr>
        <w:t> </w:t>
      </w:r>
      <w:r>
        <w:rPr>
          <w:sz w:val="16"/>
        </w:rPr>
        <w:t>227, pp. 524–533, 2023, doi: 10.1016/j.procs.2023.10.554.</w:t>
      </w:r>
    </w:p>
    <w:p>
      <w:pPr>
        <w:pStyle w:val="ListParagraph"/>
        <w:numPr>
          <w:ilvl w:val="0"/>
          <w:numId w:val="3"/>
        </w:numPr>
        <w:tabs>
          <w:tab w:pos="432" w:val="left" w:leader="none"/>
          <w:tab w:pos="473" w:val="left" w:leader="none"/>
        </w:tabs>
        <w:spacing w:line="240" w:lineRule="auto" w:before="0" w:after="0"/>
        <w:ind w:left="432" w:right="5754" w:hanging="260"/>
        <w:jc w:val="both"/>
        <w:rPr>
          <w:sz w:val="16"/>
        </w:rPr>
      </w:pPr>
      <w:r>
        <w:rPr>
          <w:sz w:val="16"/>
        </w:rPr>
        <w:t>L.</w:t>
      </w:r>
      <w:r>
        <w:rPr>
          <w:spacing w:val="-7"/>
          <w:sz w:val="16"/>
        </w:rPr>
        <w:t> </w:t>
      </w:r>
      <w:r>
        <w:rPr>
          <w:sz w:val="16"/>
        </w:rPr>
        <w:t>Adreani,</w:t>
      </w:r>
      <w:r>
        <w:rPr>
          <w:spacing w:val="-7"/>
          <w:sz w:val="16"/>
        </w:rPr>
        <w:t> </w:t>
      </w:r>
      <w:r>
        <w:rPr>
          <w:sz w:val="16"/>
        </w:rPr>
        <w:t>P.</w:t>
      </w:r>
      <w:r>
        <w:rPr>
          <w:spacing w:val="-9"/>
          <w:sz w:val="16"/>
        </w:rPr>
        <w:t> </w:t>
      </w:r>
      <w:r>
        <w:rPr>
          <w:sz w:val="16"/>
        </w:rPr>
        <w:t>Bellini,</w:t>
      </w:r>
      <w:r>
        <w:rPr>
          <w:spacing w:val="-9"/>
          <w:sz w:val="16"/>
        </w:rPr>
        <w:t> </w:t>
      </w:r>
      <w:r>
        <w:rPr>
          <w:sz w:val="16"/>
        </w:rPr>
        <w:t>M.</w:t>
      </w:r>
      <w:r>
        <w:rPr>
          <w:spacing w:val="-7"/>
          <w:sz w:val="16"/>
        </w:rPr>
        <w:t> </w:t>
      </w:r>
      <w:r>
        <w:rPr>
          <w:sz w:val="16"/>
        </w:rPr>
        <w:t>Fanfani,</w:t>
      </w:r>
      <w:r>
        <w:rPr>
          <w:spacing w:val="-7"/>
          <w:sz w:val="16"/>
        </w:rPr>
        <w:t> </w:t>
      </w:r>
      <w:r>
        <w:rPr>
          <w:sz w:val="16"/>
        </w:rPr>
        <w:t>P.</w:t>
      </w:r>
      <w:r>
        <w:rPr>
          <w:spacing w:val="-7"/>
          <w:sz w:val="16"/>
        </w:rPr>
        <w:t> </w:t>
      </w:r>
      <w:r>
        <w:rPr>
          <w:sz w:val="16"/>
        </w:rPr>
        <w:t>Nesi,</w:t>
      </w:r>
      <w:r>
        <w:rPr>
          <w:spacing w:val="-9"/>
          <w:sz w:val="16"/>
        </w:rPr>
        <w:t> </w:t>
      </w:r>
      <w:r>
        <w:rPr>
          <w:sz w:val="16"/>
        </w:rPr>
        <w:t>and</w:t>
      </w:r>
      <w:r>
        <w:rPr>
          <w:spacing w:val="-9"/>
          <w:sz w:val="16"/>
        </w:rPr>
        <w:t> </w:t>
      </w:r>
      <w:r>
        <w:rPr>
          <w:sz w:val="16"/>
        </w:rPr>
        <w:t>G.</w:t>
      </w:r>
      <w:r>
        <w:rPr>
          <w:spacing w:val="-7"/>
          <w:sz w:val="16"/>
        </w:rPr>
        <w:t> </w:t>
      </w:r>
      <w:r>
        <w:rPr>
          <w:sz w:val="16"/>
        </w:rPr>
        <w:t>Pantaleo,</w:t>
      </w:r>
      <w:r>
        <w:rPr>
          <w:spacing w:val="-9"/>
          <w:sz w:val="16"/>
        </w:rPr>
        <w:t> </w:t>
      </w:r>
      <w:r>
        <w:rPr>
          <w:sz w:val="16"/>
        </w:rPr>
        <w:t>“Smart</w:t>
      </w:r>
      <w:r>
        <w:rPr>
          <w:spacing w:val="-9"/>
          <w:sz w:val="16"/>
        </w:rPr>
        <w:t> </w:t>
      </w:r>
      <w:r>
        <w:rPr>
          <w:sz w:val="16"/>
        </w:rPr>
        <w:t>city</w:t>
      </w:r>
      <w:r>
        <w:rPr>
          <w:spacing w:val="40"/>
          <w:sz w:val="16"/>
        </w:rPr>
        <w:t> </w:t>
      </w:r>
      <w:r>
        <w:rPr>
          <w:sz w:val="16"/>
        </w:rPr>
        <w:t>digital twin framework for real-time multi-data integration and wide</w:t>
      </w:r>
      <w:r>
        <w:rPr>
          <w:spacing w:val="40"/>
          <w:sz w:val="16"/>
        </w:rPr>
        <w:t> </w:t>
      </w:r>
      <w:r>
        <w:rPr>
          <w:sz w:val="16"/>
        </w:rPr>
        <w:t>public</w:t>
      </w:r>
      <w:r>
        <w:rPr>
          <w:spacing w:val="-7"/>
          <w:sz w:val="16"/>
        </w:rPr>
        <w:t> </w:t>
      </w:r>
      <w:r>
        <w:rPr>
          <w:sz w:val="16"/>
        </w:rPr>
        <w:t>distribution,”</w:t>
      </w:r>
      <w:r>
        <w:rPr>
          <w:spacing w:val="-5"/>
          <w:sz w:val="16"/>
        </w:rPr>
        <w:t> </w:t>
      </w:r>
      <w:r>
        <w:rPr>
          <w:sz w:val="16"/>
        </w:rPr>
        <w:t>IEEE</w:t>
      </w:r>
      <w:r>
        <w:rPr>
          <w:spacing w:val="-5"/>
          <w:sz w:val="16"/>
        </w:rPr>
        <w:t> </w:t>
      </w:r>
      <w:r>
        <w:rPr>
          <w:sz w:val="16"/>
        </w:rPr>
        <w:t>Access,</w:t>
      </w:r>
      <w:r>
        <w:rPr>
          <w:spacing w:val="-5"/>
          <w:sz w:val="16"/>
        </w:rPr>
        <w:t> </w:t>
      </w:r>
      <w:r>
        <w:rPr>
          <w:sz w:val="16"/>
        </w:rPr>
        <w:t>vol.</w:t>
      </w:r>
      <w:r>
        <w:rPr>
          <w:spacing w:val="-5"/>
          <w:sz w:val="16"/>
        </w:rPr>
        <w:t> </w:t>
      </w:r>
      <w:r>
        <w:rPr>
          <w:sz w:val="16"/>
        </w:rPr>
        <w:t>12,</w:t>
      </w:r>
      <w:r>
        <w:rPr>
          <w:spacing w:val="-7"/>
          <w:sz w:val="16"/>
        </w:rPr>
        <w:t> </w:t>
      </w:r>
      <w:r>
        <w:rPr>
          <w:sz w:val="16"/>
        </w:rPr>
        <w:t>pp.</w:t>
      </w:r>
      <w:r>
        <w:rPr>
          <w:spacing w:val="-5"/>
          <w:sz w:val="16"/>
        </w:rPr>
        <w:t> </w:t>
      </w:r>
      <w:r>
        <w:rPr>
          <w:sz w:val="16"/>
        </w:rPr>
        <w:t>76277–76303,</w:t>
      </w:r>
      <w:r>
        <w:rPr>
          <w:spacing w:val="-7"/>
          <w:sz w:val="16"/>
        </w:rPr>
        <w:t> </w:t>
      </w:r>
      <w:r>
        <w:rPr>
          <w:sz w:val="16"/>
        </w:rPr>
        <w:t>2024,</w:t>
      </w:r>
      <w:r>
        <w:rPr>
          <w:spacing w:val="-7"/>
          <w:sz w:val="16"/>
        </w:rPr>
        <w:t> </w:t>
      </w:r>
      <w:r>
        <w:rPr>
          <w:sz w:val="16"/>
        </w:rPr>
        <w:t>doi:</w:t>
      </w:r>
      <w:r>
        <w:rPr>
          <w:spacing w:val="40"/>
          <w:sz w:val="16"/>
        </w:rPr>
        <w:t> </w:t>
      </w:r>
      <w:r>
        <w:rPr>
          <w:spacing w:val="-2"/>
          <w:sz w:val="16"/>
        </w:rPr>
        <w:t>10.1109/ACCESS.2024.3406795.</w:t>
      </w:r>
    </w:p>
    <w:p>
      <w:pPr>
        <w:pStyle w:val="ListParagraph"/>
        <w:numPr>
          <w:ilvl w:val="0"/>
          <w:numId w:val="3"/>
        </w:numPr>
        <w:tabs>
          <w:tab w:pos="432" w:val="left" w:leader="none"/>
          <w:tab w:pos="480" w:val="left" w:leader="none"/>
        </w:tabs>
        <w:spacing w:line="240" w:lineRule="auto" w:before="0" w:after="0"/>
        <w:ind w:left="432" w:right="5753" w:hanging="260"/>
        <w:jc w:val="both"/>
        <w:rPr>
          <w:sz w:val="16"/>
        </w:rPr>
      </w:pPr>
      <w:r>
        <w:rPr>
          <w:sz w:val="16"/>
        </w:rPr>
        <w:t>M. Herath, M. Alvi, R. Minerva, H. Dutta, N. Crespi, and S. M. Raza,</w:t>
      </w:r>
      <w:r>
        <w:rPr>
          <w:spacing w:val="40"/>
          <w:sz w:val="16"/>
        </w:rPr>
        <w:t> </w:t>
      </w:r>
      <w:r>
        <w:rPr>
          <w:sz w:val="16"/>
        </w:rPr>
        <w:t>“Smart city digital twins: A modular</w:t>
      </w:r>
      <w:r>
        <w:rPr>
          <w:spacing w:val="-1"/>
          <w:sz w:val="16"/>
        </w:rPr>
        <w:t> </w:t>
      </w:r>
      <w:r>
        <w:rPr>
          <w:sz w:val="16"/>
        </w:rPr>
        <w:t>and adaptive architecture for real-time data-driven urban management,” in Proc. 2024 20th Int. Conf.</w:t>
      </w:r>
      <w:r>
        <w:rPr>
          <w:spacing w:val="40"/>
          <w:sz w:val="16"/>
        </w:rPr>
        <w:t> </w:t>
      </w:r>
      <w:r>
        <w:rPr>
          <w:sz w:val="16"/>
        </w:rPr>
        <w:t>Network Service Manag. (CNSM), 2024, doi:</w:t>
      </w:r>
      <w:r>
        <w:rPr>
          <w:spacing w:val="40"/>
          <w:sz w:val="16"/>
        </w:rPr>
        <w:t> </w:t>
      </w:r>
      <w:r>
        <w:rPr>
          <w:spacing w:val="-2"/>
          <w:sz w:val="16"/>
        </w:rPr>
        <w:t>10.23919/CNSM62983.2024.10814627.</w:t>
      </w:r>
    </w:p>
    <w:p>
      <w:pPr>
        <w:pStyle w:val="ListParagraph"/>
        <w:numPr>
          <w:ilvl w:val="0"/>
          <w:numId w:val="3"/>
        </w:numPr>
        <w:tabs>
          <w:tab w:pos="432" w:val="left" w:leader="none"/>
          <w:tab w:pos="494" w:val="left" w:leader="none"/>
        </w:tabs>
        <w:spacing w:line="240" w:lineRule="auto" w:before="1" w:after="0"/>
        <w:ind w:left="432" w:right="5755" w:hanging="260"/>
        <w:jc w:val="both"/>
        <w:rPr>
          <w:sz w:val="16"/>
        </w:rPr>
      </w:pPr>
      <w:r>
        <w:rPr>
          <w:sz w:val="16"/>
        </w:rPr>
        <w:t>M. Nasar and M. A. Kausar, “Digital twin-enabled IoT for real-time</w:t>
      </w:r>
      <w:r>
        <w:rPr>
          <w:spacing w:val="40"/>
          <w:sz w:val="16"/>
        </w:rPr>
        <w:t> </w:t>
      </w:r>
      <w:r>
        <w:rPr>
          <w:sz w:val="16"/>
        </w:rPr>
        <w:t>predictive analytics in smart cities,” in Proc. 2026 Int. Conf. Emerging</w:t>
      </w:r>
      <w:r>
        <w:rPr>
          <w:spacing w:val="40"/>
          <w:sz w:val="16"/>
        </w:rPr>
        <w:t> </w:t>
      </w:r>
      <w:r>
        <w:rPr>
          <w:sz w:val="16"/>
        </w:rPr>
        <w:t>Smart Comput. Inform. (ESCI), 2026, doi:</w:t>
      </w:r>
      <w:r>
        <w:rPr>
          <w:spacing w:val="40"/>
          <w:sz w:val="16"/>
        </w:rPr>
        <w:t> </w:t>
      </w:r>
      <w:r>
        <w:rPr>
          <w:spacing w:val="-2"/>
          <w:sz w:val="16"/>
        </w:rPr>
        <w:t>10.1109/ESCI68015.2026.11493245.</w:t>
      </w:r>
    </w:p>
    <w:p>
      <w:pPr>
        <w:pStyle w:val="ListParagraph"/>
        <w:numPr>
          <w:ilvl w:val="0"/>
          <w:numId w:val="3"/>
        </w:numPr>
        <w:tabs>
          <w:tab w:pos="432" w:val="left" w:leader="none"/>
          <w:tab w:pos="470" w:val="left" w:leader="none"/>
        </w:tabs>
        <w:spacing w:line="240" w:lineRule="auto" w:before="0" w:after="0"/>
        <w:ind w:left="432" w:right="5761" w:hanging="260"/>
        <w:jc w:val="both"/>
        <w:rPr>
          <w:sz w:val="16"/>
        </w:rPr>
      </w:pPr>
      <w:r>
        <w:rPr>
          <w:sz w:val="16"/>
        </w:rPr>
        <w:t>S.</w:t>
      </w:r>
      <w:r>
        <w:rPr>
          <w:spacing w:val="-10"/>
          <w:sz w:val="16"/>
        </w:rPr>
        <w:t> </w:t>
      </w:r>
      <w:r>
        <w:rPr>
          <w:sz w:val="16"/>
        </w:rPr>
        <w:t>Haller,</w:t>
      </w:r>
      <w:r>
        <w:rPr>
          <w:spacing w:val="-10"/>
          <w:sz w:val="16"/>
        </w:rPr>
        <w:t> </w:t>
      </w:r>
      <w:r>
        <w:rPr>
          <w:sz w:val="16"/>
        </w:rPr>
        <w:t>“A</w:t>
      </w:r>
      <w:r>
        <w:rPr>
          <w:spacing w:val="-10"/>
          <w:sz w:val="16"/>
        </w:rPr>
        <w:t> </w:t>
      </w:r>
      <w:r>
        <w:rPr>
          <w:sz w:val="16"/>
        </w:rPr>
        <w:t>domain</w:t>
      </w:r>
      <w:r>
        <w:rPr>
          <w:spacing w:val="-10"/>
          <w:sz w:val="16"/>
        </w:rPr>
        <w:t> </w:t>
      </w:r>
      <w:r>
        <w:rPr>
          <w:sz w:val="16"/>
        </w:rPr>
        <w:t>model</w:t>
      </w:r>
      <w:r>
        <w:rPr>
          <w:spacing w:val="-10"/>
          <w:sz w:val="16"/>
        </w:rPr>
        <w:t> </w:t>
      </w:r>
      <w:r>
        <w:rPr>
          <w:sz w:val="16"/>
        </w:rPr>
        <w:t>for</w:t>
      </w:r>
      <w:r>
        <w:rPr>
          <w:spacing w:val="-10"/>
          <w:sz w:val="16"/>
        </w:rPr>
        <w:t> </w:t>
      </w:r>
      <w:r>
        <w:rPr>
          <w:sz w:val="16"/>
        </w:rPr>
        <w:t>urban</w:t>
      </w:r>
      <w:r>
        <w:rPr>
          <w:spacing w:val="-10"/>
          <w:sz w:val="16"/>
        </w:rPr>
        <w:t> </w:t>
      </w:r>
      <w:r>
        <w:rPr>
          <w:sz w:val="16"/>
        </w:rPr>
        <w:t>digital</w:t>
      </w:r>
      <w:r>
        <w:rPr>
          <w:spacing w:val="-10"/>
          <w:sz w:val="16"/>
        </w:rPr>
        <w:t> </w:t>
      </w:r>
      <w:r>
        <w:rPr>
          <w:sz w:val="16"/>
        </w:rPr>
        <w:t>twins,”</w:t>
      </w:r>
      <w:r>
        <w:rPr>
          <w:spacing w:val="-10"/>
          <w:sz w:val="16"/>
        </w:rPr>
        <w:t> </w:t>
      </w:r>
      <w:r>
        <w:rPr>
          <w:sz w:val="16"/>
        </w:rPr>
        <w:t>in</w:t>
      </w:r>
      <w:r>
        <w:rPr>
          <w:spacing w:val="-10"/>
          <w:sz w:val="16"/>
        </w:rPr>
        <w:t> </w:t>
      </w:r>
      <w:r>
        <w:rPr>
          <w:sz w:val="16"/>
        </w:rPr>
        <w:t>Proc.</w:t>
      </w:r>
      <w:r>
        <w:rPr>
          <w:spacing w:val="-10"/>
          <w:sz w:val="16"/>
        </w:rPr>
        <w:t> </w:t>
      </w:r>
      <w:r>
        <w:rPr>
          <w:sz w:val="16"/>
        </w:rPr>
        <w:t>2024</w:t>
      </w:r>
      <w:r>
        <w:rPr>
          <w:spacing w:val="-10"/>
          <w:sz w:val="16"/>
        </w:rPr>
        <w:t> </w:t>
      </w:r>
      <w:r>
        <w:rPr>
          <w:sz w:val="16"/>
        </w:rPr>
        <w:t>IEEE</w:t>
      </w:r>
      <w:r>
        <w:rPr>
          <w:spacing w:val="40"/>
          <w:sz w:val="16"/>
        </w:rPr>
        <w:t> </w:t>
      </w:r>
      <w:r>
        <w:rPr>
          <w:sz w:val="16"/>
        </w:rPr>
        <w:t>Conf. Pervasive Intell. Comput. (PICom), 2024, doi:</w:t>
      </w:r>
      <w:r>
        <w:rPr>
          <w:spacing w:val="40"/>
          <w:sz w:val="16"/>
        </w:rPr>
        <w:t> </w:t>
      </w:r>
      <w:r>
        <w:rPr>
          <w:spacing w:val="-2"/>
          <w:sz w:val="16"/>
        </w:rPr>
        <w:t>10.1109/PICom64201.2024.00030.</w:t>
      </w:r>
    </w:p>
    <w:p>
      <w:pPr>
        <w:pStyle w:val="ListParagraph"/>
        <w:numPr>
          <w:ilvl w:val="0"/>
          <w:numId w:val="3"/>
        </w:numPr>
        <w:tabs>
          <w:tab w:pos="432" w:val="left" w:leader="none"/>
          <w:tab w:pos="516" w:val="left" w:leader="none"/>
        </w:tabs>
        <w:spacing w:line="240" w:lineRule="auto" w:before="0" w:after="0"/>
        <w:ind w:left="432" w:right="5756" w:hanging="260"/>
        <w:jc w:val="both"/>
        <w:rPr>
          <w:sz w:val="16"/>
        </w:rPr>
      </w:pPr>
      <w:r>
        <w:rPr>
          <w:sz w:val="16"/>
        </w:rPr>
        <w:t>L. Kanigolla, G. Pal, K. Vaidhyanathan, D. Gangadharan, and A.</w:t>
      </w:r>
      <w:r>
        <w:rPr>
          <w:spacing w:val="40"/>
          <w:sz w:val="16"/>
        </w:rPr>
        <w:t> </w:t>
      </w:r>
      <w:r>
        <w:rPr>
          <w:sz w:val="16"/>
        </w:rPr>
        <w:t>Vattem,</w:t>
      </w:r>
      <w:r>
        <w:rPr>
          <w:spacing w:val="-10"/>
          <w:sz w:val="16"/>
        </w:rPr>
        <w:t> </w:t>
      </w:r>
      <w:r>
        <w:rPr>
          <w:sz w:val="16"/>
        </w:rPr>
        <w:t>“Architecting</w:t>
      </w:r>
      <w:r>
        <w:rPr>
          <w:spacing w:val="-9"/>
          <w:sz w:val="16"/>
        </w:rPr>
        <w:t> </w:t>
      </w:r>
      <w:r>
        <w:rPr>
          <w:sz w:val="16"/>
        </w:rPr>
        <w:t>digital</w:t>
      </w:r>
      <w:r>
        <w:rPr>
          <w:spacing w:val="-7"/>
          <w:sz w:val="16"/>
        </w:rPr>
        <w:t> </w:t>
      </w:r>
      <w:r>
        <w:rPr>
          <w:sz w:val="16"/>
        </w:rPr>
        <w:t>twin</w:t>
      </w:r>
      <w:r>
        <w:rPr>
          <w:spacing w:val="-9"/>
          <w:sz w:val="16"/>
        </w:rPr>
        <w:t> </w:t>
      </w:r>
      <w:r>
        <w:rPr>
          <w:sz w:val="16"/>
        </w:rPr>
        <w:t>for</w:t>
      </w:r>
      <w:r>
        <w:rPr>
          <w:spacing w:val="-10"/>
          <w:sz w:val="16"/>
        </w:rPr>
        <w:t> </w:t>
      </w:r>
      <w:r>
        <w:rPr>
          <w:sz w:val="16"/>
        </w:rPr>
        <w:t>smart</w:t>
      </w:r>
      <w:r>
        <w:rPr>
          <w:spacing w:val="-9"/>
          <w:sz w:val="16"/>
        </w:rPr>
        <w:t> </w:t>
      </w:r>
      <w:r>
        <w:rPr>
          <w:sz w:val="16"/>
        </w:rPr>
        <w:t>city</w:t>
      </w:r>
      <w:r>
        <w:rPr>
          <w:spacing w:val="-9"/>
          <w:sz w:val="16"/>
        </w:rPr>
        <w:t> </w:t>
      </w:r>
      <w:r>
        <w:rPr>
          <w:sz w:val="16"/>
        </w:rPr>
        <w:t>systems:</w:t>
      </w:r>
      <w:r>
        <w:rPr>
          <w:spacing w:val="-7"/>
          <w:sz w:val="16"/>
        </w:rPr>
        <w:t> </w:t>
      </w:r>
      <w:r>
        <w:rPr>
          <w:sz w:val="16"/>
        </w:rPr>
        <w:t>A</w:t>
      </w:r>
      <w:r>
        <w:rPr>
          <w:spacing w:val="-10"/>
          <w:sz w:val="16"/>
        </w:rPr>
        <w:t> </w:t>
      </w:r>
      <w:r>
        <w:rPr>
          <w:sz w:val="16"/>
        </w:rPr>
        <w:t>case</w:t>
      </w:r>
      <w:r>
        <w:rPr>
          <w:spacing w:val="-7"/>
          <w:sz w:val="16"/>
        </w:rPr>
        <w:t> </w:t>
      </w:r>
      <w:r>
        <w:rPr>
          <w:sz w:val="16"/>
        </w:rPr>
        <w:t>study,”</w:t>
      </w:r>
      <w:r>
        <w:rPr>
          <w:spacing w:val="40"/>
          <w:sz w:val="16"/>
        </w:rPr>
        <w:t> </w:t>
      </w:r>
      <w:r>
        <w:rPr>
          <w:sz w:val="16"/>
        </w:rPr>
        <w:t>in</w:t>
      </w:r>
      <w:r>
        <w:rPr>
          <w:spacing w:val="-10"/>
          <w:sz w:val="16"/>
        </w:rPr>
        <w:t> </w:t>
      </w:r>
      <w:r>
        <w:rPr>
          <w:sz w:val="16"/>
        </w:rPr>
        <w:t>Proc.</w:t>
      </w:r>
      <w:r>
        <w:rPr>
          <w:spacing w:val="-10"/>
          <w:sz w:val="16"/>
        </w:rPr>
        <w:t> </w:t>
      </w:r>
      <w:r>
        <w:rPr>
          <w:sz w:val="16"/>
        </w:rPr>
        <w:t>2024</w:t>
      </w:r>
      <w:r>
        <w:rPr>
          <w:spacing w:val="-8"/>
          <w:sz w:val="16"/>
        </w:rPr>
        <w:t> </w:t>
      </w:r>
      <w:r>
        <w:rPr>
          <w:sz w:val="16"/>
        </w:rPr>
        <w:t>IEEE</w:t>
      </w:r>
      <w:r>
        <w:rPr>
          <w:spacing w:val="-10"/>
          <w:sz w:val="16"/>
        </w:rPr>
        <w:t> </w:t>
      </w:r>
      <w:r>
        <w:rPr>
          <w:sz w:val="16"/>
        </w:rPr>
        <w:t>21st</w:t>
      </w:r>
      <w:r>
        <w:rPr>
          <w:spacing w:val="-8"/>
          <w:sz w:val="16"/>
        </w:rPr>
        <w:t> </w:t>
      </w:r>
      <w:r>
        <w:rPr>
          <w:sz w:val="16"/>
        </w:rPr>
        <w:t>Int.</w:t>
      </w:r>
      <w:r>
        <w:rPr>
          <w:spacing w:val="-10"/>
          <w:sz w:val="16"/>
        </w:rPr>
        <w:t> </w:t>
      </w:r>
      <w:r>
        <w:rPr>
          <w:sz w:val="16"/>
        </w:rPr>
        <w:t>Conf.</w:t>
      </w:r>
      <w:r>
        <w:rPr>
          <w:spacing w:val="-8"/>
          <w:sz w:val="16"/>
        </w:rPr>
        <w:t> </w:t>
      </w:r>
      <w:r>
        <w:rPr>
          <w:sz w:val="16"/>
        </w:rPr>
        <w:t>Softw.</w:t>
      </w:r>
      <w:r>
        <w:rPr>
          <w:spacing w:val="-8"/>
          <w:sz w:val="16"/>
        </w:rPr>
        <w:t> </w:t>
      </w:r>
      <w:r>
        <w:rPr>
          <w:sz w:val="16"/>
        </w:rPr>
        <w:t>Archit.</w:t>
      </w:r>
      <w:r>
        <w:rPr>
          <w:spacing w:val="-10"/>
          <w:sz w:val="16"/>
        </w:rPr>
        <w:t> </w:t>
      </w:r>
      <w:r>
        <w:rPr>
          <w:sz w:val="16"/>
        </w:rPr>
        <w:t>Companion</w:t>
      </w:r>
      <w:r>
        <w:rPr>
          <w:spacing w:val="-10"/>
          <w:sz w:val="16"/>
        </w:rPr>
        <w:t> </w:t>
      </w:r>
      <w:r>
        <w:rPr>
          <w:sz w:val="16"/>
        </w:rPr>
        <w:t>(ICSA-C),</w:t>
      </w:r>
    </w:p>
    <w:p>
      <w:pPr>
        <w:spacing w:before="0"/>
        <w:ind w:left="432" w:right="0" w:firstLine="0"/>
        <w:jc w:val="both"/>
        <w:rPr>
          <w:sz w:val="16"/>
        </w:rPr>
      </w:pPr>
      <w:r>
        <w:rPr>
          <w:sz w:val="16"/>
        </w:rPr>
        <w:t>pp.</w:t>
      </w:r>
      <w:r>
        <w:rPr>
          <w:spacing w:val="-10"/>
          <w:sz w:val="16"/>
        </w:rPr>
        <w:t> </w:t>
      </w:r>
      <w:r>
        <w:rPr>
          <w:sz w:val="16"/>
        </w:rPr>
        <w:t>326–334,</w:t>
      </w:r>
      <w:r>
        <w:rPr>
          <w:spacing w:val="-9"/>
          <w:sz w:val="16"/>
        </w:rPr>
        <w:t> </w:t>
      </w:r>
      <w:r>
        <w:rPr>
          <w:sz w:val="16"/>
        </w:rPr>
        <w:t>2024,</w:t>
      </w:r>
      <w:r>
        <w:rPr>
          <w:spacing w:val="-9"/>
          <w:sz w:val="16"/>
        </w:rPr>
        <w:t> </w:t>
      </w:r>
      <w:r>
        <w:rPr>
          <w:sz w:val="16"/>
        </w:rPr>
        <w:t>doi:</w:t>
      </w:r>
      <w:r>
        <w:rPr>
          <w:spacing w:val="-8"/>
          <w:sz w:val="16"/>
        </w:rPr>
        <w:t> </w:t>
      </w:r>
      <w:r>
        <w:rPr>
          <w:sz w:val="16"/>
        </w:rPr>
        <w:t>10.1109/ICSA-</w:t>
      </w:r>
      <w:r>
        <w:rPr>
          <w:spacing w:val="-2"/>
          <w:sz w:val="16"/>
        </w:rPr>
        <w:t>C63560.2024.00061.</w:t>
      </w:r>
    </w:p>
    <w:p>
      <w:pPr>
        <w:pStyle w:val="ListParagraph"/>
        <w:numPr>
          <w:ilvl w:val="0"/>
          <w:numId w:val="3"/>
        </w:numPr>
        <w:tabs>
          <w:tab w:pos="432" w:val="left" w:leader="none"/>
          <w:tab w:pos="470" w:val="left" w:leader="none"/>
        </w:tabs>
        <w:spacing w:line="240" w:lineRule="auto" w:before="0" w:after="0"/>
        <w:ind w:left="432" w:right="5753" w:hanging="260"/>
        <w:jc w:val="both"/>
        <w:rPr>
          <w:sz w:val="16"/>
        </w:rPr>
      </w:pPr>
      <w:r>
        <w:rPr>
          <w:sz w:val="16"/>
        </w:rPr>
        <w:t>F.</w:t>
      </w:r>
      <w:r>
        <w:rPr>
          <w:spacing w:val="-10"/>
          <w:sz w:val="16"/>
        </w:rPr>
        <w:t> </w:t>
      </w:r>
      <w:r>
        <w:rPr>
          <w:sz w:val="16"/>
        </w:rPr>
        <w:t>J.</w:t>
      </w:r>
      <w:r>
        <w:rPr>
          <w:spacing w:val="-10"/>
          <w:sz w:val="16"/>
        </w:rPr>
        <w:t> </w:t>
      </w:r>
      <w:r>
        <w:rPr>
          <w:sz w:val="16"/>
        </w:rPr>
        <w:t>Villanueva,</w:t>
      </w:r>
      <w:r>
        <w:rPr>
          <w:spacing w:val="-10"/>
          <w:sz w:val="16"/>
        </w:rPr>
        <w:t> </w:t>
      </w:r>
      <w:r>
        <w:rPr>
          <w:sz w:val="16"/>
        </w:rPr>
        <w:t>C.</w:t>
      </w:r>
      <w:r>
        <w:rPr>
          <w:spacing w:val="-10"/>
          <w:sz w:val="16"/>
        </w:rPr>
        <w:t> </w:t>
      </w:r>
      <w:r>
        <w:rPr>
          <w:sz w:val="16"/>
        </w:rPr>
        <w:t>Bolaños,</w:t>
      </w:r>
      <w:r>
        <w:rPr>
          <w:spacing w:val="-10"/>
          <w:sz w:val="16"/>
        </w:rPr>
        <w:t> </w:t>
      </w:r>
      <w:r>
        <w:rPr>
          <w:sz w:val="16"/>
        </w:rPr>
        <w:t>A.</w:t>
      </w:r>
      <w:r>
        <w:rPr>
          <w:spacing w:val="-10"/>
          <w:sz w:val="16"/>
        </w:rPr>
        <w:t> </w:t>
      </w:r>
      <w:r>
        <w:rPr>
          <w:sz w:val="16"/>
        </w:rPr>
        <w:t>Rubio</w:t>
      </w:r>
      <w:r>
        <w:rPr>
          <w:spacing w:val="-10"/>
          <w:sz w:val="16"/>
        </w:rPr>
        <w:t> </w:t>
      </w:r>
      <w:r>
        <w:rPr>
          <w:sz w:val="16"/>
        </w:rPr>
        <w:t>Ruiz,</w:t>
      </w:r>
      <w:r>
        <w:rPr>
          <w:spacing w:val="-10"/>
          <w:sz w:val="16"/>
        </w:rPr>
        <w:t> </w:t>
      </w:r>
      <w:r>
        <w:rPr>
          <w:sz w:val="16"/>
        </w:rPr>
        <w:t>R.</w:t>
      </w:r>
      <w:r>
        <w:rPr>
          <w:spacing w:val="-10"/>
          <w:sz w:val="16"/>
        </w:rPr>
        <w:t> </w:t>
      </w:r>
      <w:r>
        <w:rPr>
          <w:sz w:val="16"/>
        </w:rPr>
        <w:t>Cantarero,</w:t>
      </w:r>
      <w:r>
        <w:rPr>
          <w:spacing w:val="-10"/>
          <w:sz w:val="16"/>
        </w:rPr>
        <w:t> </w:t>
      </w:r>
      <w:r>
        <w:rPr>
          <w:sz w:val="16"/>
        </w:rPr>
        <w:t>J.</w:t>
      </w:r>
      <w:r>
        <w:rPr>
          <w:spacing w:val="-10"/>
          <w:sz w:val="16"/>
        </w:rPr>
        <w:t> </w:t>
      </w:r>
      <w:r>
        <w:rPr>
          <w:sz w:val="16"/>
        </w:rPr>
        <w:t>Fernández-Bermejo, and J. Dorado, “Crowded event management in smart cities</w:t>
      </w:r>
      <w:r>
        <w:rPr>
          <w:spacing w:val="40"/>
          <w:sz w:val="16"/>
        </w:rPr>
        <w:t> </w:t>
      </w:r>
      <w:r>
        <w:rPr>
          <w:sz w:val="16"/>
        </w:rPr>
        <w:t>using a digital twin approach,” in Proc. 2022 IEEE Int. Smart Cities</w:t>
      </w:r>
      <w:r>
        <w:rPr>
          <w:spacing w:val="40"/>
          <w:sz w:val="16"/>
        </w:rPr>
        <w:t> </w:t>
      </w:r>
      <w:r>
        <w:rPr>
          <w:sz w:val="16"/>
        </w:rPr>
        <w:t>Conf. (ISC2), 2022, pp. 1–7, doi: 10.1109/ISC255366.2022.9921923.</w:t>
      </w:r>
    </w:p>
    <w:p>
      <w:pPr>
        <w:pStyle w:val="ListParagraph"/>
        <w:numPr>
          <w:ilvl w:val="0"/>
          <w:numId w:val="3"/>
        </w:numPr>
        <w:tabs>
          <w:tab w:pos="432" w:val="left" w:leader="none"/>
          <w:tab w:pos="511" w:val="left" w:leader="none"/>
        </w:tabs>
        <w:spacing w:line="240" w:lineRule="auto" w:before="0" w:after="0"/>
        <w:ind w:left="432" w:right="5760" w:hanging="260"/>
        <w:jc w:val="both"/>
        <w:rPr>
          <w:sz w:val="16"/>
        </w:rPr>
      </w:pPr>
      <w:r>
        <w:rPr>
          <w:sz w:val="16"/>
        </w:rPr>
        <w:t>M. Saad, M. Khan, M. Saeed, A. E. El Saddik, and W. Gueaieb,</w:t>
      </w:r>
      <w:r>
        <w:rPr>
          <w:spacing w:val="40"/>
          <w:sz w:val="16"/>
        </w:rPr>
        <w:t> </w:t>
      </w:r>
      <w:r>
        <w:rPr>
          <w:sz w:val="16"/>
        </w:rPr>
        <w:t>“Combating counterfeit products in smart cities with digital twin</w:t>
      </w:r>
      <w:r>
        <w:rPr>
          <w:spacing w:val="40"/>
          <w:sz w:val="16"/>
        </w:rPr>
        <w:t> </w:t>
      </w:r>
      <w:r>
        <w:rPr>
          <w:sz w:val="16"/>
        </w:rPr>
        <w:t>technology,” in Proc. 2023 IEEE Int. Smart Cities Conf. (ISC2), 2023,</w:t>
      </w:r>
      <w:r>
        <w:rPr>
          <w:spacing w:val="40"/>
          <w:sz w:val="16"/>
        </w:rPr>
        <w:t> </w:t>
      </w:r>
      <w:r>
        <w:rPr>
          <w:sz w:val="16"/>
        </w:rPr>
        <w:t>doi:</w:t>
      </w:r>
      <w:r>
        <w:rPr>
          <w:spacing w:val="-3"/>
          <w:sz w:val="16"/>
        </w:rPr>
        <w:t> </w:t>
      </w:r>
      <w:r>
        <w:rPr>
          <w:sz w:val="16"/>
        </w:rPr>
        <w:t>10.1109/ISC257844.2023.10293496.</w:t>
      </w:r>
    </w:p>
    <w:p>
      <w:pPr>
        <w:pStyle w:val="ListParagraph"/>
        <w:numPr>
          <w:ilvl w:val="0"/>
          <w:numId w:val="3"/>
        </w:numPr>
        <w:tabs>
          <w:tab w:pos="432" w:val="left" w:leader="none"/>
          <w:tab w:pos="475" w:val="left" w:leader="none"/>
        </w:tabs>
        <w:spacing w:line="240" w:lineRule="auto" w:before="0" w:after="0"/>
        <w:ind w:left="432" w:right="5760" w:hanging="260"/>
        <w:jc w:val="both"/>
        <w:rPr>
          <w:sz w:val="16"/>
        </w:rPr>
      </w:pPr>
      <w:r>
        <w:rPr>
          <w:sz w:val="16"/>
        </w:rPr>
        <w:t>P.</w:t>
      </w:r>
      <w:r>
        <w:rPr>
          <w:spacing w:val="-4"/>
          <w:sz w:val="16"/>
        </w:rPr>
        <w:t> </w:t>
      </w:r>
      <w:r>
        <w:rPr>
          <w:sz w:val="16"/>
        </w:rPr>
        <w:t>Bellini,</w:t>
      </w:r>
      <w:r>
        <w:rPr>
          <w:spacing w:val="-4"/>
          <w:sz w:val="16"/>
        </w:rPr>
        <w:t> </w:t>
      </w:r>
      <w:r>
        <w:rPr>
          <w:sz w:val="16"/>
        </w:rPr>
        <w:t>S.</w:t>
      </w:r>
      <w:r>
        <w:rPr>
          <w:spacing w:val="-4"/>
          <w:sz w:val="16"/>
        </w:rPr>
        <w:t> </w:t>
      </w:r>
      <w:r>
        <w:rPr>
          <w:sz w:val="16"/>
        </w:rPr>
        <w:t>Bilotta,</w:t>
      </w:r>
      <w:r>
        <w:rPr>
          <w:spacing w:val="-4"/>
          <w:sz w:val="16"/>
        </w:rPr>
        <w:t> </w:t>
      </w:r>
      <w:r>
        <w:rPr>
          <w:sz w:val="16"/>
        </w:rPr>
        <w:t>E.</w:t>
      </w:r>
      <w:r>
        <w:rPr>
          <w:spacing w:val="-6"/>
          <w:sz w:val="16"/>
        </w:rPr>
        <w:t> </w:t>
      </w:r>
      <w:r>
        <w:rPr>
          <w:sz w:val="16"/>
        </w:rPr>
        <w:t>Collini,</w:t>
      </w:r>
      <w:r>
        <w:rPr>
          <w:spacing w:val="-6"/>
          <w:sz w:val="16"/>
        </w:rPr>
        <w:t> </w:t>
      </w:r>
      <w:r>
        <w:rPr>
          <w:sz w:val="16"/>
        </w:rPr>
        <w:t>M.</w:t>
      </w:r>
      <w:r>
        <w:rPr>
          <w:spacing w:val="-4"/>
          <w:sz w:val="16"/>
        </w:rPr>
        <w:t> </w:t>
      </w:r>
      <w:r>
        <w:rPr>
          <w:sz w:val="16"/>
        </w:rPr>
        <w:t>Fanfani,</w:t>
      </w:r>
      <w:r>
        <w:rPr>
          <w:spacing w:val="-4"/>
          <w:sz w:val="16"/>
        </w:rPr>
        <w:t> </w:t>
      </w:r>
      <w:r>
        <w:rPr>
          <w:sz w:val="16"/>
        </w:rPr>
        <w:t>and</w:t>
      </w:r>
      <w:r>
        <w:rPr>
          <w:spacing w:val="-3"/>
          <w:sz w:val="16"/>
        </w:rPr>
        <w:t> </w:t>
      </w:r>
      <w:r>
        <w:rPr>
          <w:sz w:val="16"/>
        </w:rPr>
        <w:t>P.</w:t>
      </w:r>
      <w:r>
        <w:rPr>
          <w:spacing w:val="-4"/>
          <w:sz w:val="16"/>
        </w:rPr>
        <w:t> </w:t>
      </w:r>
      <w:r>
        <w:rPr>
          <w:sz w:val="16"/>
        </w:rPr>
        <w:t>Nesi,</w:t>
      </w:r>
      <w:r>
        <w:rPr>
          <w:spacing w:val="-6"/>
          <w:sz w:val="16"/>
        </w:rPr>
        <w:t> </w:t>
      </w:r>
      <w:r>
        <w:rPr>
          <w:sz w:val="16"/>
        </w:rPr>
        <w:t>“Mobility</w:t>
      </w:r>
      <w:r>
        <w:rPr>
          <w:spacing w:val="-6"/>
          <w:sz w:val="16"/>
        </w:rPr>
        <w:t> </w:t>
      </w:r>
      <w:r>
        <w:rPr>
          <w:sz w:val="16"/>
        </w:rPr>
        <w:t>and</w:t>
      </w:r>
      <w:r>
        <w:rPr>
          <w:spacing w:val="40"/>
          <w:sz w:val="16"/>
        </w:rPr>
        <w:t> </w:t>
      </w:r>
      <w:r>
        <w:rPr>
          <w:sz w:val="16"/>
        </w:rPr>
        <w:t>transport data for city digital twin modeling and exploitation,” in Proc.</w:t>
      </w:r>
      <w:r>
        <w:rPr>
          <w:spacing w:val="40"/>
          <w:sz w:val="16"/>
        </w:rPr>
        <w:t> </w:t>
      </w:r>
      <w:r>
        <w:rPr>
          <w:sz w:val="16"/>
        </w:rPr>
        <w:t>2023 IEEE Int. Smart Cities Conf. (ISC2), 2023, doi:</w:t>
      </w:r>
      <w:r>
        <w:rPr>
          <w:spacing w:val="40"/>
          <w:sz w:val="16"/>
        </w:rPr>
        <w:t> </w:t>
      </w:r>
      <w:r>
        <w:rPr>
          <w:spacing w:val="-2"/>
          <w:sz w:val="16"/>
        </w:rPr>
        <w:t>10.1109/ISC257844.2023.10293300.</w:t>
      </w:r>
    </w:p>
    <w:p>
      <w:pPr>
        <w:pStyle w:val="ListParagraph"/>
        <w:numPr>
          <w:ilvl w:val="0"/>
          <w:numId w:val="3"/>
        </w:numPr>
        <w:tabs>
          <w:tab w:pos="432" w:val="left" w:leader="none"/>
          <w:tab w:pos="484" w:val="left" w:leader="none"/>
          <w:tab w:pos="1230" w:val="left" w:leader="none"/>
          <w:tab w:pos="2156" w:val="left" w:leader="none"/>
          <w:tab w:pos="2796" w:val="left" w:leader="none"/>
          <w:tab w:pos="3996" w:val="left" w:leader="none"/>
          <w:tab w:pos="4792" w:val="left" w:leader="none"/>
        </w:tabs>
        <w:spacing w:line="240" w:lineRule="auto" w:before="0" w:after="0"/>
        <w:ind w:left="432" w:right="5754" w:hanging="260"/>
        <w:jc w:val="both"/>
        <w:rPr>
          <w:sz w:val="16"/>
        </w:rPr>
      </w:pPr>
      <w:r>
        <w:rPr>
          <w:sz w:val="16"/>
        </w:rPr>
        <w:t>Q. Gao, Y. Chu, Z. Peng, Y. Jin, X. Ji, S. Ji, S. Ping, X. Xie, X. Zhu,</w:t>
      </w:r>
      <w:r>
        <w:rPr>
          <w:spacing w:val="40"/>
          <w:sz w:val="16"/>
        </w:rPr>
        <w:t> </w:t>
      </w:r>
      <w:r>
        <w:rPr>
          <w:sz w:val="16"/>
        </w:rPr>
        <w:t>and</w:t>
      </w:r>
      <w:r>
        <w:rPr>
          <w:spacing w:val="-2"/>
          <w:sz w:val="16"/>
        </w:rPr>
        <w:t> </w:t>
      </w:r>
      <w:r>
        <w:rPr>
          <w:sz w:val="16"/>
        </w:rPr>
        <w:t>Y.</w:t>
      </w:r>
      <w:r>
        <w:rPr>
          <w:spacing w:val="-2"/>
          <w:sz w:val="16"/>
        </w:rPr>
        <w:t> </w:t>
      </w:r>
      <w:r>
        <w:rPr>
          <w:sz w:val="16"/>
        </w:rPr>
        <w:t>Yue,</w:t>
      </w:r>
      <w:r>
        <w:rPr>
          <w:spacing w:val="-5"/>
          <w:sz w:val="16"/>
        </w:rPr>
        <w:t> </w:t>
      </w:r>
      <w:r>
        <w:rPr>
          <w:sz w:val="16"/>
        </w:rPr>
        <w:t>“Smart</w:t>
      </w:r>
      <w:r>
        <w:rPr>
          <w:spacing w:val="-4"/>
          <w:sz w:val="16"/>
        </w:rPr>
        <w:t> </w:t>
      </w:r>
      <w:r>
        <w:rPr>
          <w:sz w:val="16"/>
        </w:rPr>
        <w:t>building</w:t>
      </w:r>
      <w:r>
        <w:rPr>
          <w:spacing w:val="-2"/>
          <w:sz w:val="16"/>
        </w:rPr>
        <w:t> </w:t>
      </w:r>
      <w:r>
        <w:rPr>
          <w:sz w:val="16"/>
        </w:rPr>
        <w:t>management</w:t>
      </w:r>
      <w:r>
        <w:rPr>
          <w:spacing w:val="-2"/>
          <w:sz w:val="16"/>
        </w:rPr>
        <w:t> </w:t>
      </w:r>
      <w:r>
        <w:rPr>
          <w:sz w:val="16"/>
        </w:rPr>
        <w:t>system</w:t>
      </w:r>
      <w:r>
        <w:rPr>
          <w:spacing w:val="-3"/>
          <w:sz w:val="16"/>
        </w:rPr>
        <w:t> </w:t>
      </w:r>
      <w:r>
        <w:rPr>
          <w:sz w:val="16"/>
        </w:rPr>
        <w:t>based</w:t>
      </w:r>
      <w:r>
        <w:rPr>
          <w:spacing w:val="-4"/>
          <w:sz w:val="16"/>
        </w:rPr>
        <w:t> </w:t>
      </w:r>
      <w:r>
        <w:rPr>
          <w:sz w:val="16"/>
        </w:rPr>
        <w:t>on</w:t>
      </w:r>
      <w:r>
        <w:rPr>
          <w:spacing w:val="-4"/>
          <w:sz w:val="16"/>
        </w:rPr>
        <w:t> </w:t>
      </w:r>
      <w:r>
        <w:rPr>
          <w:sz w:val="16"/>
        </w:rPr>
        <w:t>digital</w:t>
      </w:r>
      <w:r>
        <w:rPr>
          <w:spacing w:val="-4"/>
          <w:sz w:val="16"/>
        </w:rPr>
        <w:t> </w:t>
      </w:r>
      <w:r>
        <w:rPr>
          <w:sz w:val="16"/>
        </w:rPr>
        <w:t>twin:</w:t>
      </w:r>
      <w:r>
        <w:rPr>
          <w:spacing w:val="40"/>
          <w:sz w:val="16"/>
        </w:rPr>
        <w:t> </w:t>
      </w:r>
      <w:r>
        <w:rPr>
          <w:spacing w:val="-2"/>
          <w:sz w:val="16"/>
        </w:rPr>
        <w:t>A case study on real-time environmental monitoring and thermal comfort</w:t>
      </w:r>
      <w:r>
        <w:rPr>
          <w:spacing w:val="40"/>
          <w:sz w:val="16"/>
        </w:rPr>
        <w:t> </w:t>
      </w:r>
      <w:r>
        <w:rPr>
          <w:sz w:val="16"/>
        </w:rPr>
        <w:t>prediction,” in Proc. 2024 IEEE Int. Symp. Parallel Distrib. Process.</w:t>
      </w:r>
      <w:r>
        <w:rPr>
          <w:spacing w:val="40"/>
          <w:sz w:val="16"/>
        </w:rPr>
        <w:t> </w:t>
      </w:r>
      <w:r>
        <w:rPr>
          <w:spacing w:val="-2"/>
          <w:sz w:val="16"/>
        </w:rPr>
        <w:t>Appl.</w:t>
      </w:r>
      <w:r>
        <w:rPr>
          <w:sz w:val="16"/>
        </w:rPr>
        <w:tab/>
      </w:r>
      <w:r>
        <w:rPr>
          <w:spacing w:val="-2"/>
          <w:sz w:val="16"/>
        </w:rPr>
        <w:t>(ISPA),</w:t>
      </w:r>
      <w:r>
        <w:rPr>
          <w:sz w:val="16"/>
        </w:rPr>
        <w:tab/>
      </w:r>
      <w:r>
        <w:rPr>
          <w:spacing w:val="-4"/>
          <w:sz w:val="16"/>
        </w:rPr>
        <w:t>pp.</w:t>
      </w:r>
      <w:r>
        <w:rPr>
          <w:sz w:val="16"/>
        </w:rPr>
        <w:tab/>
      </w:r>
      <w:r>
        <w:rPr>
          <w:spacing w:val="-2"/>
          <w:sz w:val="16"/>
        </w:rPr>
        <w:t>2157–2163,</w:t>
      </w:r>
      <w:r>
        <w:rPr>
          <w:sz w:val="16"/>
        </w:rPr>
        <w:tab/>
      </w:r>
      <w:r>
        <w:rPr>
          <w:spacing w:val="-4"/>
          <w:sz w:val="16"/>
        </w:rPr>
        <w:t>2024,</w:t>
      </w:r>
      <w:r>
        <w:rPr>
          <w:sz w:val="16"/>
        </w:rPr>
        <w:tab/>
      </w:r>
      <w:r>
        <w:rPr>
          <w:spacing w:val="-4"/>
          <w:sz w:val="16"/>
        </w:rPr>
        <w:t>doi:</w:t>
      </w:r>
      <w:r>
        <w:rPr>
          <w:spacing w:val="40"/>
          <w:sz w:val="16"/>
        </w:rPr>
        <w:t> </w:t>
      </w:r>
      <w:r>
        <w:rPr>
          <w:spacing w:val="-2"/>
          <w:sz w:val="16"/>
        </w:rPr>
        <w:t>10.1109/ISPA63168.2024.00294.</w:t>
      </w:r>
    </w:p>
    <w:p>
      <w:pPr>
        <w:pStyle w:val="ListParagraph"/>
        <w:numPr>
          <w:ilvl w:val="0"/>
          <w:numId w:val="3"/>
        </w:numPr>
        <w:tabs>
          <w:tab w:pos="432" w:val="left" w:leader="none"/>
          <w:tab w:pos="470" w:val="left" w:leader="none"/>
        </w:tabs>
        <w:spacing w:line="240" w:lineRule="auto" w:before="0" w:after="0"/>
        <w:ind w:left="432" w:right="5756" w:hanging="260"/>
        <w:jc w:val="both"/>
        <w:rPr>
          <w:sz w:val="16"/>
        </w:rPr>
      </w:pPr>
      <w:r>
        <w:rPr>
          <w:sz w:val="16"/>
        </w:rPr>
        <w:t>M.</w:t>
      </w:r>
      <w:r>
        <w:rPr>
          <w:spacing w:val="-6"/>
          <w:sz w:val="16"/>
        </w:rPr>
        <w:t> </w:t>
      </w:r>
      <w:r>
        <w:rPr>
          <w:sz w:val="16"/>
        </w:rPr>
        <w:t>U.</w:t>
      </w:r>
      <w:r>
        <w:rPr>
          <w:spacing w:val="-6"/>
          <w:sz w:val="16"/>
        </w:rPr>
        <w:t> </w:t>
      </w:r>
      <w:r>
        <w:rPr>
          <w:sz w:val="16"/>
        </w:rPr>
        <w:t>Hassan,</w:t>
      </w:r>
      <w:r>
        <w:rPr>
          <w:spacing w:val="-6"/>
          <w:sz w:val="16"/>
        </w:rPr>
        <w:t> </w:t>
      </w:r>
      <w:r>
        <w:rPr>
          <w:sz w:val="16"/>
        </w:rPr>
        <w:t>S.</w:t>
      </w:r>
      <w:r>
        <w:rPr>
          <w:spacing w:val="-6"/>
          <w:sz w:val="16"/>
        </w:rPr>
        <w:t> </w:t>
      </w:r>
      <w:r>
        <w:rPr>
          <w:sz w:val="16"/>
        </w:rPr>
        <w:t>A.</w:t>
      </w:r>
      <w:r>
        <w:rPr>
          <w:spacing w:val="-6"/>
          <w:sz w:val="16"/>
        </w:rPr>
        <w:t> </w:t>
      </w:r>
      <w:r>
        <w:rPr>
          <w:sz w:val="16"/>
        </w:rPr>
        <w:t>Alaliyat,</w:t>
      </w:r>
      <w:r>
        <w:rPr>
          <w:spacing w:val="-6"/>
          <w:sz w:val="16"/>
        </w:rPr>
        <w:t> </w:t>
      </w:r>
      <w:r>
        <w:rPr>
          <w:sz w:val="16"/>
        </w:rPr>
        <w:t>I.</w:t>
      </w:r>
      <w:r>
        <w:rPr>
          <w:spacing w:val="-6"/>
          <w:sz w:val="16"/>
        </w:rPr>
        <w:t> </w:t>
      </w:r>
      <w:r>
        <w:rPr>
          <w:sz w:val="16"/>
        </w:rPr>
        <w:t>A.</w:t>
      </w:r>
      <w:r>
        <w:rPr>
          <w:spacing w:val="-6"/>
          <w:sz w:val="16"/>
        </w:rPr>
        <w:t> </w:t>
      </w:r>
      <w:r>
        <w:rPr>
          <w:sz w:val="16"/>
        </w:rPr>
        <w:t>Hameed,</w:t>
      </w:r>
      <w:r>
        <w:rPr>
          <w:spacing w:val="-8"/>
          <w:sz w:val="16"/>
        </w:rPr>
        <w:t> </w:t>
      </w:r>
      <w:r>
        <w:rPr>
          <w:sz w:val="16"/>
        </w:rPr>
        <w:t>et</w:t>
      </w:r>
      <w:r>
        <w:rPr>
          <w:spacing w:val="-6"/>
          <w:sz w:val="16"/>
        </w:rPr>
        <w:t> </w:t>
      </w:r>
      <w:r>
        <w:rPr>
          <w:sz w:val="16"/>
        </w:rPr>
        <w:t>al.,</w:t>
      </w:r>
      <w:r>
        <w:rPr>
          <w:spacing w:val="-6"/>
          <w:sz w:val="16"/>
        </w:rPr>
        <w:t> </w:t>
      </w:r>
      <w:r>
        <w:rPr>
          <w:sz w:val="16"/>
        </w:rPr>
        <w:t>“Toward</w:t>
      </w:r>
      <w:r>
        <w:rPr>
          <w:spacing w:val="-6"/>
          <w:sz w:val="16"/>
        </w:rPr>
        <w:t> </w:t>
      </w:r>
      <w:r>
        <w:rPr>
          <w:sz w:val="16"/>
        </w:rPr>
        <w:t>the</w:t>
      </w:r>
      <w:r>
        <w:rPr>
          <w:spacing w:val="-6"/>
          <w:sz w:val="16"/>
        </w:rPr>
        <w:t> </w:t>
      </w:r>
      <w:r>
        <w:rPr>
          <w:sz w:val="16"/>
        </w:rPr>
        <w:t>creation</w:t>
      </w:r>
      <w:r>
        <w:rPr>
          <w:spacing w:val="40"/>
          <w:sz w:val="16"/>
        </w:rPr>
        <w:t> </w:t>
      </w:r>
      <w:r>
        <w:rPr>
          <w:sz w:val="16"/>
        </w:rPr>
        <w:t>of a digital twin authoring tool: A smart mobility perspective in smart</w:t>
      </w:r>
      <w:r>
        <w:rPr>
          <w:spacing w:val="40"/>
          <w:sz w:val="16"/>
        </w:rPr>
        <w:t> </w:t>
      </w:r>
      <w:r>
        <w:rPr>
          <w:sz w:val="16"/>
        </w:rPr>
        <w:t>cities,” IEEE Access, vol. 12, pp. 111280–111292, 2024, doi:</w:t>
      </w:r>
      <w:r>
        <w:rPr>
          <w:spacing w:val="40"/>
          <w:sz w:val="16"/>
        </w:rPr>
        <w:t> </w:t>
      </w:r>
      <w:r>
        <w:rPr>
          <w:spacing w:val="-2"/>
          <w:sz w:val="16"/>
        </w:rPr>
        <w:t>10.1109/ACCESS.2024.3442079.</w:t>
      </w:r>
    </w:p>
    <w:p>
      <w:pPr>
        <w:pStyle w:val="ListParagraph"/>
        <w:numPr>
          <w:ilvl w:val="0"/>
          <w:numId w:val="3"/>
        </w:numPr>
        <w:tabs>
          <w:tab w:pos="432" w:val="left" w:leader="none"/>
          <w:tab w:pos="509" w:val="left" w:leader="none"/>
        </w:tabs>
        <w:spacing w:line="240" w:lineRule="auto" w:before="0" w:after="0"/>
        <w:ind w:left="432" w:right="5759" w:hanging="260"/>
        <w:jc w:val="both"/>
        <w:rPr>
          <w:sz w:val="16"/>
        </w:rPr>
      </w:pPr>
      <w:r>
        <w:rPr>
          <w:sz w:val="16"/>
        </w:rPr>
        <w:t>M. Ersan, E. Irmak, and A. M. Colak, “Applications, insights and</w:t>
      </w:r>
      <w:r>
        <w:rPr>
          <w:spacing w:val="40"/>
          <w:sz w:val="16"/>
        </w:rPr>
        <w:t> </w:t>
      </w:r>
      <w:r>
        <w:rPr>
          <w:sz w:val="16"/>
        </w:rPr>
        <w:t>implications of digital twins in smart city management,” in Proc. 12th</w:t>
      </w:r>
      <w:r>
        <w:rPr>
          <w:spacing w:val="40"/>
          <w:sz w:val="16"/>
        </w:rPr>
        <w:t> </w:t>
      </w:r>
      <w:r>
        <w:rPr>
          <w:sz w:val="16"/>
        </w:rPr>
        <w:t>Int. Conf. Smart Grid (icSmartGrid), 2024, doi:</w:t>
      </w:r>
      <w:r>
        <w:rPr>
          <w:spacing w:val="40"/>
          <w:sz w:val="16"/>
        </w:rPr>
        <w:t> </w:t>
      </w:r>
      <w:r>
        <w:rPr>
          <w:spacing w:val="-2"/>
          <w:sz w:val="16"/>
        </w:rPr>
        <w:t>10.1109/icSmartGrid61824.2024.10578291.</w:t>
      </w:r>
    </w:p>
    <w:sectPr>
      <w:pgSz w:w="12240" w:h="15840"/>
      <w:pgMar w:top="100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432" w:hanging="242"/>
        <w:jc w:val="left"/>
      </w:pPr>
      <w:rPr>
        <w:rFonts w:hint="default" w:ascii="Times New Roman" w:hAnsi="Times New Roman" w:eastAsia="Times New Roman" w:cs="Times New Roman"/>
        <w:b w:val="0"/>
        <w:bCs w:val="0"/>
        <w:i w:val="0"/>
        <w:iCs w:val="0"/>
        <w:spacing w:val="-1"/>
        <w:w w:val="100"/>
        <w:sz w:val="16"/>
        <w:szCs w:val="16"/>
        <w:lang w:val="en-US" w:eastAsia="en-US" w:bidi="ar-SA"/>
      </w:rPr>
    </w:lvl>
    <w:lvl w:ilvl="1">
      <w:start w:val="0"/>
      <w:numFmt w:val="bullet"/>
      <w:lvlText w:val="•"/>
      <w:lvlJc w:val="left"/>
      <w:pPr>
        <w:ind w:left="917" w:hanging="242"/>
      </w:pPr>
      <w:rPr>
        <w:rFonts w:hint="default"/>
        <w:lang w:val="en-US" w:eastAsia="en-US" w:bidi="ar-SA"/>
      </w:rPr>
    </w:lvl>
    <w:lvl w:ilvl="2">
      <w:start w:val="0"/>
      <w:numFmt w:val="bullet"/>
      <w:lvlText w:val="•"/>
      <w:lvlJc w:val="left"/>
      <w:pPr>
        <w:ind w:left="1394" w:hanging="242"/>
      </w:pPr>
      <w:rPr>
        <w:rFonts w:hint="default"/>
        <w:lang w:val="en-US" w:eastAsia="en-US" w:bidi="ar-SA"/>
      </w:rPr>
    </w:lvl>
    <w:lvl w:ilvl="3">
      <w:start w:val="0"/>
      <w:numFmt w:val="bullet"/>
      <w:lvlText w:val="•"/>
      <w:lvlJc w:val="left"/>
      <w:pPr>
        <w:ind w:left="1871" w:hanging="242"/>
      </w:pPr>
      <w:rPr>
        <w:rFonts w:hint="default"/>
        <w:lang w:val="en-US" w:eastAsia="en-US" w:bidi="ar-SA"/>
      </w:rPr>
    </w:lvl>
    <w:lvl w:ilvl="4">
      <w:start w:val="0"/>
      <w:numFmt w:val="bullet"/>
      <w:lvlText w:val="•"/>
      <w:lvlJc w:val="left"/>
      <w:pPr>
        <w:ind w:left="2348" w:hanging="242"/>
      </w:pPr>
      <w:rPr>
        <w:rFonts w:hint="default"/>
        <w:lang w:val="en-US" w:eastAsia="en-US" w:bidi="ar-SA"/>
      </w:rPr>
    </w:lvl>
    <w:lvl w:ilvl="5">
      <w:start w:val="0"/>
      <w:numFmt w:val="bullet"/>
      <w:lvlText w:val="•"/>
      <w:lvlJc w:val="left"/>
      <w:pPr>
        <w:ind w:left="2825" w:hanging="242"/>
      </w:pPr>
      <w:rPr>
        <w:rFonts w:hint="default"/>
        <w:lang w:val="en-US" w:eastAsia="en-US" w:bidi="ar-SA"/>
      </w:rPr>
    </w:lvl>
    <w:lvl w:ilvl="6">
      <w:start w:val="0"/>
      <w:numFmt w:val="bullet"/>
      <w:lvlText w:val="•"/>
      <w:lvlJc w:val="left"/>
      <w:pPr>
        <w:ind w:left="3302" w:hanging="242"/>
      </w:pPr>
      <w:rPr>
        <w:rFonts w:hint="default"/>
        <w:lang w:val="en-US" w:eastAsia="en-US" w:bidi="ar-SA"/>
      </w:rPr>
    </w:lvl>
    <w:lvl w:ilvl="7">
      <w:start w:val="0"/>
      <w:numFmt w:val="bullet"/>
      <w:lvlText w:val="•"/>
      <w:lvlJc w:val="left"/>
      <w:pPr>
        <w:ind w:left="3779" w:hanging="242"/>
      </w:pPr>
      <w:rPr>
        <w:rFonts w:hint="default"/>
        <w:lang w:val="en-US" w:eastAsia="en-US" w:bidi="ar-SA"/>
      </w:rPr>
    </w:lvl>
    <w:lvl w:ilvl="8">
      <w:start w:val="0"/>
      <w:numFmt w:val="bullet"/>
      <w:lvlText w:val="•"/>
      <w:lvlJc w:val="left"/>
      <w:pPr>
        <w:ind w:left="4257" w:hanging="242"/>
      </w:pPr>
      <w:rPr>
        <w:rFonts w:hint="default"/>
        <w:lang w:val="en-US" w:eastAsia="en-US" w:bidi="ar-SA"/>
      </w:rPr>
    </w:lvl>
  </w:abstractNum>
  <w:abstractNum w:abstractNumId="1">
    <w:multiLevelType w:val="hybridMultilevel"/>
    <w:lvl w:ilvl="0">
      <w:start w:val="4"/>
      <w:numFmt w:val="upperRoman"/>
      <w:lvlText w:val="%1."/>
      <w:lvlJc w:val="left"/>
      <w:pPr>
        <w:ind w:left="172" w:hanging="322"/>
        <w:jc w:val="left"/>
      </w:pPr>
      <w:rPr>
        <w:rFonts w:hint="default" w:ascii="Times New Roman" w:hAnsi="Times New Roman" w:eastAsia="Times New Roman" w:cs="Times New Roman"/>
        <w:b/>
        <w:bCs/>
        <w:i w:val="0"/>
        <w:iCs w:val="0"/>
        <w:spacing w:val="-1"/>
        <w:w w:val="99"/>
        <w:sz w:val="20"/>
        <w:szCs w:val="20"/>
        <w:lang w:val="en-US" w:eastAsia="en-US" w:bidi="ar-SA"/>
      </w:rPr>
    </w:lvl>
    <w:lvl w:ilvl="1">
      <w:start w:val="0"/>
      <w:numFmt w:val="bullet"/>
      <w:lvlText w:val="•"/>
      <w:lvlJc w:val="left"/>
      <w:pPr>
        <w:ind w:left="683" w:hanging="322"/>
      </w:pPr>
      <w:rPr>
        <w:rFonts w:hint="default"/>
        <w:lang w:val="en-US" w:eastAsia="en-US" w:bidi="ar-SA"/>
      </w:rPr>
    </w:lvl>
    <w:lvl w:ilvl="2">
      <w:start w:val="0"/>
      <w:numFmt w:val="bullet"/>
      <w:lvlText w:val="•"/>
      <w:lvlJc w:val="left"/>
      <w:pPr>
        <w:ind w:left="1186" w:hanging="322"/>
      </w:pPr>
      <w:rPr>
        <w:rFonts w:hint="default"/>
        <w:lang w:val="en-US" w:eastAsia="en-US" w:bidi="ar-SA"/>
      </w:rPr>
    </w:lvl>
    <w:lvl w:ilvl="3">
      <w:start w:val="0"/>
      <w:numFmt w:val="bullet"/>
      <w:lvlText w:val="•"/>
      <w:lvlJc w:val="left"/>
      <w:pPr>
        <w:ind w:left="1689" w:hanging="322"/>
      </w:pPr>
      <w:rPr>
        <w:rFonts w:hint="default"/>
        <w:lang w:val="en-US" w:eastAsia="en-US" w:bidi="ar-SA"/>
      </w:rPr>
    </w:lvl>
    <w:lvl w:ilvl="4">
      <w:start w:val="0"/>
      <w:numFmt w:val="bullet"/>
      <w:lvlText w:val="•"/>
      <w:lvlJc w:val="left"/>
      <w:pPr>
        <w:ind w:left="2192" w:hanging="322"/>
      </w:pPr>
      <w:rPr>
        <w:rFonts w:hint="default"/>
        <w:lang w:val="en-US" w:eastAsia="en-US" w:bidi="ar-SA"/>
      </w:rPr>
    </w:lvl>
    <w:lvl w:ilvl="5">
      <w:start w:val="0"/>
      <w:numFmt w:val="bullet"/>
      <w:lvlText w:val="•"/>
      <w:lvlJc w:val="left"/>
      <w:pPr>
        <w:ind w:left="2695" w:hanging="322"/>
      </w:pPr>
      <w:rPr>
        <w:rFonts w:hint="default"/>
        <w:lang w:val="en-US" w:eastAsia="en-US" w:bidi="ar-SA"/>
      </w:rPr>
    </w:lvl>
    <w:lvl w:ilvl="6">
      <w:start w:val="0"/>
      <w:numFmt w:val="bullet"/>
      <w:lvlText w:val="•"/>
      <w:lvlJc w:val="left"/>
      <w:pPr>
        <w:ind w:left="3198" w:hanging="322"/>
      </w:pPr>
      <w:rPr>
        <w:rFonts w:hint="default"/>
        <w:lang w:val="en-US" w:eastAsia="en-US" w:bidi="ar-SA"/>
      </w:rPr>
    </w:lvl>
    <w:lvl w:ilvl="7">
      <w:start w:val="0"/>
      <w:numFmt w:val="bullet"/>
      <w:lvlText w:val="•"/>
      <w:lvlJc w:val="left"/>
      <w:pPr>
        <w:ind w:left="3701" w:hanging="322"/>
      </w:pPr>
      <w:rPr>
        <w:rFonts w:hint="default"/>
        <w:lang w:val="en-US" w:eastAsia="en-US" w:bidi="ar-SA"/>
      </w:rPr>
    </w:lvl>
    <w:lvl w:ilvl="8">
      <w:start w:val="0"/>
      <w:numFmt w:val="bullet"/>
      <w:lvlText w:val="•"/>
      <w:lvlJc w:val="left"/>
      <w:pPr>
        <w:ind w:left="4205" w:hanging="322"/>
      </w:pPr>
      <w:rPr>
        <w:rFonts w:hint="default"/>
        <w:lang w:val="en-US" w:eastAsia="en-US" w:bidi="ar-SA"/>
      </w:rPr>
    </w:lvl>
  </w:abstractNum>
  <w:abstractNum w:abstractNumId="0">
    <w:multiLevelType w:val="hybridMultilevel"/>
    <w:lvl w:ilvl="0">
      <w:start w:val="1"/>
      <w:numFmt w:val="upperRoman"/>
      <w:lvlText w:val="%1."/>
      <w:lvlJc w:val="left"/>
      <w:pPr>
        <w:ind w:left="350" w:hanging="178"/>
        <w:jc w:val="left"/>
      </w:pPr>
      <w:rPr>
        <w:rFonts w:hint="default" w:ascii="Times New Roman" w:hAnsi="Times New Roman" w:eastAsia="Times New Roman" w:cs="Times New Roman"/>
        <w:b/>
        <w:bCs/>
        <w:i w:val="0"/>
        <w:iCs w:val="0"/>
        <w:spacing w:val="-1"/>
        <w:w w:val="99"/>
        <w:sz w:val="20"/>
        <w:szCs w:val="20"/>
        <w:lang w:val="en-US" w:eastAsia="en-US" w:bidi="ar-SA"/>
      </w:rPr>
    </w:lvl>
    <w:lvl w:ilvl="1">
      <w:start w:val="1"/>
      <w:numFmt w:val="upperLetter"/>
      <w:lvlText w:val="%2."/>
      <w:lvlJc w:val="left"/>
      <w:pPr>
        <w:ind w:left="461" w:hanging="289"/>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973" w:hanging="289"/>
      </w:pPr>
      <w:rPr>
        <w:rFonts w:hint="default"/>
        <w:lang w:val="en-US" w:eastAsia="en-US" w:bidi="ar-SA"/>
      </w:rPr>
    </w:lvl>
    <w:lvl w:ilvl="3">
      <w:start w:val="0"/>
      <w:numFmt w:val="bullet"/>
      <w:lvlText w:val="•"/>
      <w:lvlJc w:val="left"/>
      <w:pPr>
        <w:ind w:left="1487" w:hanging="289"/>
      </w:pPr>
      <w:rPr>
        <w:rFonts w:hint="default"/>
        <w:lang w:val="en-US" w:eastAsia="en-US" w:bidi="ar-SA"/>
      </w:rPr>
    </w:lvl>
    <w:lvl w:ilvl="4">
      <w:start w:val="0"/>
      <w:numFmt w:val="bullet"/>
      <w:lvlText w:val="•"/>
      <w:lvlJc w:val="left"/>
      <w:pPr>
        <w:ind w:left="2000" w:hanging="289"/>
      </w:pPr>
      <w:rPr>
        <w:rFonts w:hint="default"/>
        <w:lang w:val="en-US" w:eastAsia="en-US" w:bidi="ar-SA"/>
      </w:rPr>
    </w:lvl>
    <w:lvl w:ilvl="5">
      <w:start w:val="0"/>
      <w:numFmt w:val="bullet"/>
      <w:lvlText w:val="•"/>
      <w:lvlJc w:val="left"/>
      <w:pPr>
        <w:ind w:left="2514" w:hanging="289"/>
      </w:pPr>
      <w:rPr>
        <w:rFonts w:hint="default"/>
        <w:lang w:val="en-US" w:eastAsia="en-US" w:bidi="ar-SA"/>
      </w:rPr>
    </w:lvl>
    <w:lvl w:ilvl="6">
      <w:start w:val="0"/>
      <w:numFmt w:val="bullet"/>
      <w:lvlText w:val="•"/>
      <w:lvlJc w:val="left"/>
      <w:pPr>
        <w:ind w:left="3028" w:hanging="289"/>
      </w:pPr>
      <w:rPr>
        <w:rFonts w:hint="default"/>
        <w:lang w:val="en-US" w:eastAsia="en-US" w:bidi="ar-SA"/>
      </w:rPr>
    </w:lvl>
    <w:lvl w:ilvl="7">
      <w:start w:val="0"/>
      <w:numFmt w:val="bullet"/>
      <w:lvlText w:val="•"/>
      <w:lvlJc w:val="left"/>
      <w:pPr>
        <w:ind w:left="3541" w:hanging="289"/>
      </w:pPr>
      <w:rPr>
        <w:rFonts w:hint="default"/>
        <w:lang w:val="en-US" w:eastAsia="en-US" w:bidi="ar-SA"/>
      </w:rPr>
    </w:lvl>
    <w:lvl w:ilvl="8">
      <w:start w:val="0"/>
      <w:numFmt w:val="bullet"/>
      <w:lvlText w:val="•"/>
      <w:lvlJc w:val="left"/>
      <w:pPr>
        <w:ind w:left="4055" w:hanging="289"/>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60"/>
      <w:ind w:left="172" w:firstLine="288"/>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72"/>
      <w:outlineLvl w:val="1"/>
    </w:pPr>
    <w:rPr>
      <w:rFonts w:ascii="Times New Roman" w:hAnsi="Times New Roman" w:eastAsia="Times New Roman" w:cs="Times New Roman"/>
      <w:b/>
      <w:bCs/>
      <w:sz w:val="20"/>
      <w:szCs w:val="20"/>
      <w:lang w:val="en-US" w:eastAsia="en-US" w:bidi="ar-SA"/>
    </w:rPr>
  </w:style>
  <w:style w:styleId="Heading2" w:type="paragraph">
    <w:name w:val="Heading 2"/>
    <w:basedOn w:val="Normal"/>
    <w:uiPriority w:val="1"/>
    <w:qFormat/>
    <w:pPr>
      <w:spacing w:before="80"/>
      <w:ind w:left="459" w:hanging="287"/>
      <w:jc w:val="both"/>
      <w:outlineLvl w:val="2"/>
    </w:pPr>
    <w:rPr>
      <w:rFonts w:ascii="Times New Roman" w:hAnsi="Times New Roman" w:eastAsia="Times New Roman" w:cs="Times New Roman"/>
      <w:b/>
      <w:bCs/>
      <w:i/>
      <w:iCs/>
      <w:sz w:val="20"/>
      <w:szCs w:val="20"/>
      <w:lang w:val="en-US" w:eastAsia="en-US" w:bidi="ar-SA"/>
    </w:rPr>
  </w:style>
  <w:style w:styleId="Title" w:type="paragraph">
    <w:name w:val="Title"/>
    <w:basedOn w:val="Normal"/>
    <w:uiPriority w:val="1"/>
    <w:qFormat/>
    <w:pPr>
      <w:spacing w:before="61"/>
      <w:ind w:left="232" w:right="229" w:hanging="3"/>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432" w:hanging="2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16" w:lineRule="exact"/>
      <w:ind w:left="7"/>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argeratsaji@gmail.com" TargetMode="External"/><Relationship Id="rId6" Type="http://schemas.openxmlformats.org/officeDocument/2006/relationships/hyperlink" Target="mailto:eldhose.paul@mangalam.in" TargetMode="External"/><Relationship Id="rId7" Type="http://schemas.openxmlformats.org/officeDocument/2006/relationships/hyperlink" Target="mailto:anjanajayan237@gmail.com"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dc:title>Paper Title (use style: paper title)</dc:title>
  <dcterms:created xsi:type="dcterms:W3CDTF">2026-10-11T10:33:51Z</dcterms:created>
  <dcterms:modified xsi:type="dcterms:W3CDTF">2026-10-11T10:33:51Z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Creator">
    <vt:lpwstr>Microsoft® Word 2021</vt:lpwstr>
  </property>
  <property fmtid="{D5CDD505-2E9C-101B-9397-08002B2CF9AE}" pid="5" name="LastSaved">
    <vt:filetime>2026-10-11T00:00:00Z</vt:filetime>
  </property>
  <property fmtid="{D5CDD505-2E9C-101B-9397-08002B2CF9AE}" pid="6" name="Producer">
    <vt:lpwstr>Microsoft® Word 2021</vt:lpwstr>
  </property>
</Properties>
</file>