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EE30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EE30D6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995362" w:history="1">
            <w:r w:rsidR="00EE30D6" w:rsidRPr="00281931">
              <w:rPr>
                <w:rStyle w:val="Hiperligao"/>
                <w:noProof/>
              </w:rPr>
              <w:t>Lista de requisitos e principais restrições</w:t>
            </w:r>
            <w:r w:rsidR="00EE30D6">
              <w:rPr>
                <w:noProof/>
                <w:webHidden/>
              </w:rPr>
              <w:tab/>
            </w:r>
            <w:r w:rsidR="00EE30D6">
              <w:rPr>
                <w:noProof/>
                <w:webHidden/>
              </w:rPr>
              <w:fldChar w:fldCharType="begin"/>
            </w:r>
            <w:r w:rsidR="00EE30D6">
              <w:rPr>
                <w:noProof/>
                <w:webHidden/>
              </w:rPr>
              <w:instrText xml:space="preserve"> PAGEREF _Toc309995362 \h </w:instrText>
            </w:r>
            <w:r w:rsidR="00EE30D6">
              <w:rPr>
                <w:noProof/>
                <w:webHidden/>
              </w:rPr>
            </w:r>
            <w:r w:rsidR="00EE30D6">
              <w:rPr>
                <w:noProof/>
                <w:webHidden/>
              </w:rPr>
              <w:fldChar w:fldCharType="separate"/>
            </w:r>
            <w:r w:rsidR="00EE30D6">
              <w:rPr>
                <w:noProof/>
                <w:webHidden/>
              </w:rPr>
              <w:t>3</w:t>
            </w:r>
            <w:r w:rsidR="00EE30D6"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3" w:history="1">
            <w:r w:rsidRPr="00281931">
              <w:rPr>
                <w:rStyle w:val="Hiperligao"/>
                <w:noProof/>
              </w:rPr>
              <w:t>Especificação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4" w:history="1">
            <w:r w:rsidRPr="00281931">
              <w:rPr>
                <w:rStyle w:val="Hiperligao"/>
                <w:noProof/>
              </w:rPr>
              <w:t>Análise das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5" w:history="1">
            <w:r w:rsidRPr="00281931">
              <w:rPr>
                <w:rStyle w:val="Hiperligao"/>
                <w:noProof/>
              </w:rPr>
              <w:t>Matriz de rastreabilidade dos testes com os requisitos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6" w:history="1">
            <w:r w:rsidRPr="00281931">
              <w:rPr>
                <w:rStyle w:val="Hiperligao"/>
                <w:noProof/>
              </w:rPr>
              <w:t>Diagrama conceptual de 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7" w:history="1">
            <w:r w:rsidRPr="00281931">
              <w:rPr>
                <w:rStyle w:val="Hiperligao"/>
                <w:noProof/>
              </w:rPr>
              <w:t>Informação de cobertura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8" w:history="1">
            <w:r w:rsidRPr="00281931">
              <w:rPr>
                <w:rStyle w:val="Hiperligao"/>
                <w:noProof/>
              </w:rPr>
              <w:t>Análise da consistência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0D6" w:rsidRDefault="00EE30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995369" w:history="1">
            <w:r w:rsidRPr="00281931">
              <w:rPr>
                <w:rStyle w:val="Hiperligao"/>
                <w:noProof/>
              </w:rPr>
              <w:t>Estimativa do tempo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_Toc309995369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BF70CE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995362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1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Research</w:t>
      </w:r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995363"/>
      <w:r>
        <w:rPr>
          <w:rFonts w:eastAsiaTheme="minorHAnsi"/>
        </w:rPr>
        <w:lastRenderedPageBreak/>
        <w:t>Especificação</w:t>
      </w:r>
      <w:r w:rsidR="00036C69">
        <w:rPr>
          <w:rFonts w:eastAsiaTheme="minorHAnsi"/>
        </w:rPr>
        <w:t xml:space="preserve"> das classes</w:t>
      </w:r>
      <w:bookmarkEnd w:id="2"/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3" w:name="_Toc309995364"/>
      <w:r>
        <w:t>Análise das restrições:</w:t>
      </w:r>
      <w:bookmarkEnd w:id="3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bookmarkStart w:id="4" w:name="_Toc309995365"/>
      <w:r>
        <w:rPr>
          <w:rFonts w:eastAsiaTheme="minorHAnsi"/>
        </w:rPr>
        <w:t>Matriz de rastreabilidade dos testes com os requisitos</w:t>
      </w:r>
      <w:r w:rsidR="00E63E58">
        <w:rPr>
          <w:rFonts w:eastAsiaTheme="minorHAnsi"/>
        </w:rPr>
        <w:t xml:space="preserve"> e restrições</w:t>
      </w:r>
      <w:bookmarkEnd w:id="4"/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5" w:name="_Toc309995366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5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 w:rsidP="00281B98">
      <w:pPr>
        <w:spacing w:after="200" w:line="276" w:lineRule="auto"/>
        <w:ind w:left="-1560" w:firstLine="709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281B98">
        <w:rPr>
          <w:noProof/>
          <w:lang w:eastAsia="pt-PT"/>
        </w:rPr>
        <w:drawing>
          <wp:inline distT="0" distB="0" distL="0" distR="0">
            <wp:extent cx="7373486" cy="456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62" cy="45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995367"/>
      <w:r>
        <w:rPr>
          <w:rFonts w:eastAsiaTheme="minorHAnsi"/>
        </w:rPr>
        <w:lastRenderedPageBreak/>
        <w:t>Informação de cobertura dos testes</w:t>
      </w:r>
      <w:bookmarkEnd w:id="6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print</w:t>
      </w:r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Cabealho1"/>
      </w:pPr>
      <w:bookmarkStart w:id="7" w:name="_Toc309995368"/>
      <w:r w:rsidRPr="00D17B77">
        <w:lastRenderedPageBreak/>
        <w:t>Análise da consistência do modelo</w:t>
      </w:r>
      <w:bookmarkEnd w:id="7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A5416A" w:rsidRPr="00A5416A" w:rsidRDefault="00245A4F" w:rsidP="00A5416A">
      <w:pPr>
        <w:jc w:val="center"/>
      </w:pPr>
      <w:r w:rsidRPr="00A5416A">
        <w:drawing>
          <wp:inline distT="0" distB="0" distL="0" distR="0" wp14:anchorId="201A9778" wp14:editId="3731A5F2">
            <wp:extent cx="5289945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16" cy="3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392596" w:rsidRDefault="00392596" w:rsidP="00A5416A">
      <w:pPr>
        <w:pStyle w:val="VDM"/>
        <w:rPr>
          <w:lang w:val="en-US"/>
        </w:rPr>
      </w:pPr>
      <w:r>
        <w:rPr>
          <w:lang w:val="en-US"/>
        </w:rPr>
        <w:t>ref.publication.addCitation(new Refe</w:t>
      </w:r>
      <w:r>
        <w:rPr>
          <w:lang w:val="en-US"/>
        </w:rPr>
        <w:t>r</w:t>
      </w:r>
      <w:r>
        <w:rPr>
          <w:lang w:val="en-US"/>
        </w:rPr>
        <w:t xml:space="preserve">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6E377B" w:rsidRDefault="006E377B" w:rsidP="00392596">
      <w:pPr>
        <w:spacing w:after="200" w:line="276" w:lineRule="auto"/>
        <w:ind w:firstLine="708"/>
        <w:jc w:val="both"/>
        <w:rPr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AA092B" w:rsidRDefault="00AA092B" w:rsidP="00392596">
      <w:pPr>
        <w:spacing w:after="200" w:line="276" w:lineRule="auto"/>
        <w:ind w:firstLine="708"/>
        <w:jc w:val="both"/>
      </w:pPr>
    </w:p>
    <w:p w:rsidR="00AA092B" w:rsidRDefault="00AA092B" w:rsidP="00392596">
      <w:pPr>
        <w:spacing w:after="200" w:line="276" w:lineRule="auto"/>
        <w:ind w:firstLine="708"/>
        <w:jc w:val="both"/>
      </w:pPr>
    </w:p>
    <w:p w:rsidR="00392596" w:rsidRDefault="006E377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6C2831" wp14:editId="384E875D">
            <wp:extent cx="5286375" cy="39233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9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estamos a adicionar um autor repetido e, como tal, a verificação torna-se desnecessária.</w:t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C547A8">
      <w:pPr>
        <w:spacing w:after="200" w:line="276" w:lineRule="auto"/>
        <w:ind w:firstLine="708"/>
        <w:jc w:val="both"/>
      </w:pPr>
    </w:p>
    <w:p w:rsidR="00AA092B" w:rsidRDefault="00AA092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24475" cy="39676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3" cy="39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AA092B">
      <w:pPr>
        <w:spacing w:after="200" w:line="276" w:lineRule="auto"/>
        <w:ind w:firstLine="708"/>
        <w:jc w:val="both"/>
      </w:pPr>
      <w:r>
        <w:t xml:space="preserve">Ao longo da análise feita pela ferramenta, verificamos várias incidências de situações como a anterior. Isto acontece sempre que dentro de uma função invocamos uma outra função dessa mesma classe. É sugerido verificar que a função chamada pertence à classe em questão </w:t>
      </w:r>
      <w:r w:rsidR="00A5416A">
        <w:t>mas visto que a função se encontra criada</w:t>
      </w:r>
      <w:r>
        <w:t xml:space="preserve"> não é necessário ter estes casos em conta.</w:t>
      </w:r>
    </w:p>
    <w:p w:rsidR="006E377B" w:rsidRPr="00C547A8" w:rsidRDefault="006E377B" w:rsidP="00C547A8">
      <w:pPr>
        <w:spacing w:after="200" w:line="276" w:lineRule="auto"/>
        <w:ind w:firstLine="708"/>
        <w:jc w:val="both"/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A5416A" w:rsidRDefault="00A5416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416A" w:rsidRDefault="00975ADD" w:rsidP="00A5416A">
      <w:pPr>
        <w:pStyle w:val="Cabealho1"/>
      </w:pPr>
      <w:bookmarkStart w:id="8" w:name="_Toc309995369"/>
      <w:r>
        <w:lastRenderedPageBreak/>
        <w:t>Estimativa do tempo gasto</w:t>
      </w:r>
      <w:bookmarkEnd w:id="8"/>
    </w:p>
    <w:p w:rsidR="00975ADD" w:rsidRPr="00975ADD" w:rsidRDefault="00975ADD" w:rsidP="00975ADD">
      <w:pPr>
        <w:rPr>
          <w:sz w:val="28"/>
        </w:rPr>
      </w:pP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Especificação – 15 horas</w:t>
      </w:r>
    </w:p>
    <w:p w:rsidR="00975ADD" w:rsidRPr="0062409D" w:rsidRDefault="00975ADD" w:rsidP="00975ADD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Construção de casos de teste – 10 horas</w:t>
      </w:r>
    </w:p>
    <w:p w:rsidR="00392596" w:rsidRPr="0062409D" w:rsidRDefault="00975ADD" w:rsidP="00A5416A">
      <w:pPr>
        <w:pStyle w:val="PargrafodaLista"/>
        <w:numPr>
          <w:ilvl w:val="0"/>
          <w:numId w:val="8"/>
        </w:numPr>
        <w:rPr>
          <w:color w:val="auto"/>
          <w:szCs w:val="21"/>
        </w:rPr>
      </w:pPr>
      <w:r w:rsidRPr="0062409D">
        <w:rPr>
          <w:color w:val="auto"/>
          <w:szCs w:val="21"/>
        </w:rPr>
        <w:t>Implementação interface com o código gerado – 5 horas</w:t>
      </w:r>
    </w:p>
    <w:sectPr w:rsidR="00392596" w:rsidRPr="0062409D" w:rsidSect="006058E0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04B" w:rsidRDefault="005B004B" w:rsidP="00A81344">
      <w:pPr>
        <w:spacing w:line="240" w:lineRule="auto"/>
      </w:pPr>
      <w:r>
        <w:separator/>
      </w:r>
    </w:p>
  </w:endnote>
  <w:endnote w:type="continuationSeparator" w:id="0">
    <w:p w:rsidR="005B004B" w:rsidRDefault="005B004B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7B" w:rsidRDefault="006E377B" w:rsidP="006058E0">
    <w:pPr>
      <w:pStyle w:val="Rodap"/>
      <w:jc w:val="center"/>
    </w:pPr>
  </w:p>
  <w:p w:rsidR="006E377B" w:rsidRDefault="006E37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04B" w:rsidRDefault="005B004B" w:rsidP="00A81344">
      <w:pPr>
        <w:spacing w:line="240" w:lineRule="auto"/>
      </w:pPr>
      <w:r>
        <w:separator/>
      </w:r>
    </w:p>
  </w:footnote>
  <w:footnote w:type="continuationSeparator" w:id="0">
    <w:p w:rsidR="005B004B" w:rsidRDefault="005B004B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46F9D"/>
    <w:multiLevelType w:val="hybridMultilevel"/>
    <w:tmpl w:val="64E63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D2876"/>
    <w:multiLevelType w:val="hybridMultilevel"/>
    <w:tmpl w:val="F77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81B98"/>
    <w:rsid w:val="002B3EE9"/>
    <w:rsid w:val="002C5470"/>
    <w:rsid w:val="003200B8"/>
    <w:rsid w:val="00324778"/>
    <w:rsid w:val="003505E7"/>
    <w:rsid w:val="003604D9"/>
    <w:rsid w:val="00392596"/>
    <w:rsid w:val="003958E8"/>
    <w:rsid w:val="00485793"/>
    <w:rsid w:val="00574D41"/>
    <w:rsid w:val="0058024F"/>
    <w:rsid w:val="0058271E"/>
    <w:rsid w:val="005B004B"/>
    <w:rsid w:val="005D03CF"/>
    <w:rsid w:val="006058E0"/>
    <w:rsid w:val="0060700C"/>
    <w:rsid w:val="006142CF"/>
    <w:rsid w:val="00616791"/>
    <w:rsid w:val="0062409D"/>
    <w:rsid w:val="0064307E"/>
    <w:rsid w:val="00650385"/>
    <w:rsid w:val="006C521D"/>
    <w:rsid w:val="006E28EB"/>
    <w:rsid w:val="006E377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75ADD"/>
    <w:rsid w:val="009B54D2"/>
    <w:rsid w:val="009C7F6B"/>
    <w:rsid w:val="009D78D3"/>
    <w:rsid w:val="00A262F8"/>
    <w:rsid w:val="00A5416A"/>
    <w:rsid w:val="00A81344"/>
    <w:rsid w:val="00AA092B"/>
    <w:rsid w:val="00AB439E"/>
    <w:rsid w:val="00AD78DE"/>
    <w:rsid w:val="00B6285A"/>
    <w:rsid w:val="00B96813"/>
    <w:rsid w:val="00B9721B"/>
    <w:rsid w:val="00BD100F"/>
    <w:rsid w:val="00BD161C"/>
    <w:rsid w:val="00BF70CE"/>
    <w:rsid w:val="00C274F4"/>
    <w:rsid w:val="00C547A8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EE30D6"/>
    <w:rsid w:val="00F02EDD"/>
    <w:rsid w:val="00F057CB"/>
    <w:rsid w:val="00F06376"/>
    <w:rsid w:val="00F2255C"/>
    <w:rsid w:val="00F32567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23B-1DA4-4D6E-B2BB-D5187CF7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2429</Words>
  <Characters>13118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41</cp:revision>
  <dcterms:created xsi:type="dcterms:W3CDTF">2011-06-08T22:44:00Z</dcterms:created>
  <dcterms:modified xsi:type="dcterms:W3CDTF">2011-11-25T14:40:00Z</dcterms:modified>
</cp:coreProperties>
</file>