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63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Feminino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Masculino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Branca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Escolaridade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frequentou escola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Fundamental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Médio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Técnico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Graduação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Estado Civil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Possui parceiro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possui parceiro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Moradia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Alugado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Próprio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Situação Ocupacional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Aposentada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Remunerado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remunerado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Renda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Nenhuma renda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Até 1 salário mínimo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salários mínimos ou mais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Suporte Social (companhia)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Suporte Social (apoio)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Uso de Alcool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Uma vez por mês ou menos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Duas a quatro vezes por mês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Uso de Tabaco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PHQ-9 (categorias)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Nenhum/Leve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Moderadamente 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IGI (categorias)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Nenhum/Leve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GAD-7 (categorias)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Mínimo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Tratamento Psico/Psiq (histórico)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Tratamento Psico/Psiq (atual)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Uso de Medicamentos (sintomas emocionais)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39.62 (14.40) (18.00-70.00)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14.83 (5.92) (3.00-27.00)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IGI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13.46 (6.86) (0.00-28.00)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13.63 (5.25) (2.00-21.00)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Igi (VD)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Insone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(52%)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 (Min-Max)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2025-06-04T15:56:41Z</dcterms:created>
  <dcterms:modified xsi:type="dcterms:W3CDTF">2025-06-04T15:56:41Z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