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Variável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Insone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Não Insone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Feminino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Masculino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Branca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frequentou escola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Ensino Fundamental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Ensino Médio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Ensino Técnico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Graduação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Marital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Possui parceiro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possui parceiro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Housing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Alugado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Próprio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Employment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Aposentada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Remunerado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 remunerado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42.30 (15.02) (18.00-70.00)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37.18 (13.58) (18.00-64.00)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Nenhuma renda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Até 1 salário mínimo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 salários mínimos ou mais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Social Support (company)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Social Support (emotional support)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Alcohol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Uma vez por mês ou menos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Duas a quatro vezes por mês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Tobacco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 (Min-Max)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Fisher's exact test; Pearson's Chi-squared test; 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2025-11-13T20:07:55Z</dcterms:created>
  <dcterms:modified xsi:type="dcterms:W3CDTF">2025-11-13T20:07:55Z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