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Variável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Insone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Não Insone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Feminino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Masculino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Branca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frequentou escola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Ensino Fundamental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Ensino Médio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Ensino Técnico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Graduação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Marital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Possui parceiro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possui parceiro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Housing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Alugado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Próprio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Employment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Aposentada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Remunerado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remunerado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42.30 (15.02) (18.00-70.00)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37.18 (13.58) (18.00-64.00)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Nenhuma renda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Até 1 salário mínimo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salários mínimos ou mais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Social Support (company)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Social Support (emotional support)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Alcohol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Uma vez por mês ou menos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Duas a quatro vezes por mês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Tobacco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 (Min-Max)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Fisher's exact test; Pearson's Chi-squared test; 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2025-11-14T22:42:13Z</dcterms:created>
  <dcterms:modified xsi:type="dcterms:W3CDTF">2025-11-14T22:42:13Z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