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Feminino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Escolaridade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frequentou escola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Fundamental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Médio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Técnico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Estado Civil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Moradia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Alugado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Próprio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Situação Ocupacional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Aposentada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Nenhuma 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1 salário 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salários mínimos ou mais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Suporte Social (companhia)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Suporte Social (apoio)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Alcool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Uma vez por mês ou menos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Duas a quatro vezes por mês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Tabaco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Tratamento Psico/Psiq (histórico)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Tratamento Psico/Psiq (atual)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Medicamentos (sintomas emocionais)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39.62 (14.40) (18.00-70.00)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14.83 (5.92) (3.00-27.00)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13.46 (6.86) (0.00-28.00)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13.63 (5.25) (2.00-21.00)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(VD)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Insone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(52%)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2025-06-04T15:52:22Z</dcterms:created>
  <dcterms:modified xsi:type="dcterms:W3CDTF">2025-06-04T15:52:22Z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