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069B" w14:textId="6BC7EEB1" w:rsidR="00E71790" w:rsidRPr="00E71790" w:rsidRDefault="00E71790" w:rsidP="00E71790">
      <w:pPr>
        <w:spacing w:line="480" w:lineRule="auto"/>
        <w:rPr>
          <w:lang w:val="en-US"/>
        </w:rPr>
      </w:pPr>
      <w:r w:rsidRPr="00E71790">
        <w:rPr>
          <w:lang w:val="en-US"/>
        </w:rPr>
        <w:t>RESUMO:</w:t>
      </w:r>
    </w:p>
    <w:p w14:paraId="7FAE81C1" w14:textId="5EB20630" w:rsidR="00E71790" w:rsidRPr="005065A5" w:rsidRDefault="00E10971" w:rsidP="00E71790">
      <w:pPr>
        <w:jc w:val="both"/>
        <w:rPr>
          <w:lang w:val="en-US"/>
        </w:rPr>
      </w:pPr>
      <w:r>
        <w:rPr>
          <w:lang w:val="en-US"/>
        </w:rPr>
        <w:t>M</w:t>
      </w:r>
      <w:r w:rsidR="00E71790" w:rsidRPr="005065A5">
        <w:rPr>
          <w:color w:val="000000"/>
          <w:lang w:val="en-US"/>
        </w:rPr>
        <w:t xml:space="preserve">ultivariate </w:t>
      </w:r>
      <w:r>
        <w:rPr>
          <w:color w:val="000000"/>
          <w:lang w:val="en-US"/>
        </w:rPr>
        <w:t>analyses demonstrated</w:t>
      </w:r>
      <w:r w:rsidR="00E71790">
        <w:rPr>
          <w:lang w:val="en-US"/>
        </w:rPr>
        <w:t xml:space="preserve"> at</w:t>
      </w:r>
      <w:r w:rsidR="00E71790" w:rsidRPr="005065A5">
        <w:rPr>
          <w:lang w:val="en-US"/>
        </w:rPr>
        <w:t xml:space="preserve"> pre-treatment, the variables were not associated with the therapeutic modality</w:t>
      </w:r>
      <w:r>
        <w:rPr>
          <w:lang w:val="en-US"/>
        </w:rPr>
        <w:t>;</w:t>
      </w:r>
      <w:r w:rsidR="00E71790" w:rsidRPr="005065A5">
        <w:rPr>
          <w:lang w:val="en-US"/>
        </w:rPr>
        <w:t xml:space="preserve"> </w:t>
      </w:r>
      <w:r>
        <w:rPr>
          <w:lang w:val="en-US"/>
        </w:rPr>
        <w:t>i</w:t>
      </w:r>
      <w:r w:rsidR="00E71790" w:rsidRPr="005065A5">
        <w:rPr>
          <w:lang w:val="en-US"/>
        </w:rPr>
        <w:t xml:space="preserve">n post-treatment psychological inflexibility (OR= 0.89[0.81-0.98]) and agreeableness (OR=0.94[0.90-0.98]) were associated with </w:t>
      </w:r>
      <w:r w:rsidR="00B15E3D">
        <w:rPr>
          <w:lang w:val="en-US"/>
        </w:rPr>
        <w:t>CBT</w:t>
      </w:r>
      <w:r w:rsidR="00E71790" w:rsidRPr="005065A5">
        <w:rPr>
          <w:lang w:val="en-US"/>
        </w:rPr>
        <w:t>. Each point</w:t>
      </w:r>
      <w:r w:rsidR="00B15E3D">
        <w:rPr>
          <w:lang w:val="en-US"/>
        </w:rPr>
        <w:t xml:space="preserve"> less</w:t>
      </w:r>
      <w:r w:rsidR="00E71790" w:rsidRPr="005065A5">
        <w:rPr>
          <w:lang w:val="en-US"/>
        </w:rPr>
        <w:t xml:space="preserve"> on the AAQ-II </w:t>
      </w:r>
      <w:r w:rsidR="00E71790">
        <w:rPr>
          <w:lang w:val="en-US"/>
        </w:rPr>
        <w:t xml:space="preserve">and agreeableness </w:t>
      </w:r>
      <w:r w:rsidR="00B15E3D">
        <w:rPr>
          <w:lang w:val="en-US"/>
        </w:rPr>
        <w:t>increases</w:t>
      </w:r>
      <w:r w:rsidR="00E71790" w:rsidRPr="005065A5">
        <w:rPr>
          <w:lang w:val="en-US"/>
        </w:rPr>
        <w:t xml:space="preserve"> the chances of the individual having performed </w:t>
      </w:r>
      <w:r w:rsidR="00B15E3D">
        <w:rPr>
          <w:lang w:val="en-US"/>
        </w:rPr>
        <w:t>CBT</w:t>
      </w:r>
      <w:r>
        <w:rPr>
          <w:lang w:val="en-US"/>
        </w:rPr>
        <w:t>;</w:t>
      </w:r>
      <w:r w:rsidR="00E71790" w:rsidRPr="005065A5">
        <w:rPr>
          <w:lang w:val="en-US"/>
        </w:rPr>
        <w:t xml:space="preserve"> </w:t>
      </w:r>
      <w:r>
        <w:rPr>
          <w:lang w:val="en-US"/>
        </w:rPr>
        <w:t>i</w:t>
      </w:r>
      <w:r w:rsidR="00E71790" w:rsidRPr="005065A5">
        <w:rPr>
          <w:lang w:val="en-US"/>
        </w:rPr>
        <w:t xml:space="preserve">n 6-month follow-up anxiety (OR= 1.27[1.00-1.61]) and psychological flexibility (OR= 0.86[0.76-0.97]) were associated with </w:t>
      </w:r>
      <w:r w:rsidR="00B15E3D">
        <w:rPr>
          <w:lang w:val="en-US"/>
        </w:rPr>
        <w:t>CBT</w:t>
      </w:r>
      <w:r w:rsidR="00E71790" w:rsidRPr="005065A5">
        <w:rPr>
          <w:lang w:val="en-US"/>
        </w:rPr>
        <w:t xml:space="preserve">. Each additional point on the anxiety scale increases the chances of the individual having completed </w:t>
      </w:r>
      <w:r w:rsidR="00B15E3D">
        <w:rPr>
          <w:lang w:val="en-US"/>
        </w:rPr>
        <w:t>CBT</w:t>
      </w:r>
      <w:r w:rsidR="00E71790" w:rsidRPr="005065A5">
        <w:rPr>
          <w:lang w:val="en-US"/>
        </w:rPr>
        <w:t xml:space="preserve">. Each point </w:t>
      </w:r>
      <w:r w:rsidR="00B15E3D">
        <w:rPr>
          <w:lang w:val="en-US"/>
        </w:rPr>
        <w:t xml:space="preserve">less </w:t>
      </w:r>
      <w:r w:rsidR="00E71790" w:rsidRPr="005065A5">
        <w:rPr>
          <w:lang w:val="en-US"/>
        </w:rPr>
        <w:t xml:space="preserve">on the psychological inflexibility scale </w:t>
      </w:r>
      <w:r w:rsidR="00B15E3D">
        <w:rPr>
          <w:lang w:val="en-US"/>
        </w:rPr>
        <w:t>increases</w:t>
      </w:r>
      <w:r w:rsidR="00E71790" w:rsidRPr="005065A5">
        <w:rPr>
          <w:lang w:val="en-US"/>
        </w:rPr>
        <w:t xml:space="preserve"> the individual's chances of completing the </w:t>
      </w:r>
      <w:r w:rsidR="00B15E3D">
        <w:rPr>
          <w:lang w:val="en-US"/>
        </w:rPr>
        <w:t>CBT</w:t>
      </w:r>
      <w:r w:rsidR="00E71790" w:rsidRPr="005065A5">
        <w:rPr>
          <w:lang w:val="en-US"/>
        </w:rPr>
        <w:t>.</w:t>
      </w:r>
    </w:p>
    <w:p w14:paraId="62FCF14F" w14:textId="77777777" w:rsidR="00E71790" w:rsidRDefault="00E71790" w:rsidP="00E71790">
      <w:pPr>
        <w:spacing w:line="480" w:lineRule="auto"/>
        <w:rPr>
          <w:lang w:val="en-US"/>
        </w:rPr>
      </w:pPr>
    </w:p>
    <w:p w14:paraId="4984EF34" w14:textId="77777777" w:rsidR="00A97714" w:rsidRDefault="00A97714" w:rsidP="00E71790">
      <w:pPr>
        <w:spacing w:line="480" w:lineRule="auto"/>
        <w:rPr>
          <w:lang w:val="en-US"/>
        </w:rPr>
      </w:pPr>
    </w:p>
    <w:p w14:paraId="2E748DE5" w14:textId="47D9A9B6" w:rsidR="00A97714" w:rsidRPr="00C10C9B" w:rsidRDefault="00A97714" w:rsidP="00E71790">
      <w:pPr>
        <w:spacing w:line="480" w:lineRule="auto"/>
        <w:rPr>
          <w:b/>
          <w:bCs/>
          <w:lang w:val="en-US"/>
        </w:rPr>
      </w:pPr>
      <w:proofErr w:type="spellStart"/>
      <w:proofErr w:type="gramStart"/>
      <w:r w:rsidRPr="00C10C9B">
        <w:rPr>
          <w:b/>
          <w:bCs/>
          <w:lang w:val="en-US"/>
        </w:rPr>
        <w:t>Introducao</w:t>
      </w:r>
      <w:proofErr w:type="spellEnd"/>
      <w:r w:rsidRPr="00C10C9B">
        <w:rPr>
          <w:b/>
          <w:bCs/>
          <w:lang w:val="en-US"/>
        </w:rPr>
        <w:t xml:space="preserve"> :</w:t>
      </w:r>
      <w:proofErr w:type="gramEnd"/>
    </w:p>
    <w:p w14:paraId="662FA3E7" w14:textId="77777777" w:rsidR="00A97714" w:rsidRPr="00A97714" w:rsidRDefault="00A97714" w:rsidP="00A97714">
      <w:pPr>
        <w:pStyle w:val="PargrafodaLista"/>
        <w:numPr>
          <w:ilvl w:val="0"/>
          <w:numId w:val="2"/>
        </w:numPr>
        <w:spacing w:line="480" w:lineRule="auto"/>
      </w:pPr>
    </w:p>
    <w:p w14:paraId="32318F78" w14:textId="77777777" w:rsidR="00A97714" w:rsidRPr="00A97714" w:rsidRDefault="00A97714" w:rsidP="00E71790">
      <w:pPr>
        <w:spacing w:line="480" w:lineRule="auto"/>
      </w:pPr>
    </w:p>
    <w:p w14:paraId="682EEA35" w14:textId="75EF287A" w:rsidR="00E71790" w:rsidRPr="00E71790" w:rsidRDefault="00E10971" w:rsidP="00E71790">
      <w:pPr>
        <w:spacing w:line="480" w:lineRule="auto"/>
        <w:rPr>
          <w:lang w:val="en-US"/>
        </w:rPr>
      </w:pPr>
      <w:r w:rsidRPr="004F124C">
        <w:rPr>
          <w:b/>
          <w:bCs/>
          <w:lang w:val="en"/>
        </w:rPr>
        <w:t>Objective:</w:t>
      </w:r>
      <w:r w:rsidRPr="004F124C">
        <w:rPr>
          <w:lang w:val="en"/>
        </w:rPr>
        <w:t xml:space="preserve"> To evaluate factors associated with </w:t>
      </w:r>
      <w:r w:rsidRPr="00A40339">
        <w:rPr>
          <w:lang w:val="en-US"/>
        </w:rPr>
        <w:t>acceptance and commitment therapy (</w:t>
      </w:r>
      <w:r w:rsidRPr="004F124C">
        <w:rPr>
          <w:lang w:val="en"/>
        </w:rPr>
        <w:t>ACT</w:t>
      </w:r>
      <w:r w:rsidRPr="00A40339">
        <w:rPr>
          <w:lang w:val="en"/>
        </w:rPr>
        <w:t>)</w:t>
      </w:r>
      <w:r w:rsidRPr="004F124C">
        <w:rPr>
          <w:lang w:val="en"/>
        </w:rPr>
        <w:t xml:space="preserve"> compared to </w:t>
      </w:r>
      <w:r w:rsidRPr="00A40339">
        <w:rPr>
          <w:lang w:val="en-US"/>
        </w:rPr>
        <w:t>cognitive behavioral therapy (</w:t>
      </w:r>
      <w:r w:rsidRPr="004F124C">
        <w:rPr>
          <w:lang w:val="en"/>
        </w:rPr>
        <w:t>CBT</w:t>
      </w:r>
      <w:r w:rsidRPr="00A40339">
        <w:rPr>
          <w:lang w:val="en"/>
        </w:rPr>
        <w:t>)</w:t>
      </w:r>
      <w:r w:rsidRPr="004F124C">
        <w:rPr>
          <w:lang w:val="en"/>
        </w:rPr>
        <w:t xml:space="preserve"> for insomnia before and after treatment.</w:t>
      </w:r>
    </w:p>
    <w:p w14:paraId="7C61D6B9" w14:textId="1CC261CE" w:rsidR="00B91FC3" w:rsidRPr="00E71790" w:rsidRDefault="00B91FC3" w:rsidP="00E71790">
      <w:pPr>
        <w:spacing w:line="480" w:lineRule="auto"/>
      </w:pPr>
      <w:r w:rsidRPr="00E71790">
        <w:t>Objetivo:</w:t>
      </w:r>
      <w:r w:rsidR="00E71790">
        <w:t xml:space="preserve"> </w:t>
      </w:r>
      <w:r w:rsidRPr="00E71790">
        <w:t xml:space="preserve">Avaliar se variáveis psicológicas de inflexibilidade psicológica, aceitação sobre problemas de sono, crenças sobre o sono, traços de personalidade de neuroticismo, extroversão, abertura, amabilidade, e </w:t>
      </w:r>
      <w:proofErr w:type="spellStart"/>
      <w:r w:rsidRPr="00E71790">
        <w:t>conscienciosidade</w:t>
      </w:r>
      <w:proofErr w:type="spellEnd"/>
      <w:r w:rsidRPr="00E71790">
        <w:t xml:space="preserve"> são fatores associados a participação de determinada terapia para insônia (ACT </w:t>
      </w:r>
      <w:proofErr w:type="spellStart"/>
      <w:r w:rsidRPr="00E71790">
        <w:t>vs</w:t>
      </w:r>
      <w:proofErr w:type="spellEnd"/>
      <w:r w:rsidRPr="00E71790">
        <w:t xml:space="preserve"> CBT) nos momentos pré-tratamento, pós-tratamento e 6-month follow-up. </w:t>
      </w:r>
    </w:p>
    <w:p w14:paraId="2F44B43D" w14:textId="77777777" w:rsidR="00B91FC3" w:rsidRPr="005F028D" w:rsidRDefault="00B91FC3" w:rsidP="00B91FC3">
      <w:pPr>
        <w:pStyle w:val="PargrafodaLista"/>
        <w:rPr>
          <w:rFonts w:ascii="Times New Roman" w:hAnsi="Times New Roman" w:cs="Times New Roman"/>
        </w:rPr>
      </w:pPr>
    </w:p>
    <w:p w14:paraId="50539C37" w14:textId="77777777" w:rsidR="00B91FC3" w:rsidRPr="005F028D" w:rsidRDefault="00B91FC3" w:rsidP="008D22FF">
      <w:pPr>
        <w:rPr>
          <w:b/>
          <w:bCs/>
        </w:rPr>
      </w:pPr>
    </w:p>
    <w:p w14:paraId="6F891817" w14:textId="2D8E1A2B" w:rsidR="00E24C0B" w:rsidRPr="00B15E3D" w:rsidRDefault="00E24C0B" w:rsidP="00E24C0B">
      <w:pPr>
        <w:rPr>
          <w:b/>
          <w:bCs/>
          <w:lang w:val="en-US"/>
        </w:rPr>
      </w:pPr>
      <w:r w:rsidRPr="00B15E3D">
        <w:rPr>
          <w:b/>
          <w:bCs/>
          <w:lang w:val="en-US"/>
        </w:rPr>
        <w:t>Method</w:t>
      </w:r>
    </w:p>
    <w:p w14:paraId="5DF3B87C" w14:textId="77777777" w:rsidR="00E24C0B" w:rsidRPr="00B15E3D" w:rsidRDefault="00E24C0B" w:rsidP="00E24C0B">
      <w:pPr>
        <w:rPr>
          <w:b/>
          <w:bCs/>
          <w:lang w:val="en-US"/>
        </w:rPr>
      </w:pPr>
    </w:p>
    <w:p w14:paraId="1B07654E" w14:textId="5C3A587B" w:rsidR="00E24C0B" w:rsidRPr="00B15E3D" w:rsidRDefault="00E24C0B" w:rsidP="00E24C0B">
      <w:pPr>
        <w:rPr>
          <w:b/>
          <w:bCs/>
          <w:lang w:val="en-US"/>
        </w:rPr>
      </w:pPr>
      <w:r w:rsidRPr="00B15E3D">
        <w:rPr>
          <w:b/>
          <w:bCs/>
          <w:lang w:val="en-US"/>
        </w:rPr>
        <w:t xml:space="preserve">Overview </w:t>
      </w:r>
    </w:p>
    <w:p w14:paraId="3F6DE0EC" w14:textId="77777777" w:rsidR="00E24C0B" w:rsidRPr="00B15E3D" w:rsidRDefault="00E24C0B" w:rsidP="00E24C0B">
      <w:pPr>
        <w:rPr>
          <w:b/>
          <w:bCs/>
          <w:lang w:val="en-US"/>
        </w:rPr>
      </w:pPr>
    </w:p>
    <w:p w14:paraId="6C22D3E9" w14:textId="1D05C21A" w:rsidR="00F26193" w:rsidRPr="005F028D" w:rsidRDefault="00E24C0B" w:rsidP="005F028D">
      <w:pPr>
        <w:spacing w:line="480" w:lineRule="auto"/>
        <w:jc w:val="both"/>
        <w:rPr>
          <w:b/>
          <w:bCs/>
          <w:lang w:val="en"/>
        </w:rPr>
      </w:pPr>
      <w:r w:rsidRPr="005F028D">
        <w:rPr>
          <w:lang w:val="en-US"/>
        </w:rPr>
        <w:t xml:space="preserve">These data were collected as part of a study evaluating the efficacy of acceptance commitment therapy versus cognitive-behavior therapy for insomnia (El </w:t>
      </w:r>
      <w:proofErr w:type="spellStart"/>
      <w:r w:rsidRPr="005F028D">
        <w:rPr>
          <w:lang w:val="en-US"/>
        </w:rPr>
        <w:t>Rafihi</w:t>
      </w:r>
      <w:proofErr w:type="spellEnd"/>
      <w:r w:rsidRPr="005F028D">
        <w:rPr>
          <w:lang w:val="en-US"/>
        </w:rPr>
        <w:t xml:space="preserve">-Ferreira et al., 2024). Detailed study procedures have been published previously </w:t>
      </w:r>
      <w:r w:rsidR="00F26193" w:rsidRPr="005F028D">
        <w:rPr>
          <w:lang w:val="en-US"/>
        </w:rPr>
        <w:t xml:space="preserve">(El </w:t>
      </w:r>
      <w:proofErr w:type="spellStart"/>
      <w:r w:rsidR="00F26193" w:rsidRPr="005F028D">
        <w:rPr>
          <w:lang w:val="en-US"/>
        </w:rPr>
        <w:t>Rafihi</w:t>
      </w:r>
      <w:proofErr w:type="spellEnd"/>
      <w:r w:rsidR="00F26193" w:rsidRPr="005F028D">
        <w:rPr>
          <w:lang w:val="en-US"/>
        </w:rPr>
        <w:t xml:space="preserve">-Ferreira et al., 2024). Briefly, participants were recruited from advertisements on social </w:t>
      </w:r>
      <w:r w:rsidR="00F26193" w:rsidRPr="005F028D">
        <w:rPr>
          <w:lang w:val="en-US"/>
        </w:rPr>
        <w:lastRenderedPageBreak/>
        <w:t>media of Institute of Psychiatry at University of São Paulo. Following screening and baseline assessments, participants were randomly assigned to Acceptance and Commitment Therapy for Insomnia (ACT-</w:t>
      </w:r>
      <w:proofErr w:type="spellStart"/>
      <w:r w:rsidR="00F26193" w:rsidRPr="005F028D">
        <w:rPr>
          <w:lang w:val="en-US"/>
        </w:rPr>
        <w:t>i</w:t>
      </w:r>
      <w:proofErr w:type="spellEnd"/>
      <w:r w:rsidR="00F26193" w:rsidRPr="005F028D">
        <w:rPr>
          <w:lang w:val="en-US"/>
        </w:rPr>
        <w:t>) or Cognitive Behavioral Therapy for Insomnia (CBT-I) or Wait list.  Given the current focus on psychological f</w:t>
      </w:r>
      <w:r w:rsidR="00F26193" w:rsidRPr="005F028D">
        <w:rPr>
          <w:lang w:val="en"/>
        </w:rPr>
        <w:t xml:space="preserve">actors associated with ACT compared to CBT for insomnia, participants included in the present analysis (n=152) were insomnia patients who were randomized to ACT-I and CBT-I. Factors/Predictors were collected at the baseline, post-treatment and six month-follow-up assessments and included demographic characteristics and psychological variables assessed by questionnaires. </w:t>
      </w:r>
      <w:r w:rsidR="003E20EA" w:rsidRPr="005F028D">
        <w:rPr>
          <w:lang w:val="en-US"/>
        </w:rPr>
        <w:t xml:space="preserve">This study was approved by the research ethics committee of the university where it was conducted [CAAE: 65743917.2.0000.0068/ Approval number: 4.582.587]. All the participants provided informed consent electronically. </w:t>
      </w:r>
    </w:p>
    <w:p w14:paraId="529C5747" w14:textId="2C680BC2" w:rsidR="005F028D" w:rsidRPr="005F028D" w:rsidRDefault="005F028D" w:rsidP="00F26193">
      <w:pPr>
        <w:rPr>
          <w:color w:val="734126"/>
          <w:spacing w:val="-2"/>
          <w:sz w:val="32"/>
          <w:szCs w:val="32"/>
          <w:lang w:val="en"/>
        </w:rPr>
      </w:pPr>
    </w:p>
    <w:p w14:paraId="5540951D" w14:textId="46BAD7D7" w:rsidR="00E24C0B" w:rsidRPr="005F028D" w:rsidRDefault="005F028D" w:rsidP="00C10C9B">
      <w:pPr>
        <w:spacing w:line="480" w:lineRule="auto"/>
        <w:jc w:val="both"/>
        <w:rPr>
          <w:b/>
          <w:bCs/>
          <w:lang w:val="en-US"/>
        </w:rPr>
      </w:pPr>
      <w:r w:rsidRPr="005F028D">
        <w:rPr>
          <w:b/>
          <w:bCs/>
          <w:lang w:val="en-US"/>
        </w:rPr>
        <w:t>Participants</w:t>
      </w:r>
    </w:p>
    <w:p w14:paraId="57D8D7D1" w14:textId="7CF2FBBF" w:rsidR="005F028D" w:rsidRDefault="005F028D" w:rsidP="00C10C9B">
      <w:pPr>
        <w:spacing w:line="480" w:lineRule="auto"/>
        <w:ind w:firstLine="708"/>
        <w:jc w:val="both"/>
        <w:rPr>
          <w:lang w:val="en-US"/>
        </w:rPr>
      </w:pPr>
      <w:r w:rsidRPr="005F028D">
        <w:rPr>
          <w:lang w:val="en-US"/>
        </w:rPr>
        <w:t>Eligibility criteria required that participants be at:  (a) 18 to 59 years old and (b) meeting criteria for chronic insomnia: (</w:t>
      </w:r>
      <w:proofErr w:type="spellStart"/>
      <w:r w:rsidRPr="005F028D">
        <w:rPr>
          <w:lang w:val="en-US"/>
        </w:rPr>
        <w:t>i</w:t>
      </w:r>
      <w:proofErr w:type="spellEnd"/>
      <w:r w:rsidRPr="005F028D">
        <w:rPr>
          <w:lang w:val="en-US"/>
        </w:rPr>
        <w:t>) difficulty initiating or maintaining sleep, defined as a sleep onset latency and/or wake after sleep onset greater than or equal to 30 minutes, and/or waking up earlier than desired with a corresponding sleep time of less than or equal to 6.5 hours per night; (ii) presence of insomnia for more than three nights per week and more than three months; and (iii) sleep disturbance (or associated daytime fatigue) causing significant distress or impairment in social, occupational, or other areas of functioning. This definition represents a combination of criteria from the American Academy of Sleep Medicine, International Classification of Sleep Disorders, and Diagnostic and Statistical Manual of Mental Disorders, along with quantitative cutoffs typically used in insomnia research (American Academy of Sleep Medicine, 2014; American Psychiatric Association, 2013; Edinger et al., 2004)</w:t>
      </w:r>
      <w:r>
        <w:rPr>
          <w:lang w:val="en-US"/>
        </w:rPr>
        <w:t>.</w:t>
      </w:r>
    </w:p>
    <w:p w14:paraId="68B8F6C6" w14:textId="0DB3A72A" w:rsidR="005F028D" w:rsidRDefault="006F6B88" w:rsidP="00C10C9B">
      <w:pPr>
        <w:spacing w:line="480" w:lineRule="auto"/>
        <w:jc w:val="both"/>
        <w:rPr>
          <w:b/>
          <w:bCs/>
          <w:lang w:val="en-US"/>
        </w:rPr>
      </w:pPr>
      <w:r>
        <w:rPr>
          <w:b/>
          <w:bCs/>
          <w:lang w:val="en-US"/>
        </w:rPr>
        <w:t>Therapeutic approaches (ACT and CBT)</w:t>
      </w:r>
    </w:p>
    <w:p w14:paraId="244DFDA8" w14:textId="3F47C6A3" w:rsidR="005F028D" w:rsidRPr="000510DF" w:rsidRDefault="005F028D" w:rsidP="00C10C9B">
      <w:pPr>
        <w:spacing w:line="480" w:lineRule="auto"/>
        <w:ind w:firstLine="720"/>
        <w:jc w:val="both"/>
        <w:rPr>
          <w:highlight w:val="white"/>
          <w:lang w:val="en-US"/>
        </w:rPr>
      </w:pPr>
      <w:r w:rsidRPr="000510DF">
        <w:rPr>
          <w:lang w:val="en-US"/>
        </w:rPr>
        <w:lastRenderedPageBreak/>
        <w:t xml:space="preserve">Detailed descriptions of ACT-I and CBT-I efficacy data and therapeutic guidelines have been previously reported (El </w:t>
      </w:r>
      <w:proofErr w:type="spellStart"/>
      <w:r w:rsidRPr="000510DF">
        <w:rPr>
          <w:lang w:val="en-US"/>
        </w:rPr>
        <w:t>Rafihi</w:t>
      </w:r>
      <w:proofErr w:type="spellEnd"/>
      <w:r w:rsidRPr="000510DF">
        <w:rPr>
          <w:lang w:val="en-US"/>
        </w:rPr>
        <w:t xml:space="preserve">-Ferreira, et al., 2024; El </w:t>
      </w:r>
      <w:proofErr w:type="spellStart"/>
      <w:r w:rsidRPr="000510DF">
        <w:rPr>
          <w:lang w:val="en-US"/>
        </w:rPr>
        <w:t>Rafihi</w:t>
      </w:r>
      <w:proofErr w:type="spellEnd"/>
      <w:r w:rsidRPr="000510DF">
        <w:rPr>
          <w:lang w:val="en-US"/>
        </w:rPr>
        <w:t xml:space="preserve">-Ferreira, 2024). ACT-I and CBT-I consists of six sessions 120 min via zoom, group sessions. All sessions were conducted </w:t>
      </w:r>
      <w:r w:rsidRPr="000510DF">
        <w:rPr>
          <w:highlight w:val="white"/>
          <w:lang w:val="en-US"/>
        </w:rPr>
        <w:t xml:space="preserve">by clinical psychologists and psychiatrists certified in sleep science. These professionals received protocol training (ACT and CBT) from professionals experienced in behavioral-analytic and cognitive-behavioral approaches. </w:t>
      </w:r>
      <w:r w:rsidR="000510DF" w:rsidRPr="000510DF">
        <w:rPr>
          <w:lang w:val="en-US"/>
        </w:rPr>
        <w:t xml:space="preserve">The ACT-I protocol was based on Hayes et al.’s (2012) ACT manual and El </w:t>
      </w:r>
      <w:proofErr w:type="spellStart"/>
      <w:r w:rsidR="000510DF" w:rsidRPr="000510DF">
        <w:rPr>
          <w:lang w:val="en-US"/>
        </w:rPr>
        <w:t>Rafihi</w:t>
      </w:r>
      <w:proofErr w:type="spellEnd"/>
      <w:r w:rsidR="000510DF" w:rsidRPr="000510DF">
        <w:rPr>
          <w:lang w:val="en-US"/>
        </w:rPr>
        <w:t>-Ferreira (202</w:t>
      </w:r>
      <w:r w:rsidR="006F6B88">
        <w:rPr>
          <w:lang w:val="en-US"/>
        </w:rPr>
        <w:t>4</w:t>
      </w:r>
      <w:r w:rsidR="000510DF" w:rsidRPr="000510DF">
        <w:rPr>
          <w:lang w:val="en-US"/>
        </w:rPr>
        <w:t xml:space="preserve">) protocol. The intervention focus was on the therapeutic processes of acceptance, cognitive </w:t>
      </w:r>
      <w:proofErr w:type="spellStart"/>
      <w:r w:rsidR="000510DF" w:rsidRPr="000510DF">
        <w:rPr>
          <w:lang w:val="en-US"/>
        </w:rPr>
        <w:t>defusion</w:t>
      </w:r>
      <w:proofErr w:type="spellEnd"/>
      <w:r w:rsidR="000510DF" w:rsidRPr="000510DF">
        <w:rPr>
          <w:lang w:val="en-US"/>
        </w:rPr>
        <w:t xml:space="preserve">, contact with the present moment, self as context, values, and committed actions. The CBT-I protocol was based on the </w:t>
      </w:r>
      <w:r w:rsidR="000510DF" w:rsidRPr="000510DF">
        <w:rPr>
          <w:highlight w:val="white"/>
          <w:lang w:val="en-US"/>
        </w:rPr>
        <w:t xml:space="preserve">protocols of Harvey et al. (2014) and El </w:t>
      </w:r>
      <w:proofErr w:type="spellStart"/>
      <w:r w:rsidR="000510DF" w:rsidRPr="000510DF">
        <w:rPr>
          <w:highlight w:val="white"/>
          <w:lang w:val="en-US"/>
        </w:rPr>
        <w:t>Rafihi</w:t>
      </w:r>
      <w:proofErr w:type="spellEnd"/>
      <w:r w:rsidR="000510DF" w:rsidRPr="000510DF">
        <w:rPr>
          <w:highlight w:val="white"/>
          <w:lang w:val="en-US"/>
        </w:rPr>
        <w:t>-Ferreira</w:t>
      </w:r>
      <w:r w:rsidR="000510DF" w:rsidRPr="000510DF">
        <w:rPr>
          <w:lang w:val="en-US"/>
        </w:rPr>
        <w:t xml:space="preserve">, Morin, </w:t>
      </w:r>
      <w:r w:rsidR="000510DF" w:rsidRPr="000510DF">
        <w:rPr>
          <w:highlight w:val="white"/>
          <w:lang w:val="en-US"/>
        </w:rPr>
        <w:t>et al. (2023), and the intervention focused on the behavioral components of sleep restriction, stimulus control, and cognitive restructuring of maladaptive beliefs regarding sleep and the daytime effects of insomnia.</w:t>
      </w:r>
    </w:p>
    <w:p w14:paraId="3C4EA63C" w14:textId="29A230E6" w:rsidR="006F6B88" w:rsidRPr="00E71790" w:rsidRDefault="005F028D" w:rsidP="00C10C9B">
      <w:pPr>
        <w:spacing w:line="480" w:lineRule="auto"/>
        <w:jc w:val="both"/>
        <w:rPr>
          <w:b/>
          <w:bCs/>
          <w:lang w:val="en-US"/>
        </w:rPr>
      </w:pPr>
      <w:r w:rsidRPr="00E71790">
        <w:rPr>
          <w:b/>
          <w:bCs/>
          <w:lang w:val="en-US"/>
        </w:rPr>
        <w:t xml:space="preserve"> </w:t>
      </w:r>
      <w:r w:rsidR="006F6B88" w:rsidRPr="00E71790">
        <w:rPr>
          <w:b/>
          <w:bCs/>
          <w:lang w:val="en-US"/>
        </w:rPr>
        <w:t>Predictors:</w:t>
      </w:r>
    </w:p>
    <w:p w14:paraId="16704739" w14:textId="033B31EA" w:rsidR="00E71790" w:rsidRPr="00E71790" w:rsidRDefault="00E71790" w:rsidP="00C10C9B">
      <w:pPr>
        <w:spacing w:line="480" w:lineRule="auto"/>
        <w:jc w:val="both"/>
        <w:rPr>
          <w:lang w:val="en-US"/>
        </w:rPr>
      </w:pPr>
      <w:r w:rsidRPr="00E71790">
        <w:rPr>
          <w:lang w:val="en-US"/>
        </w:rPr>
        <w:t xml:space="preserve">Sociodemographic data and personality traits </w:t>
      </w:r>
      <w:r>
        <w:rPr>
          <w:lang w:val="en-US"/>
        </w:rPr>
        <w:t xml:space="preserve">of neuroticism, extroversion, openness, </w:t>
      </w:r>
      <w:proofErr w:type="gramStart"/>
      <w:r>
        <w:rPr>
          <w:lang w:val="en-US"/>
        </w:rPr>
        <w:t>agreeableness</w:t>
      </w:r>
      <w:proofErr w:type="gramEnd"/>
      <w:r>
        <w:rPr>
          <w:lang w:val="en-US"/>
        </w:rPr>
        <w:t xml:space="preserve"> and conscientiousness (NEO-FFI-R) </w:t>
      </w:r>
      <w:r w:rsidRPr="00E71790">
        <w:rPr>
          <w:lang w:val="en-US"/>
        </w:rPr>
        <w:t>were collected pre-treatment.</w:t>
      </w:r>
    </w:p>
    <w:p w14:paraId="39D8CDE3" w14:textId="6D3224B5" w:rsidR="006F6B88" w:rsidRDefault="00E71790" w:rsidP="00C10C9B">
      <w:pPr>
        <w:spacing w:line="480" w:lineRule="auto"/>
        <w:jc w:val="both"/>
        <w:rPr>
          <w:lang w:val="en-US"/>
        </w:rPr>
      </w:pPr>
      <w:r w:rsidRPr="00E71790">
        <w:rPr>
          <w:lang w:val="en-US"/>
        </w:rPr>
        <w:t>Symptoms of insomnia</w:t>
      </w:r>
      <w:r>
        <w:rPr>
          <w:lang w:val="en-US"/>
        </w:rPr>
        <w:t xml:space="preserve"> (ISI)</w:t>
      </w:r>
      <w:r w:rsidRPr="00E71790">
        <w:rPr>
          <w:lang w:val="en-US"/>
        </w:rPr>
        <w:t>, anxiety</w:t>
      </w:r>
      <w:r>
        <w:rPr>
          <w:lang w:val="en-US"/>
        </w:rPr>
        <w:t xml:space="preserve"> (HADS-A)</w:t>
      </w:r>
      <w:r w:rsidRPr="00E71790">
        <w:rPr>
          <w:lang w:val="en-US"/>
        </w:rPr>
        <w:t xml:space="preserve">, </w:t>
      </w:r>
      <w:proofErr w:type="gramStart"/>
      <w:r w:rsidRPr="00E71790">
        <w:rPr>
          <w:lang w:val="en-US"/>
        </w:rPr>
        <w:t>depression</w:t>
      </w:r>
      <w:r>
        <w:rPr>
          <w:lang w:val="en-US"/>
        </w:rPr>
        <w:t>(</w:t>
      </w:r>
      <w:proofErr w:type="gramEnd"/>
      <w:r>
        <w:rPr>
          <w:lang w:val="en-US"/>
        </w:rPr>
        <w:t>HADS-D)</w:t>
      </w:r>
      <w:r w:rsidRPr="00E71790">
        <w:rPr>
          <w:lang w:val="en-US"/>
        </w:rPr>
        <w:t xml:space="preserve"> and the psychological variables of psychological inflexibility</w:t>
      </w:r>
      <w:r>
        <w:rPr>
          <w:lang w:val="en-US"/>
        </w:rPr>
        <w:t xml:space="preserve"> (AAQ-II)</w:t>
      </w:r>
      <w:r w:rsidRPr="00E71790">
        <w:rPr>
          <w:lang w:val="en-US"/>
        </w:rPr>
        <w:t xml:space="preserve">, acceptance of sleep problems </w:t>
      </w:r>
      <w:r>
        <w:rPr>
          <w:lang w:val="en-US"/>
        </w:rPr>
        <w:t xml:space="preserve">(SPAQ) </w:t>
      </w:r>
      <w:r w:rsidRPr="00E71790">
        <w:rPr>
          <w:lang w:val="en-US"/>
        </w:rPr>
        <w:t xml:space="preserve">and beliefs about sleep </w:t>
      </w:r>
      <w:r>
        <w:rPr>
          <w:lang w:val="en-US"/>
        </w:rPr>
        <w:t xml:space="preserve">(DBAS-16) </w:t>
      </w:r>
      <w:r w:rsidRPr="00E71790">
        <w:rPr>
          <w:lang w:val="en-US"/>
        </w:rPr>
        <w:t>were collected at three moments (pre-treatment, post-treatment and 6 month follow-up).</w:t>
      </w:r>
    </w:p>
    <w:p w14:paraId="36839A59" w14:textId="77777777" w:rsidR="00E71790" w:rsidRDefault="00E71790" w:rsidP="00C10C9B">
      <w:pPr>
        <w:spacing w:line="480" w:lineRule="auto"/>
        <w:jc w:val="both"/>
        <w:rPr>
          <w:color w:val="000000"/>
          <w:lang w:val="en-US"/>
        </w:rPr>
      </w:pPr>
      <w:r w:rsidRPr="00E71790">
        <w:rPr>
          <w:b/>
          <w:bCs/>
          <w:color w:val="000000"/>
          <w:lang w:val="en-US"/>
        </w:rPr>
        <w:t xml:space="preserve">Participants’ data: </w:t>
      </w:r>
      <w:r w:rsidRPr="00E71790">
        <w:rPr>
          <w:color w:val="000000"/>
          <w:lang w:val="en-US"/>
        </w:rPr>
        <w:t xml:space="preserve">Sociodemographic information including </w:t>
      </w:r>
      <w:r>
        <w:rPr>
          <w:color w:val="000000"/>
          <w:lang w:val="en-US"/>
        </w:rPr>
        <w:t xml:space="preserve">age, sex, education level, marital </w:t>
      </w:r>
      <w:proofErr w:type="gramStart"/>
      <w:r>
        <w:rPr>
          <w:color w:val="000000"/>
          <w:lang w:val="en-US"/>
        </w:rPr>
        <w:t>status</w:t>
      </w:r>
      <w:proofErr w:type="gramEnd"/>
      <w:r>
        <w:rPr>
          <w:color w:val="000000"/>
          <w:lang w:val="en-US"/>
        </w:rPr>
        <w:t xml:space="preserve"> and ethnicity.</w:t>
      </w:r>
    </w:p>
    <w:p w14:paraId="58BC739E" w14:textId="77777777" w:rsidR="00E71790" w:rsidRPr="00E71790" w:rsidRDefault="00E71790" w:rsidP="00C10C9B">
      <w:pPr>
        <w:pStyle w:val="NormalWeb"/>
        <w:spacing w:before="0" w:beforeAutospacing="0" w:after="0" w:afterAutospacing="0" w:line="480" w:lineRule="auto"/>
        <w:jc w:val="both"/>
        <w:rPr>
          <w:color w:val="000000"/>
          <w:lang w:val="en-US"/>
        </w:rPr>
      </w:pPr>
      <w:r w:rsidRPr="00E71790">
        <w:rPr>
          <w:b/>
          <w:bCs/>
          <w:i/>
          <w:iCs/>
          <w:color w:val="000000"/>
          <w:lang w:val="en-US"/>
        </w:rPr>
        <w:t xml:space="preserve">Insomnia Severity Index (ISI): </w:t>
      </w:r>
      <w:r w:rsidRPr="00E71790">
        <w:rPr>
          <w:color w:val="000000"/>
          <w:lang w:val="en-US"/>
        </w:rPr>
        <w:t xml:space="preserve">The ISI was developed by Morin (1993) and validated in Portuguese by Castro (2011). The ISI is a retrospective seven-item scale that evaluates the nature, intensity, and impact of insomnia during the last month; the tool measures </w:t>
      </w:r>
      <w:r w:rsidRPr="00E71790">
        <w:rPr>
          <w:color w:val="000000"/>
          <w:lang w:val="en-US"/>
        </w:rPr>
        <w:lastRenderedPageBreak/>
        <w:t xml:space="preserve">difficulties in starting or maintaining sleep, early morning awakening, degree of sleep satisfaction, daytime impairment, perception of sleep problems by others, and degree of sleep problem concern. All items are assessed using a five-point Likert scale (0 = </w:t>
      </w:r>
      <w:r w:rsidRPr="00E71790">
        <w:rPr>
          <w:i/>
          <w:iCs/>
          <w:color w:val="000000"/>
          <w:lang w:val="en-US"/>
        </w:rPr>
        <w:t>no severity</w:t>
      </w:r>
      <w:r w:rsidRPr="00E71790">
        <w:rPr>
          <w:color w:val="000000"/>
          <w:lang w:val="en-US"/>
        </w:rPr>
        <w:t xml:space="preserve"> to 4 = </w:t>
      </w:r>
      <w:r w:rsidRPr="00E71790">
        <w:rPr>
          <w:i/>
          <w:iCs/>
          <w:color w:val="000000"/>
          <w:lang w:val="en-US"/>
        </w:rPr>
        <w:t>high severity</w:t>
      </w:r>
      <w:r w:rsidRPr="00E71790">
        <w:rPr>
          <w:color w:val="000000"/>
          <w:lang w:val="en-US"/>
        </w:rPr>
        <w:t>), resulting in a total score ranging from 0 to 28. Scores are classified as follows: absence of insomnia (0–7), mild insomnia (8–14), moderate insomnia (15–21), or severe insomnia (22–28). </w:t>
      </w:r>
    </w:p>
    <w:p w14:paraId="50AC585A" w14:textId="77777777" w:rsidR="00E71790" w:rsidRPr="00E71790" w:rsidRDefault="00E71790" w:rsidP="00C10C9B">
      <w:pPr>
        <w:pStyle w:val="NormalWeb"/>
        <w:spacing w:before="0" w:beforeAutospacing="0" w:after="0" w:afterAutospacing="0" w:line="480" w:lineRule="auto"/>
        <w:jc w:val="both"/>
        <w:rPr>
          <w:color w:val="000000"/>
          <w:lang w:val="en-US"/>
        </w:rPr>
      </w:pPr>
      <w:r w:rsidRPr="00E71790">
        <w:rPr>
          <w:b/>
          <w:bCs/>
          <w:i/>
          <w:iCs/>
          <w:color w:val="000000"/>
          <w:lang w:val="en-US"/>
        </w:rPr>
        <w:t xml:space="preserve">Hospital Anxiety and Depression Scale (HADS): </w:t>
      </w:r>
      <w:r w:rsidRPr="00E71790">
        <w:rPr>
          <w:color w:val="000000"/>
          <w:lang w:val="en-US"/>
        </w:rPr>
        <w:t>The HADS comprises 14 items with two subscales for assessing anxiety and depression. All items refer exclusively to the emotional state and do not reflect somatic symptoms. The total score for each subscale is 0–21. Scores of 0–8 indicate the absence of anxiety/depression, and scores of 9 and above indicate the presence of anxiety/depression (</w:t>
      </w:r>
      <w:proofErr w:type="spellStart"/>
      <w:r w:rsidRPr="00E71790">
        <w:rPr>
          <w:color w:val="000000"/>
          <w:lang w:val="en-US"/>
        </w:rPr>
        <w:t>Zigmond</w:t>
      </w:r>
      <w:proofErr w:type="spellEnd"/>
      <w:r w:rsidRPr="00E71790">
        <w:rPr>
          <w:color w:val="000000"/>
          <w:lang w:val="en-US"/>
        </w:rPr>
        <w:t xml:space="preserve"> &amp; Snaith, 1983). The Brazilian version was translated into and validated by </w:t>
      </w:r>
      <w:proofErr w:type="spellStart"/>
      <w:r w:rsidRPr="00E71790">
        <w:rPr>
          <w:color w:val="000000"/>
          <w:lang w:val="en-US"/>
        </w:rPr>
        <w:t>Botega</w:t>
      </w:r>
      <w:proofErr w:type="spellEnd"/>
      <w:r w:rsidRPr="00E71790">
        <w:rPr>
          <w:color w:val="000000"/>
          <w:lang w:val="en-US"/>
        </w:rPr>
        <w:t xml:space="preserve"> et al. (1995), with Cronbach’s alpha values of 0.68 and 0.77 for anxiety and depression, respectively. </w:t>
      </w:r>
    </w:p>
    <w:p w14:paraId="7EC65A5F" w14:textId="77777777" w:rsidR="00E71790" w:rsidRPr="00E71790" w:rsidRDefault="00E71790" w:rsidP="00C10C9B">
      <w:pPr>
        <w:pStyle w:val="NormalWeb"/>
        <w:spacing w:before="0" w:beforeAutospacing="0" w:after="0" w:afterAutospacing="0" w:line="480" w:lineRule="auto"/>
        <w:jc w:val="both"/>
        <w:rPr>
          <w:color w:val="000000"/>
          <w:lang w:val="en-US"/>
        </w:rPr>
      </w:pPr>
      <w:r w:rsidRPr="00E71790">
        <w:rPr>
          <w:b/>
          <w:bCs/>
          <w:i/>
          <w:iCs/>
          <w:color w:val="000000"/>
          <w:lang w:val="en-US"/>
        </w:rPr>
        <w:t>Dysfunctional Beliefs and Attitudes About Sleep Scale (Morin et al., 2007):</w:t>
      </w:r>
      <w:r w:rsidRPr="00E71790">
        <w:rPr>
          <w:color w:val="000000"/>
          <w:lang w:val="en-US"/>
        </w:rPr>
        <w:t xml:space="preserve"> The Dysfunctional Beliefs and Attitudes About Sleep Scale (DBAS-16) measures sleep-disruptive cognitions, such as beliefs, attitudes, expectations, evaluations, and attributions. Its 16 items are derived from the original 30-item scale and rated on an 11-point scale ranging from 0 (strongly disagree) to 10 (strongly agree). </w:t>
      </w:r>
      <w:proofErr w:type="gramStart"/>
      <w:r w:rsidRPr="00E71790">
        <w:rPr>
          <w:color w:val="000000"/>
          <w:lang w:val="en-US"/>
        </w:rPr>
        <w:t>Similar to</w:t>
      </w:r>
      <w:proofErr w:type="gramEnd"/>
      <w:r w:rsidRPr="00E71790">
        <w:rPr>
          <w:color w:val="000000"/>
          <w:lang w:val="en-US"/>
        </w:rPr>
        <w:t xml:space="preserve"> the original version, the DBAS-16 has a four-factor structure: (a) consequences of insomnia, (b) worry about sleep, (c) sleep expectations, and (d) medication. Example of item as follow: “When I sleep poorly on one night, I know it will disturb my sleep schedule for the whole week”. We used the Brazilian-Portuguese version translated and validated by </w:t>
      </w:r>
      <w:proofErr w:type="spellStart"/>
      <w:r w:rsidRPr="00E71790">
        <w:rPr>
          <w:color w:val="000000"/>
          <w:lang w:val="en-US"/>
        </w:rPr>
        <w:t>Carmo</w:t>
      </w:r>
      <w:proofErr w:type="spellEnd"/>
      <w:r w:rsidRPr="00E71790">
        <w:rPr>
          <w:color w:val="000000"/>
          <w:lang w:val="en-US"/>
        </w:rPr>
        <w:t xml:space="preserve"> et al. (2023), which showed adequate psychometric properties.</w:t>
      </w:r>
    </w:p>
    <w:p w14:paraId="1A85DB03" w14:textId="77777777" w:rsidR="00E71790" w:rsidRPr="00E71790" w:rsidRDefault="00E71790" w:rsidP="00C10C9B">
      <w:pPr>
        <w:pStyle w:val="NormalWeb"/>
        <w:spacing w:before="0" w:beforeAutospacing="0" w:after="0" w:afterAutospacing="0" w:line="480" w:lineRule="auto"/>
        <w:jc w:val="both"/>
        <w:rPr>
          <w:color w:val="000000"/>
          <w:lang w:val="en-US"/>
        </w:rPr>
      </w:pPr>
      <w:r w:rsidRPr="00E71790">
        <w:rPr>
          <w:b/>
          <w:bCs/>
          <w:i/>
          <w:iCs/>
          <w:color w:val="000000"/>
          <w:lang w:val="en-US"/>
        </w:rPr>
        <w:t>Sleep Problem Acceptance Questionnaire</w:t>
      </w:r>
      <w:r w:rsidRPr="00E71790">
        <w:rPr>
          <w:b/>
          <w:bCs/>
          <w:color w:val="000000"/>
          <w:lang w:val="en-US"/>
        </w:rPr>
        <w:t xml:space="preserve"> </w:t>
      </w:r>
      <w:r w:rsidRPr="00E71790">
        <w:rPr>
          <w:color w:val="000000"/>
          <w:lang w:val="en-US"/>
        </w:rPr>
        <w:t>(</w:t>
      </w:r>
      <w:proofErr w:type="spellStart"/>
      <w:r w:rsidRPr="00E71790">
        <w:rPr>
          <w:color w:val="000000"/>
          <w:lang w:val="en-US"/>
        </w:rPr>
        <w:t>Bothelius</w:t>
      </w:r>
      <w:proofErr w:type="spellEnd"/>
      <w:r w:rsidRPr="00E71790">
        <w:rPr>
          <w:color w:val="000000"/>
          <w:lang w:val="en-US"/>
        </w:rPr>
        <w:t xml:space="preserve"> et al., 2015): The Sleep Problem Acceptance Questionnaire (SPAQ) is a self-assessment tool designed to evaluate </w:t>
      </w:r>
      <w:r w:rsidRPr="00E71790">
        <w:rPr>
          <w:color w:val="000000"/>
          <w:lang w:val="en-US"/>
        </w:rPr>
        <w:lastRenderedPageBreak/>
        <w:t xml:space="preserve">individual acceptance of sleep issues. As a relatively new measure, it comprises eight items that assess two factors—activity engagement and willingness. Activity engagement pertains to the extent of an individual’s persistence in carrying out routine activities despite dissatisfaction with sleep quality. Conversely, willingness captures an individual’s ability to give up the struggle to control and overcome sleep problems. Each item is rated on a seven-point Likert scale, with 0 indicating “disagree” and 6 signifying “completely agree.” The total score ranges from 0 to 48, with willingness items scores being reversed. A higher score implies a lower acceptance of sleep problems. The SPAQ can provide insights into how the acceptance of sleep problems may affect treatment outcomes and overall quality of life. The SPAQ includes items such as “Although things have changed, I am living a normal life despite my sleeping problems”.  The Brazilian-Portuguese version of the SPAQ used in this study was adapted from English by </w:t>
      </w:r>
      <w:proofErr w:type="spellStart"/>
      <w:r w:rsidRPr="00E71790">
        <w:rPr>
          <w:color w:val="000000"/>
          <w:lang w:val="en-US"/>
        </w:rPr>
        <w:t>Carmo</w:t>
      </w:r>
      <w:proofErr w:type="spellEnd"/>
      <w:r w:rsidRPr="00E71790">
        <w:rPr>
          <w:color w:val="000000"/>
          <w:lang w:val="en-US"/>
        </w:rPr>
        <w:t xml:space="preserve"> and </w:t>
      </w:r>
      <w:proofErr w:type="spellStart"/>
      <w:r w:rsidRPr="00E71790">
        <w:rPr>
          <w:color w:val="000000"/>
          <w:lang w:val="en-US"/>
        </w:rPr>
        <w:t>Rafihi</w:t>
      </w:r>
      <w:proofErr w:type="spellEnd"/>
      <w:r w:rsidRPr="00E71790">
        <w:rPr>
          <w:color w:val="000000"/>
          <w:lang w:val="en-US"/>
        </w:rPr>
        <w:t>-Ferreira (2023).</w:t>
      </w:r>
    </w:p>
    <w:p w14:paraId="5EDBEC59" w14:textId="1C2FB62B" w:rsidR="00E71790" w:rsidRPr="00E71790" w:rsidRDefault="00E71790" w:rsidP="00C10C9B">
      <w:pPr>
        <w:spacing w:line="480" w:lineRule="auto"/>
        <w:jc w:val="both"/>
      </w:pPr>
      <w:r>
        <w:rPr>
          <w:b/>
          <w:bCs/>
          <w:color w:val="000000"/>
        </w:rPr>
        <w:t xml:space="preserve">Inventário dos Cinco Grandes Fatores (NEO-FFI-R): </w:t>
      </w:r>
      <w:r>
        <w:rPr>
          <w:color w:val="000000"/>
        </w:rPr>
        <w:t xml:space="preserve">instrumento desenvolvido por Costa &amp; </w:t>
      </w:r>
      <w:proofErr w:type="spellStart"/>
      <w:r>
        <w:rPr>
          <w:color w:val="000000"/>
        </w:rPr>
        <w:t>McCrae</w:t>
      </w:r>
      <w:proofErr w:type="spellEnd"/>
      <w:r>
        <w:rPr>
          <w:color w:val="000000"/>
        </w:rPr>
        <w:t xml:space="preserve"> [40], revisado por </w:t>
      </w:r>
      <w:proofErr w:type="spellStart"/>
      <w:r>
        <w:rPr>
          <w:color w:val="000000"/>
        </w:rPr>
        <w:t>McCrae</w:t>
      </w:r>
      <w:proofErr w:type="spellEnd"/>
      <w:r>
        <w:rPr>
          <w:color w:val="000000"/>
        </w:rPr>
        <w:t xml:space="preserve"> e colegas [41] e validado para o contexto brasileiro por Flores-Mendoza [42] e tem como objetivo estimar os cinco fatores da personalidade:  Neuroticismo (N), Extroversão (E), Abertura à Experiência (O), Amabilidade (A) e </w:t>
      </w:r>
      <w:proofErr w:type="spellStart"/>
      <w:r>
        <w:rPr>
          <w:color w:val="000000"/>
        </w:rPr>
        <w:t>Conscienciosidade</w:t>
      </w:r>
      <w:proofErr w:type="spellEnd"/>
      <w:r>
        <w:rPr>
          <w:color w:val="000000"/>
        </w:rPr>
        <w:t xml:space="preserve"> (C). Consiste em uma versão reduzida do Inventário de Personalidade NEO Revisado (NEO-PI-R) de Costa e colegas [43]. O NEO-FFI-R contém 60 itens respondidos por meio de uma escala </w:t>
      </w:r>
      <w:proofErr w:type="spellStart"/>
      <w:r>
        <w:rPr>
          <w:color w:val="000000"/>
        </w:rPr>
        <w:t>likert</w:t>
      </w:r>
      <w:proofErr w:type="spellEnd"/>
      <w:r>
        <w:rPr>
          <w:color w:val="000000"/>
        </w:rPr>
        <w:t xml:space="preserve"> de 5 pontos: discordo fortemente (DF), discordo (D), neutro (N), concordo (C) e concordo fortemente (CF). O instrumento tem bons índices de consistência interna (Alfa de </w:t>
      </w:r>
      <w:proofErr w:type="spellStart"/>
      <w:r>
        <w:rPr>
          <w:color w:val="000000"/>
        </w:rPr>
        <w:t>Cronbach</w:t>
      </w:r>
      <w:proofErr w:type="spellEnd"/>
      <w:r>
        <w:rPr>
          <w:color w:val="000000"/>
        </w:rPr>
        <w:t xml:space="preserve"> entre .70 e .83), estabilidade teste-reteste (entre .77 e .90) e validade por critério externo (quando comparada ao NEO-PI-R).</w:t>
      </w:r>
      <w:r w:rsidRPr="00E71790">
        <w:rPr>
          <w:color w:val="000000"/>
        </w:rPr>
        <w:t xml:space="preserve"> </w:t>
      </w:r>
    </w:p>
    <w:p w14:paraId="6FB12947" w14:textId="77777777" w:rsidR="00E24C0B" w:rsidRPr="00E71790" w:rsidRDefault="00E24C0B" w:rsidP="008D22FF">
      <w:pPr>
        <w:rPr>
          <w:b/>
          <w:bCs/>
        </w:rPr>
      </w:pPr>
    </w:p>
    <w:p w14:paraId="0E93A1E5" w14:textId="19CC5E8A" w:rsidR="008D22FF" w:rsidRPr="00E66DE4" w:rsidRDefault="008D22FF" w:rsidP="008D22FF">
      <w:pPr>
        <w:rPr>
          <w:b/>
          <w:bCs/>
          <w:lang w:val="en-US"/>
        </w:rPr>
      </w:pPr>
      <w:r w:rsidRPr="00E66DE4">
        <w:rPr>
          <w:b/>
          <w:bCs/>
          <w:lang w:val="en-US"/>
        </w:rPr>
        <w:t>Data analysis</w:t>
      </w:r>
    </w:p>
    <w:p w14:paraId="50B67D05" w14:textId="77777777" w:rsidR="008D22FF" w:rsidRPr="00E66DE4" w:rsidRDefault="008D22FF" w:rsidP="008D22FF">
      <w:pPr>
        <w:rPr>
          <w:lang w:val="en-US"/>
        </w:rPr>
      </w:pPr>
    </w:p>
    <w:p w14:paraId="03E716D1" w14:textId="55A0B433" w:rsidR="008D22FF" w:rsidRPr="00B15E3D" w:rsidRDefault="008D22FF" w:rsidP="008D22FF">
      <w:pPr>
        <w:spacing w:line="480" w:lineRule="auto"/>
        <w:ind w:firstLine="708"/>
        <w:rPr>
          <w:lang w:val="en-US"/>
        </w:rPr>
      </w:pPr>
      <w:r w:rsidRPr="00E66DE4">
        <w:rPr>
          <w:lang w:val="en-US"/>
        </w:rPr>
        <w:t xml:space="preserve">Data analyses were conducted using </w:t>
      </w:r>
      <w:proofErr w:type="spellStart"/>
      <w:r w:rsidRPr="00E66DE4">
        <w:rPr>
          <w:lang w:val="en-US"/>
        </w:rPr>
        <w:t>Jamovi</w:t>
      </w:r>
      <w:proofErr w:type="spellEnd"/>
      <w:r w:rsidRPr="00E66DE4">
        <w:rPr>
          <w:lang w:val="en-US"/>
        </w:rPr>
        <w:t xml:space="preserve"> (version 2.3), and a significance level of 0.05 was considered for all comparisons. </w:t>
      </w:r>
    </w:p>
    <w:p w14:paraId="6985D3FD" w14:textId="232946F0" w:rsidR="008D22FF" w:rsidRDefault="008D22FF" w:rsidP="008D22FF">
      <w:pPr>
        <w:spacing w:after="200" w:line="480" w:lineRule="auto"/>
        <w:ind w:right="-41" w:firstLine="720"/>
        <w:jc w:val="both"/>
        <w:rPr>
          <w:color w:val="000000"/>
        </w:rPr>
      </w:pPr>
      <w:r w:rsidRPr="00E66DE4">
        <w:rPr>
          <w:color w:val="000000"/>
        </w:rPr>
        <w:t xml:space="preserve">Foi realizada análise multivariada utilizando um modelo de regressão logística para avaliar </w:t>
      </w:r>
      <w:r>
        <w:rPr>
          <w:color w:val="000000"/>
        </w:rPr>
        <w:t xml:space="preserve">as </w:t>
      </w:r>
      <w:r w:rsidRPr="00E66DE4">
        <w:rPr>
          <w:color w:val="000000"/>
        </w:rPr>
        <w:t xml:space="preserve">variáveis psicológicas (inflexibilidade psicológica, crenças sobre o sono, aceitação sobre problemas de sono, traços de personalidade: neuroticismo, extroversão, abertura, amabilidade, </w:t>
      </w:r>
      <w:proofErr w:type="spellStart"/>
      <w:r w:rsidRPr="00E66DE4">
        <w:rPr>
          <w:color w:val="000000"/>
        </w:rPr>
        <w:t>conscienciosidade</w:t>
      </w:r>
      <w:proofErr w:type="spellEnd"/>
      <w:r>
        <w:rPr>
          <w:color w:val="000000"/>
        </w:rPr>
        <w:t xml:space="preserve">) </w:t>
      </w:r>
      <w:r w:rsidRPr="00E66DE4">
        <w:rPr>
          <w:color w:val="000000"/>
        </w:rPr>
        <w:t>como fatores associados</w:t>
      </w:r>
      <w:r>
        <w:rPr>
          <w:color w:val="000000"/>
        </w:rPr>
        <w:t xml:space="preserve"> ao recebimento/participação </w:t>
      </w:r>
      <w:proofErr w:type="gramStart"/>
      <w:r>
        <w:rPr>
          <w:color w:val="000000"/>
        </w:rPr>
        <w:t>da  ACT</w:t>
      </w:r>
      <w:proofErr w:type="gramEnd"/>
      <w:r>
        <w:rPr>
          <w:color w:val="000000"/>
        </w:rPr>
        <w:t>-I em comparação a CBT-I.</w:t>
      </w:r>
    </w:p>
    <w:p w14:paraId="5250A0FB" w14:textId="78FD22A0" w:rsidR="008D22FF" w:rsidRDefault="008D22FF" w:rsidP="008D22FF">
      <w:pPr>
        <w:spacing w:after="200" w:line="480" w:lineRule="auto"/>
        <w:ind w:right="-41" w:firstLine="720"/>
        <w:jc w:val="both"/>
        <w:rPr>
          <w:color w:val="000000"/>
        </w:rPr>
      </w:pPr>
      <w:r w:rsidRPr="00E66DE4">
        <w:rPr>
          <w:color w:val="000000"/>
        </w:rPr>
        <w:t>O modelo multivariado incluiu idade, sexo, escolaridade, estado civil, etnia, sintomas de insônia</w:t>
      </w:r>
      <w:r>
        <w:rPr>
          <w:color w:val="000000"/>
        </w:rPr>
        <w:t xml:space="preserve"> (ISI score)</w:t>
      </w:r>
      <w:r w:rsidRPr="00E66DE4">
        <w:rPr>
          <w:color w:val="000000"/>
        </w:rPr>
        <w:t>, ansiedade</w:t>
      </w:r>
      <w:r>
        <w:rPr>
          <w:color w:val="000000"/>
        </w:rPr>
        <w:t xml:space="preserve"> (HADS-A score)</w:t>
      </w:r>
      <w:r w:rsidRPr="00E66DE4">
        <w:rPr>
          <w:color w:val="000000"/>
        </w:rPr>
        <w:t xml:space="preserve"> e depressão</w:t>
      </w:r>
      <w:r>
        <w:rPr>
          <w:color w:val="000000"/>
        </w:rPr>
        <w:t xml:space="preserve"> (HADS-D score)</w:t>
      </w:r>
      <w:r w:rsidRPr="00E66DE4">
        <w:rPr>
          <w:color w:val="000000"/>
        </w:rPr>
        <w:t xml:space="preserve"> como covariáveis e variáveis psicológicas inflexibilidade psicológica</w:t>
      </w:r>
      <w:r>
        <w:rPr>
          <w:color w:val="000000"/>
        </w:rPr>
        <w:t xml:space="preserve"> (AAQ-II score)</w:t>
      </w:r>
      <w:r w:rsidRPr="00E66DE4">
        <w:rPr>
          <w:color w:val="000000"/>
        </w:rPr>
        <w:t>, aceitação sobre problemas de sono</w:t>
      </w:r>
      <w:r>
        <w:rPr>
          <w:color w:val="000000"/>
        </w:rPr>
        <w:t xml:space="preserve"> (SPAQ score)</w:t>
      </w:r>
      <w:r w:rsidRPr="00E66DE4">
        <w:rPr>
          <w:color w:val="000000"/>
        </w:rPr>
        <w:t>, crenças sobre o sono</w:t>
      </w:r>
      <w:r>
        <w:rPr>
          <w:color w:val="000000"/>
        </w:rPr>
        <w:t xml:space="preserve"> (DBAS-16 score)</w:t>
      </w:r>
      <w:r w:rsidRPr="00E66DE4">
        <w:rPr>
          <w:color w:val="000000"/>
        </w:rPr>
        <w:t>, traços de personalidade</w:t>
      </w:r>
      <w:r w:rsidR="00B91FC3">
        <w:rPr>
          <w:color w:val="000000"/>
        </w:rPr>
        <w:t xml:space="preserve"> </w:t>
      </w:r>
      <w:r w:rsidRPr="00E66DE4">
        <w:rPr>
          <w:color w:val="000000"/>
        </w:rPr>
        <w:t xml:space="preserve">neuroticismo, extroversão, abertura, amabilidade, </w:t>
      </w:r>
      <w:proofErr w:type="spellStart"/>
      <w:r w:rsidRPr="00E66DE4">
        <w:rPr>
          <w:color w:val="000000"/>
        </w:rPr>
        <w:t>conscienciosidade</w:t>
      </w:r>
      <w:proofErr w:type="spellEnd"/>
      <w:r w:rsidRPr="00E66DE4">
        <w:rPr>
          <w:color w:val="000000"/>
        </w:rPr>
        <w:t xml:space="preserve"> </w:t>
      </w:r>
      <w:r w:rsidR="00B91FC3">
        <w:rPr>
          <w:color w:val="000000"/>
        </w:rPr>
        <w:t xml:space="preserve">(NEO-FFI-R t scores) </w:t>
      </w:r>
      <w:r w:rsidRPr="00E66DE4">
        <w:rPr>
          <w:color w:val="000000"/>
        </w:rPr>
        <w:t xml:space="preserve">como possíveis fatores associados </w:t>
      </w:r>
      <w:r>
        <w:rPr>
          <w:color w:val="000000"/>
        </w:rPr>
        <w:t>ao recebimento/participação de determinada terapia para insônia.</w:t>
      </w:r>
    </w:p>
    <w:p w14:paraId="1A5A4852" w14:textId="6C742B14" w:rsidR="005065A5" w:rsidRPr="00E71790" w:rsidRDefault="008D22FF" w:rsidP="00E71790">
      <w:pPr>
        <w:spacing w:after="200" w:line="480" w:lineRule="auto"/>
        <w:ind w:right="-41" w:firstLine="720"/>
        <w:jc w:val="both"/>
        <w:rPr>
          <w:color w:val="000000"/>
        </w:rPr>
      </w:pPr>
      <w:r>
        <w:rPr>
          <w:color w:val="000000"/>
        </w:rPr>
        <w:t xml:space="preserve">Foram realizados três modelos de regressão logística multivariada. No primeiro modelo as análises foram realizadas com as variáveis do momento pré-tratamento. No segundo modelo, as análises foram realizadas com as variáveis no momento pós-tratamento e no terceiro modelo as análises foram realizadas no momento de 6-month-follow-up. </w:t>
      </w:r>
      <w:r w:rsidRPr="00E66DE4">
        <w:rPr>
          <w:color w:val="000000"/>
        </w:rPr>
        <w:t xml:space="preserve">O intervalo de confiança de 95% foi considerado. </w:t>
      </w:r>
    </w:p>
    <w:p w14:paraId="7B8BC3CC" w14:textId="2895EAB7" w:rsidR="00F95C59" w:rsidRPr="008D22FF" w:rsidRDefault="00F95C59" w:rsidP="005065A5">
      <w:pPr>
        <w:spacing w:line="480" w:lineRule="auto"/>
        <w:jc w:val="both"/>
        <w:rPr>
          <w:b/>
          <w:bCs/>
        </w:rPr>
      </w:pPr>
      <w:proofErr w:type="spellStart"/>
      <w:r w:rsidRPr="008D22FF">
        <w:rPr>
          <w:b/>
          <w:bCs/>
        </w:rPr>
        <w:t>Results</w:t>
      </w:r>
      <w:proofErr w:type="spellEnd"/>
    </w:p>
    <w:p w14:paraId="3BE3551E" w14:textId="773763B8" w:rsidR="00F95C59" w:rsidRPr="008D22FF" w:rsidRDefault="00626D5B" w:rsidP="005065A5">
      <w:pPr>
        <w:pStyle w:val="NormalWeb"/>
        <w:spacing w:before="0" w:beforeAutospacing="0" w:after="0" w:afterAutospacing="0" w:line="480" w:lineRule="auto"/>
        <w:ind w:right="-41"/>
        <w:jc w:val="both"/>
        <w:rPr>
          <w:color w:val="000000"/>
        </w:rPr>
      </w:pPr>
      <w:proofErr w:type="spellStart"/>
      <w:r w:rsidRPr="008D22FF">
        <w:rPr>
          <w:b/>
          <w:bCs/>
          <w:i/>
          <w:iCs/>
          <w:color w:val="000000"/>
        </w:rPr>
        <w:t>Sociodemographic</w:t>
      </w:r>
      <w:proofErr w:type="spellEnd"/>
      <w:r w:rsidR="00F95C59" w:rsidRPr="008D22FF">
        <w:rPr>
          <w:b/>
          <w:bCs/>
          <w:i/>
          <w:iCs/>
          <w:color w:val="000000"/>
        </w:rPr>
        <w:t xml:space="preserve"> </w:t>
      </w:r>
      <w:proofErr w:type="spellStart"/>
      <w:r w:rsidR="00F95C59" w:rsidRPr="008D22FF">
        <w:rPr>
          <w:b/>
          <w:bCs/>
          <w:i/>
          <w:iCs/>
          <w:color w:val="000000"/>
        </w:rPr>
        <w:t>Characteristics</w:t>
      </w:r>
      <w:proofErr w:type="spellEnd"/>
      <w:r w:rsidR="00F95C59" w:rsidRPr="008D22FF">
        <w:rPr>
          <w:b/>
          <w:bCs/>
          <w:i/>
          <w:iCs/>
          <w:color w:val="000000"/>
        </w:rPr>
        <w:t xml:space="preserve"> </w:t>
      </w:r>
      <w:proofErr w:type="spellStart"/>
      <w:r w:rsidR="00F95C59" w:rsidRPr="008D22FF">
        <w:rPr>
          <w:b/>
          <w:bCs/>
          <w:i/>
          <w:iCs/>
          <w:color w:val="000000"/>
        </w:rPr>
        <w:t>of</w:t>
      </w:r>
      <w:proofErr w:type="spellEnd"/>
      <w:r w:rsidR="00F95C59" w:rsidRPr="008D22FF">
        <w:rPr>
          <w:b/>
          <w:bCs/>
          <w:i/>
          <w:iCs/>
          <w:color w:val="000000"/>
        </w:rPr>
        <w:t xml:space="preserve"> </w:t>
      </w:r>
      <w:proofErr w:type="spellStart"/>
      <w:r w:rsidR="00F95C59" w:rsidRPr="008D22FF">
        <w:rPr>
          <w:b/>
          <w:bCs/>
          <w:i/>
          <w:iCs/>
          <w:color w:val="000000"/>
        </w:rPr>
        <w:t>the</w:t>
      </w:r>
      <w:proofErr w:type="spellEnd"/>
      <w:r w:rsidR="00F95C59" w:rsidRPr="008D22FF">
        <w:rPr>
          <w:b/>
          <w:bCs/>
          <w:i/>
          <w:iCs/>
          <w:color w:val="000000"/>
        </w:rPr>
        <w:t xml:space="preserve"> </w:t>
      </w:r>
      <w:proofErr w:type="spellStart"/>
      <w:r w:rsidR="00F95C59" w:rsidRPr="008D22FF">
        <w:rPr>
          <w:b/>
          <w:bCs/>
          <w:i/>
          <w:iCs/>
          <w:color w:val="000000"/>
        </w:rPr>
        <w:t>Participants</w:t>
      </w:r>
      <w:proofErr w:type="spellEnd"/>
      <w:r w:rsidR="00F95C59" w:rsidRPr="008D22FF">
        <w:rPr>
          <w:b/>
          <w:bCs/>
          <w:i/>
          <w:iCs/>
          <w:color w:val="000000"/>
        </w:rPr>
        <w:t> </w:t>
      </w:r>
    </w:p>
    <w:p w14:paraId="58D295FF" w14:textId="217AD91A" w:rsidR="00DC39E7" w:rsidRPr="005065A5" w:rsidRDefault="00DC39E7" w:rsidP="005065A5">
      <w:pPr>
        <w:spacing w:line="480" w:lineRule="auto"/>
        <w:jc w:val="both"/>
        <w:rPr>
          <w:lang w:val="en-US"/>
        </w:rPr>
      </w:pPr>
      <w:r w:rsidRPr="005065A5">
        <w:rPr>
          <w:lang w:val="en-US"/>
        </w:rPr>
        <w:t xml:space="preserve">The sample consisted predominantly of women (75%). </w:t>
      </w:r>
      <w:r w:rsidR="00626D5B" w:rsidRPr="005065A5">
        <w:rPr>
          <w:lang w:val="en-US"/>
        </w:rPr>
        <w:t>53</w:t>
      </w:r>
      <w:r w:rsidRPr="005065A5">
        <w:rPr>
          <w:lang w:val="en-US"/>
        </w:rPr>
        <w:t xml:space="preserve">% were married, the mean age was </w:t>
      </w:r>
      <w:r w:rsidR="00626D5B" w:rsidRPr="005065A5">
        <w:rPr>
          <w:lang w:val="en-US"/>
        </w:rPr>
        <w:t>40.4</w:t>
      </w:r>
      <w:r w:rsidRPr="005065A5">
        <w:rPr>
          <w:lang w:val="en-US"/>
        </w:rPr>
        <w:t xml:space="preserve"> years (SD = 10.</w:t>
      </w:r>
      <w:r w:rsidR="00626D5B" w:rsidRPr="005065A5">
        <w:rPr>
          <w:lang w:val="en-US"/>
        </w:rPr>
        <w:t>1</w:t>
      </w:r>
      <w:r w:rsidRPr="005065A5">
        <w:rPr>
          <w:lang w:val="en-US"/>
        </w:rPr>
        <w:t>, range of 18 to 59 years), and most participants had a higher education degree (</w:t>
      </w:r>
      <w:r w:rsidR="00626D5B" w:rsidRPr="005065A5">
        <w:rPr>
          <w:lang w:val="en-US"/>
        </w:rPr>
        <w:t>80</w:t>
      </w:r>
      <w:r w:rsidRPr="005065A5">
        <w:rPr>
          <w:lang w:val="en-US"/>
        </w:rPr>
        <w:t xml:space="preserve">%). No differences were observed neither among the </w:t>
      </w:r>
      <w:r w:rsidRPr="005065A5">
        <w:rPr>
          <w:lang w:val="en-US"/>
        </w:rPr>
        <w:lastRenderedPageBreak/>
        <w:t>sociodemographic variables of the two groups, presented in Table 2, nor in the baseline characteristics (p &gt; .05).</w:t>
      </w:r>
    </w:p>
    <w:tbl>
      <w:tblPr>
        <w:tblStyle w:val="Tabelacomgrade"/>
        <w:tblW w:w="0" w:type="auto"/>
        <w:tblLook w:val="04A0" w:firstRow="1" w:lastRow="0" w:firstColumn="1" w:lastColumn="0" w:noHBand="0" w:noVBand="1"/>
      </w:tblPr>
      <w:tblGrid>
        <w:gridCol w:w="3964"/>
        <w:gridCol w:w="1418"/>
        <w:gridCol w:w="1417"/>
        <w:gridCol w:w="1689"/>
      </w:tblGrid>
      <w:tr w:rsidR="00DC39E7" w:rsidRPr="00B15E3D" w14:paraId="73751556" w14:textId="2DC04DF4" w:rsidTr="007E2EF2">
        <w:tc>
          <w:tcPr>
            <w:tcW w:w="8488" w:type="dxa"/>
            <w:gridSpan w:val="4"/>
          </w:tcPr>
          <w:p w14:paraId="457B6487" w14:textId="2F2A3B82" w:rsidR="00DC39E7" w:rsidRPr="005065A5" w:rsidRDefault="00DC39E7" w:rsidP="005065A5">
            <w:pPr>
              <w:jc w:val="both"/>
              <w:rPr>
                <w:rStyle w:val="table-captionlabel"/>
                <w:color w:val="000000"/>
                <w:sz w:val="20"/>
                <w:szCs w:val="20"/>
                <w:lang w:val="en-US"/>
              </w:rPr>
            </w:pPr>
            <w:r w:rsidRPr="005065A5">
              <w:rPr>
                <w:rStyle w:val="table-captionlabel"/>
                <w:color w:val="000000"/>
                <w:sz w:val="20"/>
                <w:szCs w:val="20"/>
                <w:lang w:val="en-US"/>
              </w:rPr>
              <w:t>Table 1.</w:t>
            </w:r>
            <w:r w:rsidRPr="005065A5">
              <w:rPr>
                <w:rStyle w:val="apple-converted-space"/>
                <w:color w:val="000000"/>
                <w:sz w:val="20"/>
                <w:szCs w:val="20"/>
                <w:lang w:val="en-US"/>
              </w:rPr>
              <w:t> </w:t>
            </w:r>
            <w:r w:rsidRPr="005065A5">
              <w:rPr>
                <w:color w:val="000000"/>
                <w:sz w:val="20"/>
                <w:szCs w:val="20"/>
                <w:shd w:val="clear" w:color="auto" w:fill="FFFFFF"/>
                <w:lang w:val="en-US"/>
              </w:rPr>
              <w:t>Baseline characteristics of participants (N=152)</w:t>
            </w:r>
          </w:p>
        </w:tc>
      </w:tr>
      <w:tr w:rsidR="00DC39E7" w:rsidRPr="005065A5" w14:paraId="4904452B" w14:textId="77777777" w:rsidTr="00626D5B">
        <w:tc>
          <w:tcPr>
            <w:tcW w:w="3964" w:type="dxa"/>
          </w:tcPr>
          <w:p w14:paraId="0DA88EF9" w14:textId="77777777" w:rsidR="00DC39E7" w:rsidRPr="005065A5" w:rsidRDefault="00DC39E7" w:rsidP="005065A5">
            <w:pPr>
              <w:jc w:val="both"/>
              <w:rPr>
                <w:rStyle w:val="table-captionlabel"/>
                <w:color w:val="000000"/>
                <w:sz w:val="20"/>
                <w:szCs w:val="20"/>
                <w:lang w:val="en-US"/>
              </w:rPr>
            </w:pPr>
          </w:p>
        </w:tc>
        <w:tc>
          <w:tcPr>
            <w:tcW w:w="1418" w:type="dxa"/>
          </w:tcPr>
          <w:p w14:paraId="13DD77CD" w14:textId="09EA4F7C" w:rsidR="00DC39E7" w:rsidRPr="005065A5" w:rsidRDefault="00DC39E7" w:rsidP="005065A5">
            <w:pPr>
              <w:jc w:val="both"/>
              <w:rPr>
                <w:rStyle w:val="table-captionlabel"/>
                <w:color w:val="000000"/>
                <w:sz w:val="20"/>
                <w:szCs w:val="20"/>
                <w:lang w:val="en-US"/>
              </w:rPr>
            </w:pPr>
            <w:r w:rsidRPr="005065A5">
              <w:rPr>
                <w:rStyle w:val="table-captionlabel"/>
                <w:color w:val="000000"/>
                <w:sz w:val="20"/>
                <w:szCs w:val="20"/>
                <w:lang w:val="en-US"/>
              </w:rPr>
              <w:t xml:space="preserve">Total </w:t>
            </w:r>
            <w:r w:rsidRPr="005065A5">
              <w:rPr>
                <w:rStyle w:val="table-captionlabel"/>
                <w:color w:val="000000"/>
                <w:sz w:val="20"/>
                <w:szCs w:val="20"/>
              </w:rPr>
              <w:t>(n=152)</w:t>
            </w:r>
          </w:p>
        </w:tc>
        <w:tc>
          <w:tcPr>
            <w:tcW w:w="1417" w:type="dxa"/>
          </w:tcPr>
          <w:p w14:paraId="3249A959" w14:textId="048EA642" w:rsidR="00DC39E7" w:rsidRPr="005065A5" w:rsidRDefault="00DC39E7" w:rsidP="005065A5">
            <w:pPr>
              <w:jc w:val="both"/>
              <w:rPr>
                <w:rStyle w:val="table-captionlabel"/>
                <w:color w:val="000000"/>
                <w:sz w:val="20"/>
                <w:szCs w:val="20"/>
                <w:lang w:val="en-US"/>
              </w:rPr>
            </w:pPr>
            <w:r w:rsidRPr="005065A5">
              <w:rPr>
                <w:rStyle w:val="table-captionlabel"/>
                <w:color w:val="000000"/>
                <w:sz w:val="20"/>
                <w:szCs w:val="20"/>
                <w:lang w:val="en-US"/>
              </w:rPr>
              <w:t>A</w:t>
            </w:r>
            <w:r w:rsidRPr="005065A5">
              <w:rPr>
                <w:rStyle w:val="table-captionlabel"/>
                <w:color w:val="000000"/>
                <w:sz w:val="20"/>
                <w:szCs w:val="20"/>
              </w:rPr>
              <w:t>CT (n=76)</w:t>
            </w:r>
          </w:p>
        </w:tc>
        <w:tc>
          <w:tcPr>
            <w:tcW w:w="1689" w:type="dxa"/>
          </w:tcPr>
          <w:p w14:paraId="4EF285CF" w14:textId="4EA4A70B" w:rsidR="00DC39E7" w:rsidRPr="005065A5" w:rsidRDefault="00DC39E7" w:rsidP="005065A5">
            <w:pPr>
              <w:jc w:val="both"/>
              <w:rPr>
                <w:rStyle w:val="table-captionlabel"/>
                <w:color w:val="000000"/>
                <w:sz w:val="20"/>
                <w:szCs w:val="20"/>
                <w:lang w:val="en-US"/>
              </w:rPr>
            </w:pPr>
            <w:r w:rsidRPr="005065A5">
              <w:rPr>
                <w:rStyle w:val="table-captionlabel"/>
                <w:color w:val="000000"/>
                <w:sz w:val="20"/>
                <w:szCs w:val="20"/>
                <w:lang w:val="en-US"/>
              </w:rPr>
              <w:t>C</w:t>
            </w:r>
            <w:r w:rsidRPr="005065A5">
              <w:rPr>
                <w:rStyle w:val="table-captionlabel"/>
                <w:color w:val="000000"/>
                <w:sz w:val="20"/>
                <w:szCs w:val="20"/>
              </w:rPr>
              <w:t>BT (n=76)</w:t>
            </w:r>
          </w:p>
        </w:tc>
      </w:tr>
      <w:tr w:rsidR="00F95C59" w:rsidRPr="005065A5" w14:paraId="6075A89C" w14:textId="29CC758C" w:rsidTr="00626D5B">
        <w:tc>
          <w:tcPr>
            <w:tcW w:w="3964" w:type="dxa"/>
          </w:tcPr>
          <w:p w14:paraId="6DC07515" w14:textId="77777777" w:rsidR="00F95C59" w:rsidRPr="005065A5" w:rsidRDefault="00F95C59" w:rsidP="005065A5">
            <w:pPr>
              <w:jc w:val="both"/>
              <w:rPr>
                <w:sz w:val="20"/>
                <w:szCs w:val="20"/>
                <w:lang w:val="en-US"/>
              </w:rPr>
            </w:pPr>
            <w:r w:rsidRPr="005065A5">
              <w:rPr>
                <w:sz w:val="20"/>
                <w:szCs w:val="20"/>
                <w:lang w:val="en-US"/>
              </w:rPr>
              <w:t xml:space="preserve">Age </w:t>
            </w:r>
            <w:proofErr w:type="gramStart"/>
            <w:r w:rsidRPr="005065A5">
              <w:rPr>
                <w:sz w:val="20"/>
                <w:szCs w:val="20"/>
                <w:lang w:val="en-US"/>
              </w:rPr>
              <w:t>Mean(</w:t>
            </w:r>
            <w:proofErr w:type="gramEnd"/>
            <w:r w:rsidRPr="005065A5">
              <w:rPr>
                <w:sz w:val="20"/>
                <w:szCs w:val="20"/>
                <w:lang w:val="en-US"/>
              </w:rPr>
              <w:t>SD)</w:t>
            </w:r>
          </w:p>
        </w:tc>
        <w:tc>
          <w:tcPr>
            <w:tcW w:w="1418" w:type="dxa"/>
          </w:tcPr>
          <w:p w14:paraId="0B5895C0" w14:textId="77777777" w:rsidR="00F95C59" w:rsidRPr="005065A5" w:rsidRDefault="00F95C59" w:rsidP="005065A5">
            <w:pPr>
              <w:jc w:val="both"/>
              <w:rPr>
                <w:sz w:val="20"/>
                <w:szCs w:val="20"/>
                <w:lang w:val="en-US"/>
              </w:rPr>
            </w:pPr>
            <w:r w:rsidRPr="005065A5">
              <w:rPr>
                <w:sz w:val="20"/>
                <w:szCs w:val="20"/>
                <w:lang w:val="en-US"/>
              </w:rPr>
              <w:t>40.4(10.1)</w:t>
            </w:r>
          </w:p>
        </w:tc>
        <w:tc>
          <w:tcPr>
            <w:tcW w:w="1417" w:type="dxa"/>
          </w:tcPr>
          <w:p w14:paraId="40239128" w14:textId="5C157D93" w:rsidR="00F95C59" w:rsidRPr="005065A5" w:rsidRDefault="00DC39E7" w:rsidP="005065A5">
            <w:pPr>
              <w:jc w:val="both"/>
              <w:rPr>
                <w:sz w:val="20"/>
                <w:szCs w:val="20"/>
                <w:lang w:val="en-US"/>
              </w:rPr>
            </w:pPr>
            <w:r w:rsidRPr="005065A5">
              <w:rPr>
                <w:sz w:val="20"/>
                <w:szCs w:val="20"/>
                <w:lang w:val="en-US"/>
              </w:rPr>
              <w:t>40.5(10.6)</w:t>
            </w:r>
          </w:p>
        </w:tc>
        <w:tc>
          <w:tcPr>
            <w:tcW w:w="1689" w:type="dxa"/>
          </w:tcPr>
          <w:p w14:paraId="23C641EB" w14:textId="55C9DC77" w:rsidR="00F95C59" w:rsidRPr="005065A5" w:rsidRDefault="00626D5B" w:rsidP="005065A5">
            <w:pPr>
              <w:jc w:val="both"/>
              <w:rPr>
                <w:sz w:val="20"/>
                <w:szCs w:val="20"/>
                <w:lang w:val="en-US"/>
              </w:rPr>
            </w:pPr>
            <w:r w:rsidRPr="005065A5">
              <w:rPr>
                <w:sz w:val="20"/>
                <w:szCs w:val="20"/>
                <w:lang w:val="en-US"/>
              </w:rPr>
              <w:t>40.3(9.7)</w:t>
            </w:r>
          </w:p>
        </w:tc>
      </w:tr>
      <w:tr w:rsidR="00F95C59" w:rsidRPr="005065A5" w14:paraId="6800B5A9" w14:textId="07DBA7D8" w:rsidTr="00626D5B">
        <w:tc>
          <w:tcPr>
            <w:tcW w:w="3964" w:type="dxa"/>
          </w:tcPr>
          <w:p w14:paraId="1CD25BEA" w14:textId="77777777" w:rsidR="00F95C59" w:rsidRPr="005065A5" w:rsidRDefault="00F95C59" w:rsidP="005065A5">
            <w:pPr>
              <w:jc w:val="both"/>
              <w:rPr>
                <w:sz w:val="20"/>
                <w:szCs w:val="20"/>
                <w:lang w:val="en-US"/>
              </w:rPr>
            </w:pPr>
            <w:r w:rsidRPr="005065A5">
              <w:rPr>
                <w:sz w:val="20"/>
                <w:szCs w:val="20"/>
                <w:lang w:val="en-US"/>
              </w:rPr>
              <w:t xml:space="preserve">Sex (female) </w:t>
            </w:r>
            <w:proofErr w:type="gramStart"/>
            <w:r w:rsidRPr="005065A5">
              <w:rPr>
                <w:sz w:val="20"/>
                <w:szCs w:val="20"/>
                <w:lang w:val="en-US"/>
              </w:rPr>
              <w:t>n(</w:t>
            </w:r>
            <w:proofErr w:type="gramEnd"/>
            <w:r w:rsidRPr="005065A5">
              <w:rPr>
                <w:sz w:val="20"/>
                <w:szCs w:val="20"/>
                <w:lang w:val="en-US"/>
              </w:rPr>
              <w:t>%)</w:t>
            </w:r>
          </w:p>
        </w:tc>
        <w:tc>
          <w:tcPr>
            <w:tcW w:w="1418" w:type="dxa"/>
          </w:tcPr>
          <w:p w14:paraId="4D1CE16B" w14:textId="77777777" w:rsidR="00F95C59" w:rsidRPr="005065A5" w:rsidRDefault="00F95C59" w:rsidP="005065A5">
            <w:pPr>
              <w:jc w:val="both"/>
              <w:rPr>
                <w:sz w:val="20"/>
                <w:szCs w:val="20"/>
                <w:lang w:val="en-US"/>
              </w:rPr>
            </w:pPr>
            <w:r w:rsidRPr="005065A5">
              <w:rPr>
                <w:sz w:val="20"/>
                <w:szCs w:val="20"/>
                <w:lang w:val="en-US"/>
              </w:rPr>
              <w:t>115(75)</w:t>
            </w:r>
          </w:p>
        </w:tc>
        <w:tc>
          <w:tcPr>
            <w:tcW w:w="1417" w:type="dxa"/>
          </w:tcPr>
          <w:p w14:paraId="0A259D60" w14:textId="2AF929B0" w:rsidR="00F95C59" w:rsidRPr="005065A5" w:rsidRDefault="00F95C59" w:rsidP="005065A5">
            <w:pPr>
              <w:jc w:val="both"/>
              <w:rPr>
                <w:sz w:val="20"/>
                <w:szCs w:val="20"/>
                <w:lang w:val="en-US"/>
              </w:rPr>
            </w:pPr>
            <w:r w:rsidRPr="005065A5">
              <w:rPr>
                <w:sz w:val="20"/>
                <w:szCs w:val="20"/>
                <w:lang w:val="en-US"/>
              </w:rPr>
              <w:t>59(78)</w:t>
            </w:r>
          </w:p>
        </w:tc>
        <w:tc>
          <w:tcPr>
            <w:tcW w:w="1689" w:type="dxa"/>
          </w:tcPr>
          <w:p w14:paraId="10C2CA49" w14:textId="2093C14E" w:rsidR="00F95C59" w:rsidRPr="005065A5" w:rsidRDefault="00F95C59" w:rsidP="005065A5">
            <w:pPr>
              <w:jc w:val="both"/>
              <w:rPr>
                <w:sz w:val="20"/>
                <w:szCs w:val="20"/>
                <w:lang w:val="en-US"/>
              </w:rPr>
            </w:pPr>
            <w:r w:rsidRPr="005065A5">
              <w:rPr>
                <w:sz w:val="20"/>
                <w:szCs w:val="20"/>
                <w:lang w:val="en-US"/>
              </w:rPr>
              <w:t>56(74)</w:t>
            </w:r>
          </w:p>
        </w:tc>
      </w:tr>
      <w:tr w:rsidR="00F95C59" w:rsidRPr="005065A5" w14:paraId="4C5055B7" w14:textId="1BD70A92" w:rsidTr="00626D5B">
        <w:tc>
          <w:tcPr>
            <w:tcW w:w="3964" w:type="dxa"/>
          </w:tcPr>
          <w:p w14:paraId="7E4614E5" w14:textId="0347E217" w:rsidR="00F95C59" w:rsidRPr="005065A5" w:rsidRDefault="00F95C59" w:rsidP="005065A5">
            <w:pPr>
              <w:jc w:val="both"/>
              <w:rPr>
                <w:sz w:val="20"/>
                <w:szCs w:val="20"/>
                <w:lang w:val="en-US"/>
              </w:rPr>
            </w:pPr>
            <w:r w:rsidRPr="005065A5">
              <w:rPr>
                <w:sz w:val="20"/>
                <w:szCs w:val="20"/>
                <w:lang w:val="en-US"/>
              </w:rPr>
              <w:t>Education level - University degree</w:t>
            </w:r>
            <w:r w:rsidR="00626D5B" w:rsidRPr="005065A5">
              <w:rPr>
                <w:sz w:val="20"/>
                <w:szCs w:val="20"/>
                <w:lang w:val="en-US"/>
              </w:rPr>
              <w:t xml:space="preserve"> </w:t>
            </w:r>
            <w:proofErr w:type="gramStart"/>
            <w:r w:rsidR="00626D5B" w:rsidRPr="005065A5">
              <w:rPr>
                <w:sz w:val="20"/>
                <w:szCs w:val="20"/>
                <w:lang w:val="en-US"/>
              </w:rPr>
              <w:t>n(</w:t>
            </w:r>
            <w:proofErr w:type="gramEnd"/>
            <w:r w:rsidR="00626D5B" w:rsidRPr="005065A5">
              <w:rPr>
                <w:sz w:val="20"/>
                <w:szCs w:val="20"/>
                <w:lang w:val="en-US"/>
              </w:rPr>
              <w:t>%)</w:t>
            </w:r>
          </w:p>
        </w:tc>
        <w:tc>
          <w:tcPr>
            <w:tcW w:w="1418" w:type="dxa"/>
          </w:tcPr>
          <w:p w14:paraId="619C82BC" w14:textId="77777777" w:rsidR="00F95C59" w:rsidRPr="005065A5" w:rsidRDefault="00F95C59" w:rsidP="005065A5">
            <w:pPr>
              <w:jc w:val="both"/>
              <w:rPr>
                <w:sz w:val="20"/>
                <w:szCs w:val="20"/>
                <w:lang w:val="en-US"/>
              </w:rPr>
            </w:pPr>
            <w:r w:rsidRPr="005065A5">
              <w:rPr>
                <w:sz w:val="20"/>
                <w:szCs w:val="20"/>
                <w:lang w:val="en-US"/>
              </w:rPr>
              <w:t>122 (80)</w:t>
            </w:r>
          </w:p>
        </w:tc>
        <w:tc>
          <w:tcPr>
            <w:tcW w:w="1417" w:type="dxa"/>
          </w:tcPr>
          <w:p w14:paraId="5B6F714B" w14:textId="5C257DC3" w:rsidR="00F95C59" w:rsidRPr="005065A5" w:rsidRDefault="00F95C59" w:rsidP="005065A5">
            <w:pPr>
              <w:jc w:val="both"/>
              <w:rPr>
                <w:sz w:val="20"/>
                <w:szCs w:val="20"/>
                <w:lang w:val="en-US"/>
              </w:rPr>
            </w:pPr>
            <w:r w:rsidRPr="005065A5">
              <w:rPr>
                <w:sz w:val="20"/>
                <w:szCs w:val="20"/>
                <w:lang w:val="en-US"/>
              </w:rPr>
              <w:t>63(83)</w:t>
            </w:r>
          </w:p>
        </w:tc>
        <w:tc>
          <w:tcPr>
            <w:tcW w:w="1689" w:type="dxa"/>
          </w:tcPr>
          <w:p w14:paraId="23BD316C" w14:textId="666444E9" w:rsidR="00F95C59" w:rsidRPr="005065A5" w:rsidRDefault="00DC39E7" w:rsidP="005065A5">
            <w:pPr>
              <w:jc w:val="both"/>
              <w:rPr>
                <w:sz w:val="20"/>
                <w:szCs w:val="20"/>
                <w:lang w:val="en-US"/>
              </w:rPr>
            </w:pPr>
            <w:r w:rsidRPr="005065A5">
              <w:rPr>
                <w:sz w:val="20"/>
                <w:szCs w:val="20"/>
                <w:lang w:val="en-US"/>
              </w:rPr>
              <w:t>59(78)</w:t>
            </w:r>
          </w:p>
        </w:tc>
      </w:tr>
      <w:tr w:rsidR="00F95C59" w:rsidRPr="005065A5" w14:paraId="3C8D0EAE" w14:textId="2C1DC06C" w:rsidTr="00626D5B">
        <w:tc>
          <w:tcPr>
            <w:tcW w:w="3964" w:type="dxa"/>
          </w:tcPr>
          <w:p w14:paraId="40F52B24" w14:textId="1F98B289" w:rsidR="00F95C59" w:rsidRPr="005065A5" w:rsidRDefault="00F95C59" w:rsidP="005065A5">
            <w:pPr>
              <w:jc w:val="both"/>
              <w:rPr>
                <w:sz w:val="20"/>
                <w:szCs w:val="20"/>
                <w:lang w:val="en-US"/>
              </w:rPr>
            </w:pPr>
            <w:r w:rsidRPr="005065A5">
              <w:rPr>
                <w:color w:val="000000"/>
                <w:sz w:val="20"/>
                <w:szCs w:val="20"/>
              </w:rPr>
              <w:t xml:space="preserve">Marital status – </w:t>
            </w:r>
            <w:proofErr w:type="spellStart"/>
            <w:r w:rsidR="00626D5B" w:rsidRPr="005065A5">
              <w:rPr>
                <w:color w:val="000000"/>
                <w:sz w:val="20"/>
                <w:szCs w:val="20"/>
              </w:rPr>
              <w:t>M</w:t>
            </w:r>
            <w:r w:rsidRPr="005065A5">
              <w:rPr>
                <w:color w:val="000000"/>
                <w:sz w:val="20"/>
                <w:szCs w:val="20"/>
              </w:rPr>
              <w:t>arried</w:t>
            </w:r>
            <w:proofErr w:type="spellEnd"/>
            <w:r w:rsidR="00626D5B" w:rsidRPr="005065A5">
              <w:rPr>
                <w:color w:val="000000"/>
                <w:sz w:val="20"/>
                <w:szCs w:val="20"/>
              </w:rPr>
              <w:t xml:space="preserve"> </w:t>
            </w:r>
            <w:proofErr w:type="gramStart"/>
            <w:r w:rsidR="00626D5B" w:rsidRPr="005065A5">
              <w:rPr>
                <w:sz w:val="20"/>
                <w:szCs w:val="20"/>
                <w:lang w:val="en-US"/>
              </w:rPr>
              <w:t>n(</w:t>
            </w:r>
            <w:proofErr w:type="gramEnd"/>
            <w:r w:rsidR="00626D5B" w:rsidRPr="005065A5">
              <w:rPr>
                <w:sz w:val="20"/>
                <w:szCs w:val="20"/>
                <w:lang w:val="en-US"/>
              </w:rPr>
              <w:t>%)</w:t>
            </w:r>
          </w:p>
        </w:tc>
        <w:tc>
          <w:tcPr>
            <w:tcW w:w="1418" w:type="dxa"/>
          </w:tcPr>
          <w:p w14:paraId="1884DFDE" w14:textId="29CD7C72" w:rsidR="00F95C59" w:rsidRPr="005065A5" w:rsidRDefault="00F95C59" w:rsidP="005065A5">
            <w:pPr>
              <w:jc w:val="both"/>
              <w:rPr>
                <w:sz w:val="20"/>
                <w:szCs w:val="20"/>
                <w:lang w:val="en-US"/>
              </w:rPr>
            </w:pPr>
            <w:r w:rsidRPr="005065A5">
              <w:rPr>
                <w:sz w:val="20"/>
                <w:szCs w:val="20"/>
                <w:lang w:val="en-US"/>
              </w:rPr>
              <w:t>81 (53)</w:t>
            </w:r>
          </w:p>
        </w:tc>
        <w:tc>
          <w:tcPr>
            <w:tcW w:w="1417" w:type="dxa"/>
          </w:tcPr>
          <w:p w14:paraId="6826DAA4" w14:textId="6385972E" w:rsidR="00F95C59" w:rsidRPr="005065A5" w:rsidRDefault="00DC39E7" w:rsidP="005065A5">
            <w:pPr>
              <w:jc w:val="both"/>
              <w:rPr>
                <w:sz w:val="20"/>
                <w:szCs w:val="20"/>
                <w:lang w:val="en-US"/>
              </w:rPr>
            </w:pPr>
            <w:r w:rsidRPr="005065A5">
              <w:rPr>
                <w:sz w:val="20"/>
                <w:szCs w:val="20"/>
                <w:lang w:val="en-US"/>
              </w:rPr>
              <w:t>43(56)</w:t>
            </w:r>
          </w:p>
        </w:tc>
        <w:tc>
          <w:tcPr>
            <w:tcW w:w="1689" w:type="dxa"/>
          </w:tcPr>
          <w:p w14:paraId="0C6BADF4" w14:textId="54BB9FC3" w:rsidR="00F95C59" w:rsidRPr="005065A5" w:rsidRDefault="00DC39E7" w:rsidP="005065A5">
            <w:pPr>
              <w:jc w:val="both"/>
              <w:rPr>
                <w:sz w:val="20"/>
                <w:szCs w:val="20"/>
                <w:lang w:val="en-US"/>
              </w:rPr>
            </w:pPr>
            <w:r w:rsidRPr="005065A5">
              <w:rPr>
                <w:sz w:val="20"/>
                <w:szCs w:val="20"/>
                <w:lang w:val="en-US"/>
              </w:rPr>
              <w:t>38(50)</w:t>
            </w:r>
          </w:p>
        </w:tc>
      </w:tr>
      <w:tr w:rsidR="00F95C59" w:rsidRPr="005065A5" w14:paraId="014CE827" w14:textId="19FD1E65" w:rsidTr="00626D5B">
        <w:tc>
          <w:tcPr>
            <w:tcW w:w="3964" w:type="dxa"/>
          </w:tcPr>
          <w:p w14:paraId="0A790A8C" w14:textId="4ECB8964" w:rsidR="00F95C59" w:rsidRPr="005065A5" w:rsidRDefault="00F95C59" w:rsidP="005065A5">
            <w:pPr>
              <w:jc w:val="both"/>
              <w:rPr>
                <w:sz w:val="20"/>
                <w:szCs w:val="20"/>
                <w:lang w:val="en-US"/>
              </w:rPr>
            </w:pPr>
            <w:proofErr w:type="spellStart"/>
            <w:r w:rsidRPr="005065A5">
              <w:rPr>
                <w:color w:val="000000"/>
                <w:sz w:val="20"/>
                <w:szCs w:val="20"/>
              </w:rPr>
              <w:t>Ethnicity</w:t>
            </w:r>
            <w:proofErr w:type="spellEnd"/>
            <w:r w:rsidRPr="005065A5">
              <w:rPr>
                <w:color w:val="000000"/>
                <w:sz w:val="20"/>
                <w:szCs w:val="20"/>
              </w:rPr>
              <w:t xml:space="preserve"> </w:t>
            </w:r>
            <w:r w:rsidR="00626D5B" w:rsidRPr="005065A5">
              <w:rPr>
                <w:color w:val="000000"/>
                <w:sz w:val="20"/>
                <w:szCs w:val="20"/>
              </w:rPr>
              <w:t>–</w:t>
            </w:r>
            <w:r w:rsidRPr="005065A5">
              <w:rPr>
                <w:color w:val="000000"/>
                <w:sz w:val="20"/>
                <w:szCs w:val="20"/>
              </w:rPr>
              <w:t xml:space="preserve"> White</w:t>
            </w:r>
            <w:r w:rsidR="00626D5B" w:rsidRPr="005065A5">
              <w:rPr>
                <w:color w:val="000000"/>
                <w:sz w:val="20"/>
                <w:szCs w:val="20"/>
              </w:rPr>
              <w:t xml:space="preserve"> </w:t>
            </w:r>
            <w:proofErr w:type="gramStart"/>
            <w:r w:rsidR="00626D5B" w:rsidRPr="005065A5">
              <w:rPr>
                <w:sz w:val="20"/>
                <w:szCs w:val="20"/>
                <w:lang w:val="en-US"/>
              </w:rPr>
              <w:t>n(</w:t>
            </w:r>
            <w:proofErr w:type="gramEnd"/>
            <w:r w:rsidR="00626D5B" w:rsidRPr="005065A5">
              <w:rPr>
                <w:sz w:val="20"/>
                <w:szCs w:val="20"/>
                <w:lang w:val="en-US"/>
              </w:rPr>
              <w:t>%)</w:t>
            </w:r>
          </w:p>
        </w:tc>
        <w:tc>
          <w:tcPr>
            <w:tcW w:w="1418" w:type="dxa"/>
          </w:tcPr>
          <w:p w14:paraId="60964E76" w14:textId="77777777" w:rsidR="00F95C59" w:rsidRPr="005065A5" w:rsidRDefault="00F95C59" w:rsidP="005065A5">
            <w:pPr>
              <w:jc w:val="both"/>
              <w:rPr>
                <w:sz w:val="20"/>
                <w:szCs w:val="20"/>
                <w:lang w:val="en-US"/>
              </w:rPr>
            </w:pPr>
            <w:r w:rsidRPr="005065A5">
              <w:rPr>
                <w:sz w:val="20"/>
                <w:szCs w:val="20"/>
                <w:lang w:val="en-US"/>
              </w:rPr>
              <w:t>111 (73)</w:t>
            </w:r>
          </w:p>
        </w:tc>
        <w:tc>
          <w:tcPr>
            <w:tcW w:w="1417" w:type="dxa"/>
          </w:tcPr>
          <w:p w14:paraId="2652E420" w14:textId="142B5458" w:rsidR="00F95C59" w:rsidRPr="005065A5" w:rsidRDefault="00DC39E7" w:rsidP="005065A5">
            <w:pPr>
              <w:jc w:val="both"/>
              <w:rPr>
                <w:sz w:val="20"/>
                <w:szCs w:val="20"/>
                <w:lang w:val="en-US"/>
              </w:rPr>
            </w:pPr>
            <w:r w:rsidRPr="005065A5">
              <w:rPr>
                <w:sz w:val="20"/>
                <w:szCs w:val="20"/>
                <w:lang w:val="en-US"/>
              </w:rPr>
              <w:t>6</w:t>
            </w:r>
            <w:r w:rsidRPr="005065A5">
              <w:rPr>
                <w:sz w:val="20"/>
                <w:szCs w:val="20"/>
              </w:rPr>
              <w:t>2(82)</w:t>
            </w:r>
          </w:p>
        </w:tc>
        <w:tc>
          <w:tcPr>
            <w:tcW w:w="1689" w:type="dxa"/>
          </w:tcPr>
          <w:p w14:paraId="1E83B760" w14:textId="42907AA8" w:rsidR="00F95C59" w:rsidRPr="005065A5" w:rsidRDefault="00DC39E7" w:rsidP="005065A5">
            <w:pPr>
              <w:jc w:val="both"/>
              <w:rPr>
                <w:sz w:val="20"/>
                <w:szCs w:val="20"/>
                <w:lang w:val="en-US"/>
              </w:rPr>
            </w:pPr>
            <w:r w:rsidRPr="005065A5">
              <w:rPr>
                <w:sz w:val="20"/>
                <w:szCs w:val="20"/>
                <w:lang w:val="en-US"/>
              </w:rPr>
              <w:t>49(64)</w:t>
            </w:r>
          </w:p>
        </w:tc>
      </w:tr>
    </w:tbl>
    <w:p w14:paraId="67000D80" w14:textId="77777777" w:rsidR="00F95C59" w:rsidRPr="005065A5" w:rsidRDefault="00F95C59" w:rsidP="005065A5">
      <w:pPr>
        <w:jc w:val="both"/>
        <w:rPr>
          <w:lang w:val="en-US"/>
        </w:rPr>
      </w:pPr>
    </w:p>
    <w:p w14:paraId="538CECE5" w14:textId="77777777" w:rsidR="00F95C59" w:rsidRPr="005065A5" w:rsidRDefault="00F95C59" w:rsidP="005065A5">
      <w:pPr>
        <w:jc w:val="both"/>
        <w:rPr>
          <w:lang w:val="en-US"/>
        </w:rPr>
      </w:pPr>
    </w:p>
    <w:p w14:paraId="36878C25" w14:textId="6B7679E6" w:rsidR="00F95C59" w:rsidRPr="005065A5" w:rsidRDefault="00626D5B" w:rsidP="00C10C9B">
      <w:pPr>
        <w:spacing w:line="480" w:lineRule="auto"/>
        <w:jc w:val="both"/>
        <w:rPr>
          <w:b/>
          <w:bCs/>
          <w:i/>
          <w:iCs/>
          <w:lang w:val="en-US"/>
        </w:rPr>
      </w:pPr>
      <w:proofErr w:type="spellStart"/>
      <w:r w:rsidRPr="005065A5">
        <w:rPr>
          <w:b/>
          <w:bCs/>
          <w:i/>
          <w:iCs/>
          <w:lang w:val="en-US"/>
        </w:rPr>
        <w:t>Factos</w:t>
      </w:r>
      <w:proofErr w:type="spellEnd"/>
      <w:r w:rsidRPr="005065A5">
        <w:rPr>
          <w:b/>
          <w:bCs/>
          <w:i/>
          <w:iCs/>
          <w:lang w:val="en-US"/>
        </w:rPr>
        <w:t xml:space="preserve"> associated with ACT compared with </w:t>
      </w:r>
      <w:proofErr w:type="gramStart"/>
      <w:r w:rsidRPr="005065A5">
        <w:rPr>
          <w:b/>
          <w:bCs/>
          <w:i/>
          <w:iCs/>
          <w:lang w:val="en-US"/>
        </w:rPr>
        <w:t>CBT</w:t>
      </w:r>
      <w:proofErr w:type="gramEnd"/>
      <w:r w:rsidRPr="005065A5">
        <w:rPr>
          <w:b/>
          <w:bCs/>
          <w:i/>
          <w:iCs/>
          <w:lang w:val="en-US"/>
        </w:rPr>
        <w:t xml:space="preserve"> </w:t>
      </w:r>
    </w:p>
    <w:p w14:paraId="7FFDD650" w14:textId="77777777" w:rsidR="00F95C59" w:rsidRPr="005065A5" w:rsidRDefault="00F95C59" w:rsidP="00C10C9B">
      <w:pPr>
        <w:spacing w:line="480" w:lineRule="auto"/>
        <w:jc w:val="both"/>
        <w:rPr>
          <w:lang w:val="en-US"/>
        </w:rPr>
      </w:pPr>
    </w:p>
    <w:p w14:paraId="3665EE17" w14:textId="1ABA1141" w:rsidR="00626D5B" w:rsidRDefault="00626D5B" w:rsidP="00C10C9B">
      <w:pPr>
        <w:spacing w:line="480" w:lineRule="auto"/>
        <w:jc w:val="both"/>
        <w:rPr>
          <w:lang w:val="en-US"/>
        </w:rPr>
      </w:pPr>
      <w:r w:rsidRPr="005065A5">
        <w:rPr>
          <w:lang w:val="en-US"/>
        </w:rPr>
        <w:t xml:space="preserve">The results of </w:t>
      </w:r>
      <w:r w:rsidRPr="005065A5">
        <w:rPr>
          <w:color w:val="000000"/>
          <w:lang w:val="en-US"/>
        </w:rPr>
        <w:t xml:space="preserve">multivariate logistic regression model </w:t>
      </w:r>
      <w:r w:rsidRPr="005065A5">
        <w:rPr>
          <w:lang w:val="en-US"/>
        </w:rPr>
        <w:t xml:space="preserve">are presented in Table 2. At pre-treatment, the variables were not associated with the therapeutic modality. In post-treatment psychological inflexibility (OR= 0.89[0.81-0.98]) and agreeableness (OR=0.94[0.90-0.98]) were associated with ACT. Each additional point on the AAQ-II </w:t>
      </w:r>
      <w:r w:rsidR="00B91FC3">
        <w:rPr>
          <w:lang w:val="en-US"/>
        </w:rPr>
        <w:t xml:space="preserve">and agreeableness </w:t>
      </w:r>
      <w:r w:rsidRPr="005065A5">
        <w:rPr>
          <w:lang w:val="en-US"/>
        </w:rPr>
        <w:t xml:space="preserve">reduces the chances of the individual having performed ACT. In 6-month follow-up anxiety (OR= 1.27[1.00-1.61]) and psychological flexibility (OR= 0.86[0.76-0.97]) were associated with ACT. Each additional point on the anxiety scale </w:t>
      </w:r>
      <w:r w:rsidR="00DD1E81" w:rsidRPr="005065A5">
        <w:rPr>
          <w:lang w:val="en-US"/>
        </w:rPr>
        <w:t>increases</w:t>
      </w:r>
      <w:r w:rsidRPr="005065A5">
        <w:rPr>
          <w:lang w:val="en-US"/>
        </w:rPr>
        <w:t xml:space="preserve"> the chances of the individual having completed ACT. Each additional point on the psychological inflexibility scale reduces the individual's chances of completing the ACT.</w:t>
      </w:r>
    </w:p>
    <w:p w14:paraId="191B569A" w14:textId="77777777" w:rsidR="00C10C9B" w:rsidRDefault="00C10C9B" w:rsidP="00C10C9B">
      <w:pPr>
        <w:spacing w:line="480" w:lineRule="auto"/>
        <w:jc w:val="both"/>
        <w:rPr>
          <w:lang w:val="en-US"/>
        </w:rPr>
      </w:pPr>
    </w:p>
    <w:p w14:paraId="5727800F" w14:textId="77777777" w:rsidR="00C10C9B" w:rsidRDefault="00C10C9B" w:rsidP="00C10C9B">
      <w:pPr>
        <w:spacing w:line="480" w:lineRule="auto"/>
        <w:jc w:val="both"/>
        <w:rPr>
          <w:lang w:val="en-US"/>
        </w:rPr>
      </w:pPr>
    </w:p>
    <w:p w14:paraId="45BEF2B1" w14:textId="77777777" w:rsidR="00C10C9B" w:rsidRPr="005065A5" w:rsidRDefault="00C10C9B" w:rsidP="00C10C9B">
      <w:pPr>
        <w:spacing w:line="480" w:lineRule="auto"/>
        <w:jc w:val="both"/>
        <w:rPr>
          <w:lang w:val="en-US"/>
        </w:rPr>
      </w:pPr>
    </w:p>
    <w:p w14:paraId="2D60DA57" w14:textId="77777777" w:rsidR="00626D5B" w:rsidRPr="005065A5" w:rsidRDefault="00626D5B" w:rsidP="005065A5">
      <w:pPr>
        <w:jc w:val="both"/>
        <w:rPr>
          <w:lang w:val="en-US"/>
        </w:rPr>
      </w:pPr>
    </w:p>
    <w:p w14:paraId="3519E9FA" w14:textId="30772BD0" w:rsidR="00F95C59" w:rsidRPr="005065A5" w:rsidRDefault="00F95C59" w:rsidP="005065A5">
      <w:pPr>
        <w:jc w:val="both"/>
        <w:rPr>
          <w:lang w:val="en-US"/>
        </w:rPr>
      </w:pPr>
      <w:r w:rsidRPr="005065A5">
        <w:rPr>
          <w:lang w:val="en-US"/>
        </w:rPr>
        <w:t xml:space="preserve">Table 2- </w:t>
      </w:r>
      <w:r w:rsidR="00626D5B" w:rsidRPr="005065A5">
        <w:rPr>
          <w:lang w:val="en-US"/>
        </w:rPr>
        <w:t xml:space="preserve">Factors associated with therapeutic modality in the three moments pre-treatment, post-treatment and 6 month follow up. </w:t>
      </w:r>
    </w:p>
    <w:p w14:paraId="1E3F9F58" w14:textId="77777777" w:rsidR="00F95C59" w:rsidRPr="005065A5" w:rsidRDefault="00F95C59" w:rsidP="005065A5">
      <w:pPr>
        <w:jc w:val="both"/>
        <w:rPr>
          <w:lang w:val="en-US"/>
        </w:rPr>
      </w:pPr>
    </w:p>
    <w:tbl>
      <w:tblPr>
        <w:tblStyle w:val="Tabelacomgrade"/>
        <w:tblW w:w="0" w:type="auto"/>
        <w:tblLook w:val="04A0" w:firstRow="1" w:lastRow="0" w:firstColumn="1" w:lastColumn="0" w:noHBand="0" w:noVBand="1"/>
      </w:tblPr>
      <w:tblGrid>
        <w:gridCol w:w="1838"/>
        <w:gridCol w:w="1701"/>
        <w:gridCol w:w="1701"/>
        <w:gridCol w:w="1843"/>
      </w:tblGrid>
      <w:tr w:rsidR="005065A5" w:rsidRPr="005065A5" w14:paraId="045C8933" w14:textId="77777777" w:rsidTr="004034CC">
        <w:tc>
          <w:tcPr>
            <w:tcW w:w="1838" w:type="dxa"/>
          </w:tcPr>
          <w:p w14:paraId="3B409BDC" w14:textId="77777777" w:rsidR="00F95C59" w:rsidRPr="005065A5" w:rsidRDefault="00F95C59" w:rsidP="005065A5">
            <w:pPr>
              <w:jc w:val="both"/>
              <w:rPr>
                <w:sz w:val="20"/>
                <w:szCs w:val="20"/>
              </w:rPr>
            </w:pPr>
            <w:proofErr w:type="spellStart"/>
            <w:r w:rsidRPr="005065A5">
              <w:rPr>
                <w:sz w:val="20"/>
                <w:szCs w:val="20"/>
              </w:rPr>
              <w:t>Factors</w:t>
            </w:r>
            <w:proofErr w:type="spellEnd"/>
          </w:p>
        </w:tc>
        <w:tc>
          <w:tcPr>
            <w:tcW w:w="1701" w:type="dxa"/>
          </w:tcPr>
          <w:p w14:paraId="38A81599" w14:textId="77777777" w:rsidR="00F95C59" w:rsidRPr="005065A5" w:rsidRDefault="00F95C59" w:rsidP="005065A5">
            <w:pPr>
              <w:jc w:val="both"/>
              <w:rPr>
                <w:sz w:val="20"/>
                <w:szCs w:val="20"/>
              </w:rPr>
            </w:pPr>
            <w:proofErr w:type="spellStart"/>
            <w:r w:rsidRPr="005065A5">
              <w:rPr>
                <w:sz w:val="20"/>
                <w:szCs w:val="20"/>
              </w:rPr>
              <w:t>Pre-treatment</w:t>
            </w:r>
            <w:proofErr w:type="spellEnd"/>
          </w:p>
        </w:tc>
        <w:tc>
          <w:tcPr>
            <w:tcW w:w="1701" w:type="dxa"/>
          </w:tcPr>
          <w:p w14:paraId="23515DC9" w14:textId="77777777" w:rsidR="00F95C59" w:rsidRPr="005065A5" w:rsidRDefault="00F95C59" w:rsidP="005065A5">
            <w:pPr>
              <w:jc w:val="both"/>
              <w:rPr>
                <w:sz w:val="20"/>
                <w:szCs w:val="20"/>
              </w:rPr>
            </w:pPr>
            <w:r w:rsidRPr="005065A5">
              <w:rPr>
                <w:sz w:val="20"/>
                <w:szCs w:val="20"/>
              </w:rPr>
              <w:t>Post-</w:t>
            </w:r>
            <w:proofErr w:type="spellStart"/>
            <w:r w:rsidRPr="005065A5">
              <w:rPr>
                <w:sz w:val="20"/>
                <w:szCs w:val="20"/>
              </w:rPr>
              <w:t>treatment</w:t>
            </w:r>
            <w:proofErr w:type="spellEnd"/>
          </w:p>
        </w:tc>
        <w:tc>
          <w:tcPr>
            <w:tcW w:w="1843" w:type="dxa"/>
          </w:tcPr>
          <w:p w14:paraId="03879B46" w14:textId="77777777" w:rsidR="00F95C59" w:rsidRPr="005065A5" w:rsidRDefault="00F95C59" w:rsidP="005065A5">
            <w:pPr>
              <w:jc w:val="both"/>
              <w:rPr>
                <w:sz w:val="20"/>
                <w:szCs w:val="20"/>
              </w:rPr>
            </w:pPr>
            <w:r w:rsidRPr="005065A5">
              <w:rPr>
                <w:sz w:val="20"/>
                <w:szCs w:val="20"/>
              </w:rPr>
              <w:t xml:space="preserve">6 </w:t>
            </w:r>
            <w:proofErr w:type="spellStart"/>
            <w:r w:rsidRPr="005065A5">
              <w:rPr>
                <w:sz w:val="20"/>
                <w:szCs w:val="20"/>
              </w:rPr>
              <w:t>month</w:t>
            </w:r>
            <w:proofErr w:type="spellEnd"/>
            <w:r w:rsidRPr="005065A5">
              <w:rPr>
                <w:sz w:val="20"/>
                <w:szCs w:val="20"/>
              </w:rPr>
              <w:t xml:space="preserve"> follow-up</w:t>
            </w:r>
          </w:p>
        </w:tc>
      </w:tr>
      <w:tr w:rsidR="005065A5" w:rsidRPr="005065A5" w14:paraId="2C6E70F3" w14:textId="77777777" w:rsidTr="004034CC">
        <w:tc>
          <w:tcPr>
            <w:tcW w:w="1838" w:type="dxa"/>
          </w:tcPr>
          <w:p w14:paraId="6D0828EA" w14:textId="77777777" w:rsidR="00F95C59" w:rsidRPr="005065A5" w:rsidRDefault="00F95C59" w:rsidP="005065A5">
            <w:pPr>
              <w:jc w:val="both"/>
              <w:rPr>
                <w:sz w:val="20"/>
                <w:szCs w:val="20"/>
              </w:rPr>
            </w:pPr>
            <w:proofErr w:type="gramStart"/>
            <w:r w:rsidRPr="005065A5">
              <w:rPr>
                <w:sz w:val="20"/>
                <w:szCs w:val="20"/>
              </w:rPr>
              <w:t>Age(</w:t>
            </w:r>
            <w:proofErr w:type="gramEnd"/>
            <w:r w:rsidRPr="005065A5">
              <w:rPr>
                <w:sz w:val="20"/>
                <w:szCs w:val="20"/>
              </w:rPr>
              <w:t>Years)</w:t>
            </w:r>
          </w:p>
        </w:tc>
        <w:tc>
          <w:tcPr>
            <w:tcW w:w="1701" w:type="dxa"/>
          </w:tcPr>
          <w:p w14:paraId="6D168C78" w14:textId="77777777" w:rsidR="00F95C59" w:rsidRPr="005065A5" w:rsidRDefault="00F95C59" w:rsidP="005065A5">
            <w:pPr>
              <w:jc w:val="both"/>
              <w:rPr>
                <w:sz w:val="20"/>
                <w:szCs w:val="20"/>
              </w:rPr>
            </w:pPr>
            <w:r w:rsidRPr="005065A5">
              <w:rPr>
                <w:sz w:val="20"/>
                <w:szCs w:val="20"/>
              </w:rPr>
              <w:t>1.03[0.99-1.08]</w:t>
            </w:r>
          </w:p>
        </w:tc>
        <w:tc>
          <w:tcPr>
            <w:tcW w:w="1701" w:type="dxa"/>
          </w:tcPr>
          <w:p w14:paraId="1517D45A" w14:textId="77777777" w:rsidR="00F95C59" w:rsidRPr="005065A5" w:rsidRDefault="00F95C59" w:rsidP="005065A5">
            <w:pPr>
              <w:jc w:val="both"/>
              <w:rPr>
                <w:sz w:val="20"/>
                <w:szCs w:val="20"/>
              </w:rPr>
            </w:pPr>
            <w:r w:rsidRPr="005065A5">
              <w:rPr>
                <w:sz w:val="20"/>
                <w:szCs w:val="20"/>
              </w:rPr>
              <w:t>1.03[0.98-1.09]</w:t>
            </w:r>
          </w:p>
        </w:tc>
        <w:tc>
          <w:tcPr>
            <w:tcW w:w="1843" w:type="dxa"/>
          </w:tcPr>
          <w:p w14:paraId="4E3A44CE" w14:textId="77777777" w:rsidR="00F95C59" w:rsidRPr="005065A5" w:rsidRDefault="00F95C59" w:rsidP="005065A5">
            <w:pPr>
              <w:jc w:val="both"/>
              <w:rPr>
                <w:sz w:val="20"/>
                <w:szCs w:val="20"/>
              </w:rPr>
            </w:pPr>
            <w:r w:rsidRPr="005065A5">
              <w:rPr>
                <w:sz w:val="20"/>
                <w:szCs w:val="20"/>
              </w:rPr>
              <w:t>1.03[0.97-1.09]</w:t>
            </w:r>
          </w:p>
        </w:tc>
      </w:tr>
      <w:tr w:rsidR="005065A5" w:rsidRPr="005065A5" w14:paraId="00C082D6" w14:textId="77777777" w:rsidTr="004034CC">
        <w:tc>
          <w:tcPr>
            <w:tcW w:w="1838" w:type="dxa"/>
          </w:tcPr>
          <w:p w14:paraId="23EFD326" w14:textId="77777777" w:rsidR="00F95C59" w:rsidRPr="005065A5" w:rsidRDefault="00F95C59" w:rsidP="005065A5">
            <w:pPr>
              <w:jc w:val="both"/>
              <w:rPr>
                <w:sz w:val="20"/>
                <w:szCs w:val="20"/>
              </w:rPr>
            </w:pPr>
            <w:r w:rsidRPr="005065A5">
              <w:rPr>
                <w:sz w:val="20"/>
                <w:szCs w:val="20"/>
              </w:rPr>
              <w:t>Sex</w:t>
            </w:r>
          </w:p>
        </w:tc>
        <w:tc>
          <w:tcPr>
            <w:tcW w:w="1701" w:type="dxa"/>
          </w:tcPr>
          <w:p w14:paraId="42842D79" w14:textId="77777777" w:rsidR="00F95C59" w:rsidRPr="005065A5" w:rsidRDefault="00F95C59" w:rsidP="005065A5">
            <w:pPr>
              <w:jc w:val="both"/>
              <w:rPr>
                <w:sz w:val="20"/>
                <w:szCs w:val="20"/>
              </w:rPr>
            </w:pPr>
            <w:r w:rsidRPr="005065A5">
              <w:rPr>
                <w:sz w:val="20"/>
                <w:szCs w:val="20"/>
              </w:rPr>
              <w:t>0.79[0.28-2.18]</w:t>
            </w:r>
          </w:p>
        </w:tc>
        <w:tc>
          <w:tcPr>
            <w:tcW w:w="1701" w:type="dxa"/>
          </w:tcPr>
          <w:p w14:paraId="63D15E89" w14:textId="77777777" w:rsidR="00F95C59" w:rsidRPr="005065A5" w:rsidRDefault="00F95C59" w:rsidP="005065A5">
            <w:pPr>
              <w:jc w:val="both"/>
              <w:rPr>
                <w:sz w:val="20"/>
                <w:szCs w:val="20"/>
              </w:rPr>
            </w:pPr>
            <w:r w:rsidRPr="005065A5">
              <w:rPr>
                <w:sz w:val="20"/>
                <w:szCs w:val="20"/>
              </w:rPr>
              <w:t>0.54[0.17-1.71]</w:t>
            </w:r>
          </w:p>
        </w:tc>
        <w:tc>
          <w:tcPr>
            <w:tcW w:w="1843" w:type="dxa"/>
          </w:tcPr>
          <w:p w14:paraId="722496F7" w14:textId="77777777" w:rsidR="00F95C59" w:rsidRPr="005065A5" w:rsidRDefault="00F95C59" w:rsidP="005065A5">
            <w:pPr>
              <w:jc w:val="both"/>
              <w:rPr>
                <w:sz w:val="20"/>
                <w:szCs w:val="20"/>
              </w:rPr>
            </w:pPr>
            <w:r w:rsidRPr="005065A5">
              <w:rPr>
                <w:sz w:val="20"/>
                <w:szCs w:val="20"/>
              </w:rPr>
              <w:t>0.69[0.19-2.51]</w:t>
            </w:r>
          </w:p>
        </w:tc>
      </w:tr>
      <w:tr w:rsidR="005065A5" w:rsidRPr="005065A5" w14:paraId="303970AD" w14:textId="77777777" w:rsidTr="004034CC">
        <w:tc>
          <w:tcPr>
            <w:tcW w:w="1838" w:type="dxa"/>
          </w:tcPr>
          <w:p w14:paraId="7467FE04" w14:textId="77777777" w:rsidR="00F95C59" w:rsidRPr="005065A5" w:rsidRDefault="00F95C59" w:rsidP="005065A5">
            <w:pPr>
              <w:jc w:val="both"/>
              <w:rPr>
                <w:sz w:val="20"/>
                <w:szCs w:val="20"/>
              </w:rPr>
            </w:pPr>
            <w:proofErr w:type="spellStart"/>
            <w:r w:rsidRPr="005065A5">
              <w:rPr>
                <w:sz w:val="20"/>
                <w:szCs w:val="20"/>
              </w:rPr>
              <w:t>Education</w:t>
            </w:r>
            <w:proofErr w:type="spellEnd"/>
            <w:r w:rsidRPr="005065A5">
              <w:rPr>
                <w:sz w:val="20"/>
                <w:szCs w:val="20"/>
              </w:rPr>
              <w:t xml:space="preserve"> </w:t>
            </w:r>
            <w:proofErr w:type="spellStart"/>
            <w:r w:rsidRPr="005065A5">
              <w:rPr>
                <w:sz w:val="20"/>
                <w:szCs w:val="20"/>
              </w:rPr>
              <w:t>level</w:t>
            </w:r>
            <w:proofErr w:type="spellEnd"/>
          </w:p>
        </w:tc>
        <w:tc>
          <w:tcPr>
            <w:tcW w:w="1701" w:type="dxa"/>
          </w:tcPr>
          <w:p w14:paraId="5488DB16" w14:textId="77777777" w:rsidR="00F95C59" w:rsidRPr="005065A5" w:rsidRDefault="00F95C59" w:rsidP="005065A5">
            <w:pPr>
              <w:jc w:val="both"/>
              <w:rPr>
                <w:sz w:val="20"/>
                <w:szCs w:val="20"/>
              </w:rPr>
            </w:pPr>
            <w:r w:rsidRPr="005065A5">
              <w:rPr>
                <w:sz w:val="20"/>
                <w:szCs w:val="20"/>
              </w:rPr>
              <w:t>0.68[0.24-1.91]</w:t>
            </w:r>
          </w:p>
        </w:tc>
        <w:tc>
          <w:tcPr>
            <w:tcW w:w="1701" w:type="dxa"/>
          </w:tcPr>
          <w:p w14:paraId="2149B522" w14:textId="77777777" w:rsidR="00F95C59" w:rsidRPr="005065A5" w:rsidRDefault="00F95C59" w:rsidP="005065A5">
            <w:pPr>
              <w:jc w:val="both"/>
              <w:rPr>
                <w:sz w:val="20"/>
                <w:szCs w:val="20"/>
              </w:rPr>
            </w:pPr>
            <w:r w:rsidRPr="005065A5">
              <w:rPr>
                <w:sz w:val="20"/>
                <w:szCs w:val="20"/>
              </w:rPr>
              <w:t>0.45[0.15-1.31]</w:t>
            </w:r>
          </w:p>
        </w:tc>
        <w:tc>
          <w:tcPr>
            <w:tcW w:w="1843" w:type="dxa"/>
          </w:tcPr>
          <w:p w14:paraId="23B6A089" w14:textId="77777777" w:rsidR="00F95C59" w:rsidRPr="005065A5" w:rsidRDefault="00F95C59" w:rsidP="005065A5">
            <w:pPr>
              <w:jc w:val="both"/>
              <w:rPr>
                <w:sz w:val="20"/>
                <w:szCs w:val="20"/>
              </w:rPr>
            </w:pPr>
            <w:r w:rsidRPr="005065A5">
              <w:rPr>
                <w:sz w:val="20"/>
                <w:szCs w:val="20"/>
              </w:rPr>
              <w:t>0.36[0.09-1.44]</w:t>
            </w:r>
          </w:p>
        </w:tc>
      </w:tr>
      <w:tr w:rsidR="005065A5" w:rsidRPr="005065A5" w14:paraId="078871A6" w14:textId="77777777" w:rsidTr="004034CC">
        <w:tc>
          <w:tcPr>
            <w:tcW w:w="1838" w:type="dxa"/>
          </w:tcPr>
          <w:p w14:paraId="26A46C93" w14:textId="77777777" w:rsidR="00F95C59" w:rsidRPr="005065A5" w:rsidRDefault="00F95C59" w:rsidP="005065A5">
            <w:pPr>
              <w:jc w:val="both"/>
              <w:rPr>
                <w:sz w:val="20"/>
                <w:szCs w:val="20"/>
              </w:rPr>
            </w:pPr>
            <w:r w:rsidRPr="005065A5">
              <w:rPr>
                <w:sz w:val="20"/>
                <w:szCs w:val="20"/>
              </w:rPr>
              <w:t>Marital status</w:t>
            </w:r>
          </w:p>
        </w:tc>
        <w:tc>
          <w:tcPr>
            <w:tcW w:w="1701" w:type="dxa"/>
          </w:tcPr>
          <w:p w14:paraId="0CE60112" w14:textId="77777777" w:rsidR="00F95C59" w:rsidRPr="005065A5" w:rsidRDefault="00F95C59" w:rsidP="005065A5">
            <w:pPr>
              <w:jc w:val="both"/>
              <w:rPr>
                <w:sz w:val="20"/>
                <w:szCs w:val="20"/>
              </w:rPr>
            </w:pPr>
            <w:r w:rsidRPr="005065A5">
              <w:rPr>
                <w:sz w:val="20"/>
                <w:szCs w:val="20"/>
              </w:rPr>
              <w:t>1.78[0.73-4.30]</w:t>
            </w:r>
          </w:p>
        </w:tc>
        <w:tc>
          <w:tcPr>
            <w:tcW w:w="1701" w:type="dxa"/>
          </w:tcPr>
          <w:p w14:paraId="6EC3D5D2" w14:textId="77777777" w:rsidR="00F95C59" w:rsidRPr="005065A5" w:rsidRDefault="00F95C59" w:rsidP="005065A5">
            <w:pPr>
              <w:jc w:val="both"/>
              <w:rPr>
                <w:sz w:val="20"/>
                <w:szCs w:val="20"/>
              </w:rPr>
            </w:pPr>
            <w:r w:rsidRPr="005065A5">
              <w:rPr>
                <w:sz w:val="20"/>
                <w:szCs w:val="20"/>
              </w:rPr>
              <w:t>1.98[0.76-5.14]</w:t>
            </w:r>
          </w:p>
        </w:tc>
        <w:tc>
          <w:tcPr>
            <w:tcW w:w="1843" w:type="dxa"/>
          </w:tcPr>
          <w:p w14:paraId="69EEC1A9" w14:textId="77777777" w:rsidR="00F95C59" w:rsidRPr="005065A5" w:rsidRDefault="00F95C59" w:rsidP="005065A5">
            <w:pPr>
              <w:jc w:val="both"/>
              <w:rPr>
                <w:sz w:val="20"/>
                <w:szCs w:val="20"/>
              </w:rPr>
            </w:pPr>
            <w:r w:rsidRPr="005065A5">
              <w:rPr>
                <w:sz w:val="20"/>
                <w:szCs w:val="20"/>
              </w:rPr>
              <w:t>2.08[0.70-6.22]</w:t>
            </w:r>
          </w:p>
        </w:tc>
      </w:tr>
      <w:tr w:rsidR="005065A5" w:rsidRPr="005065A5" w14:paraId="5FF24E57" w14:textId="77777777" w:rsidTr="004034CC">
        <w:tc>
          <w:tcPr>
            <w:tcW w:w="1838" w:type="dxa"/>
          </w:tcPr>
          <w:p w14:paraId="187CAD72" w14:textId="77777777" w:rsidR="00F95C59" w:rsidRPr="005065A5" w:rsidRDefault="00F95C59" w:rsidP="005065A5">
            <w:pPr>
              <w:jc w:val="both"/>
              <w:rPr>
                <w:sz w:val="20"/>
                <w:szCs w:val="20"/>
              </w:rPr>
            </w:pPr>
            <w:proofErr w:type="spellStart"/>
            <w:r w:rsidRPr="005065A5">
              <w:rPr>
                <w:color w:val="000000"/>
                <w:sz w:val="20"/>
                <w:szCs w:val="20"/>
              </w:rPr>
              <w:lastRenderedPageBreak/>
              <w:t>Ethnicity</w:t>
            </w:r>
            <w:proofErr w:type="spellEnd"/>
          </w:p>
        </w:tc>
        <w:tc>
          <w:tcPr>
            <w:tcW w:w="1701" w:type="dxa"/>
          </w:tcPr>
          <w:p w14:paraId="0216B47A" w14:textId="77777777" w:rsidR="00F95C59" w:rsidRPr="005065A5" w:rsidRDefault="00F95C59" w:rsidP="005065A5">
            <w:pPr>
              <w:jc w:val="both"/>
              <w:rPr>
                <w:sz w:val="20"/>
                <w:szCs w:val="20"/>
              </w:rPr>
            </w:pPr>
            <w:r w:rsidRPr="005065A5">
              <w:rPr>
                <w:sz w:val="20"/>
                <w:szCs w:val="20"/>
              </w:rPr>
              <w:t>2.86[1.07-7.64]</w:t>
            </w:r>
          </w:p>
        </w:tc>
        <w:tc>
          <w:tcPr>
            <w:tcW w:w="1701" w:type="dxa"/>
          </w:tcPr>
          <w:p w14:paraId="3C16596D" w14:textId="77777777" w:rsidR="00F95C59" w:rsidRPr="005065A5" w:rsidRDefault="00F95C59" w:rsidP="005065A5">
            <w:pPr>
              <w:jc w:val="both"/>
              <w:rPr>
                <w:sz w:val="20"/>
                <w:szCs w:val="20"/>
              </w:rPr>
            </w:pPr>
            <w:r w:rsidRPr="005065A5">
              <w:rPr>
                <w:sz w:val="20"/>
                <w:szCs w:val="20"/>
              </w:rPr>
              <w:t>2.37[0.85-6.63]</w:t>
            </w:r>
          </w:p>
        </w:tc>
        <w:tc>
          <w:tcPr>
            <w:tcW w:w="1843" w:type="dxa"/>
          </w:tcPr>
          <w:p w14:paraId="407191C7" w14:textId="6EBEEA3B" w:rsidR="00F95C59" w:rsidRPr="005065A5" w:rsidRDefault="00F95C59" w:rsidP="005065A5">
            <w:pPr>
              <w:jc w:val="both"/>
              <w:rPr>
                <w:sz w:val="20"/>
                <w:szCs w:val="20"/>
              </w:rPr>
            </w:pPr>
            <w:r w:rsidRPr="005065A5">
              <w:rPr>
                <w:sz w:val="20"/>
                <w:szCs w:val="20"/>
              </w:rPr>
              <w:t>2.63[0.77-8.95</w:t>
            </w:r>
            <w:r w:rsidR="00A13185">
              <w:rPr>
                <w:sz w:val="20"/>
                <w:szCs w:val="20"/>
              </w:rPr>
              <w:t>]</w:t>
            </w:r>
          </w:p>
        </w:tc>
      </w:tr>
      <w:tr w:rsidR="005065A5" w:rsidRPr="005065A5" w14:paraId="160A38D9" w14:textId="77777777" w:rsidTr="004034CC">
        <w:tc>
          <w:tcPr>
            <w:tcW w:w="1838" w:type="dxa"/>
          </w:tcPr>
          <w:p w14:paraId="6DB451A5" w14:textId="77777777" w:rsidR="00F95C59" w:rsidRPr="005065A5" w:rsidRDefault="00F95C59" w:rsidP="005065A5">
            <w:pPr>
              <w:jc w:val="both"/>
              <w:rPr>
                <w:sz w:val="20"/>
                <w:szCs w:val="20"/>
              </w:rPr>
            </w:pPr>
          </w:p>
        </w:tc>
        <w:tc>
          <w:tcPr>
            <w:tcW w:w="1701" w:type="dxa"/>
          </w:tcPr>
          <w:p w14:paraId="39AD1250" w14:textId="77777777" w:rsidR="00F95C59" w:rsidRPr="005065A5" w:rsidRDefault="00F95C59" w:rsidP="005065A5">
            <w:pPr>
              <w:jc w:val="both"/>
              <w:rPr>
                <w:sz w:val="20"/>
                <w:szCs w:val="20"/>
              </w:rPr>
            </w:pPr>
          </w:p>
        </w:tc>
        <w:tc>
          <w:tcPr>
            <w:tcW w:w="1701" w:type="dxa"/>
          </w:tcPr>
          <w:p w14:paraId="3FA46C24" w14:textId="77777777" w:rsidR="00F95C59" w:rsidRPr="005065A5" w:rsidRDefault="00F95C59" w:rsidP="005065A5">
            <w:pPr>
              <w:jc w:val="both"/>
              <w:rPr>
                <w:sz w:val="20"/>
                <w:szCs w:val="20"/>
              </w:rPr>
            </w:pPr>
          </w:p>
        </w:tc>
        <w:tc>
          <w:tcPr>
            <w:tcW w:w="1843" w:type="dxa"/>
          </w:tcPr>
          <w:p w14:paraId="21D57C31" w14:textId="77777777" w:rsidR="00F95C59" w:rsidRPr="005065A5" w:rsidRDefault="00F95C59" w:rsidP="005065A5">
            <w:pPr>
              <w:jc w:val="both"/>
              <w:rPr>
                <w:sz w:val="20"/>
                <w:szCs w:val="20"/>
              </w:rPr>
            </w:pPr>
          </w:p>
        </w:tc>
      </w:tr>
      <w:tr w:rsidR="005065A5" w:rsidRPr="005065A5" w14:paraId="3A02BBE5" w14:textId="77777777" w:rsidTr="004034CC">
        <w:tc>
          <w:tcPr>
            <w:tcW w:w="1838" w:type="dxa"/>
          </w:tcPr>
          <w:p w14:paraId="21339687" w14:textId="77777777" w:rsidR="00F95C59" w:rsidRPr="005065A5" w:rsidRDefault="00F95C59" w:rsidP="005065A5">
            <w:pPr>
              <w:jc w:val="both"/>
              <w:rPr>
                <w:sz w:val="20"/>
                <w:szCs w:val="20"/>
              </w:rPr>
            </w:pPr>
            <w:r w:rsidRPr="005065A5">
              <w:rPr>
                <w:sz w:val="20"/>
                <w:szCs w:val="20"/>
                <w:lang w:val="en-US"/>
              </w:rPr>
              <w:t>ISI</w:t>
            </w:r>
          </w:p>
        </w:tc>
        <w:tc>
          <w:tcPr>
            <w:tcW w:w="1701" w:type="dxa"/>
          </w:tcPr>
          <w:p w14:paraId="53228DA3" w14:textId="77777777" w:rsidR="00F95C59" w:rsidRPr="005065A5" w:rsidRDefault="00F95C59" w:rsidP="005065A5">
            <w:pPr>
              <w:jc w:val="both"/>
              <w:rPr>
                <w:sz w:val="20"/>
                <w:szCs w:val="20"/>
              </w:rPr>
            </w:pPr>
            <w:r w:rsidRPr="005065A5">
              <w:rPr>
                <w:sz w:val="20"/>
                <w:szCs w:val="20"/>
              </w:rPr>
              <w:t>1.01[0.90-1.14]</w:t>
            </w:r>
          </w:p>
        </w:tc>
        <w:tc>
          <w:tcPr>
            <w:tcW w:w="1701" w:type="dxa"/>
          </w:tcPr>
          <w:p w14:paraId="6FA082D3" w14:textId="77777777" w:rsidR="00F95C59" w:rsidRPr="005065A5" w:rsidRDefault="00F95C59" w:rsidP="005065A5">
            <w:pPr>
              <w:jc w:val="both"/>
              <w:rPr>
                <w:sz w:val="20"/>
                <w:szCs w:val="20"/>
              </w:rPr>
            </w:pPr>
            <w:r w:rsidRPr="005065A5">
              <w:rPr>
                <w:sz w:val="20"/>
                <w:szCs w:val="20"/>
              </w:rPr>
              <w:t>1.01[0.89-1.14]</w:t>
            </w:r>
          </w:p>
        </w:tc>
        <w:tc>
          <w:tcPr>
            <w:tcW w:w="1843" w:type="dxa"/>
          </w:tcPr>
          <w:p w14:paraId="7BC7C5F8" w14:textId="77777777" w:rsidR="00F95C59" w:rsidRPr="005065A5" w:rsidRDefault="00F95C59" w:rsidP="005065A5">
            <w:pPr>
              <w:jc w:val="both"/>
              <w:rPr>
                <w:sz w:val="20"/>
                <w:szCs w:val="20"/>
              </w:rPr>
            </w:pPr>
            <w:r w:rsidRPr="005065A5">
              <w:rPr>
                <w:sz w:val="20"/>
                <w:szCs w:val="20"/>
              </w:rPr>
              <w:t>0.89[0.79-1.01]</w:t>
            </w:r>
          </w:p>
        </w:tc>
      </w:tr>
      <w:tr w:rsidR="005065A5" w:rsidRPr="005065A5" w14:paraId="76EA18FB" w14:textId="77777777" w:rsidTr="004034CC">
        <w:tc>
          <w:tcPr>
            <w:tcW w:w="1838" w:type="dxa"/>
          </w:tcPr>
          <w:p w14:paraId="15EF2353" w14:textId="77777777" w:rsidR="00F95C59" w:rsidRPr="005065A5" w:rsidRDefault="00F95C59" w:rsidP="005065A5">
            <w:pPr>
              <w:jc w:val="both"/>
              <w:rPr>
                <w:sz w:val="20"/>
                <w:szCs w:val="20"/>
              </w:rPr>
            </w:pPr>
            <w:r w:rsidRPr="005065A5">
              <w:rPr>
                <w:sz w:val="20"/>
                <w:szCs w:val="20"/>
                <w:lang w:val="en-US"/>
              </w:rPr>
              <w:t>HADS-A</w:t>
            </w:r>
          </w:p>
        </w:tc>
        <w:tc>
          <w:tcPr>
            <w:tcW w:w="1701" w:type="dxa"/>
          </w:tcPr>
          <w:p w14:paraId="122AE68B" w14:textId="77777777" w:rsidR="00F95C59" w:rsidRPr="005065A5" w:rsidRDefault="00F95C59" w:rsidP="005065A5">
            <w:pPr>
              <w:jc w:val="both"/>
              <w:rPr>
                <w:sz w:val="20"/>
                <w:szCs w:val="20"/>
              </w:rPr>
            </w:pPr>
            <w:r w:rsidRPr="005065A5">
              <w:rPr>
                <w:sz w:val="20"/>
                <w:szCs w:val="20"/>
              </w:rPr>
              <w:t>1.04[0.90-1.21]</w:t>
            </w:r>
          </w:p>
        </w:tc>
        <w:tc>
          <w:tcPr>
            <w:tcW w:w="1701" w:type="dxa"/>
          </w:tcPr>
          <w:p w14:paraId="12DB2F9A" w14:textId="77777777" w:rsidR="00F95C59" w:rsidRPr="005065A5" w:rsidRDefault="00F95C59" w:rsidP="005065A5">
            <w:pPr>
              <w:jc w:val="both"/>
              <w:rPr>
                <w:sz w:val="20"/>
                <w:szCs w:val="20"/>
              </w:rPr>
            </w:pPr>
            <w:r w:rsidRPr="005065A5">
              <w:rPr>
                <w:sz w:val="20"/>
                <w:szCs w:val="20"/>
              </w:rPr>
              <w:t>1.14[0.93-1.39]</w:t>
            </w:r>
          </w:p>
        </w:tc>
        <w:tc>
          <w:tcPr>
            <w:tcW w:w="1843" w:type="dxa"/>
          </w:tcPr>
          <w:p w14:paraId="7DBDD6E5" w14:textId="77777777" w:rsidR="00F95C59" w:rsidRPr="005065A5" w:rsidRDefault="00F95C59" w:rsidP="005065A5">
            <w:pPr>
              <w:jc w:val="both"/>
              <w:rPr>
                <w:sz w:val="20"/>
                <w:szCs w:val="20"/>
              </w:rPr>
            </w:pPr>
            <w:r w:rsidRPr="005065A5">
              <w:rPr>
                <w:sz w:val="20"/>
                <w:szCs w:val="20"/>
              </w:rPr>
              <w:t>1.27[1.00-1.</w:t>
            </w:r>
            <w:proofErr w:type="gramStart"/>
            <w:r w:rsidRPr="005065A5">
              <w:rPr>
                <w:sz w:val="20"/>
                <w:szCs w:val="20"/>
              </w:rPr>
              <w:t>61]*</w:t>
            </w:r>
            <w:proofErr w:type="gramEnd"/>
          </w:p>
        </w:tc>
      </w:tr>
      <w:tr w:rsidR="005065A5" w:rsidRPr="005065A5" w14:paraId="300EFD1B" w14:textId="77777777" w:rsidTr="004034CC">
        <w:tc>
          <w:tcPr>
            <w:tcW w:w="1838" w:type="dxa"/>
          </w:tcPr>
          <w:p w14:paraId="0DCD56E3" w14:textId="77777777" w:rsidR="00F95C59" w:rsidRPr="005065A5" w:rsidRDefault="00F95C59" w:rsidP="005065A5">
            <w:pPr>
              <w:jc w:val="both"/>
              <w:rPr>
                <w:sz w:val="20"/>
                <w:szCs w:val="20"/>
              </w:rPr>
            </w:pPr>
            <w:r w:rsidRPr="005065A5">
              <w:rPr>
                <w:sz w:val="20"/>
                <w:szCs w:val="20"/>
                <w:lang w:val="en-US"/>
              </w:rPr>
              <w:t>HADS-D</w:t>
            </w:r>
          </w:p>
        </w:tc>
        <w:tc>
          <w:tcPr>
            <w:tcW w:w="1701" w:type="dxa"/>
          </w:tcPr>
          <w:p w14:paraId="198B0621" w14:textId="77777777" w:rsidR="00F95C59" w:rsidRPr="005065A5" w:rsidRDefault="00F95C59" w:rsidP="005065A5">
            <w:pPr>
              <w:jc w:val="both"/>
              <w:rPr>
                <w:sz w:val="20"/>
                <w:szCs w:val="20"/>
              </w:rPr>
            </w:pPr>
            <w:r w:rsidRPr="005065A5">
              <w:rPr>
                <w:sz w:val="20"/>
                <w:szCs w:val="20"/>
              </w:rPr>
              <w:t>0.93[0.80-1.07]</w:t>
            </w:r>
          </w:p>
        </w:tc>
        <w:tc>
          <w:tcPr>
            <w:tcW w:w="1701" w:type="dxa"/>
          </w:tcPr>
          <w:p w14:paraId="0576D44B" w14:textId="77777777" w:rsidR="00F95C59" w:rsidRPr="005065A5" w:rsidRDefault="00F95C59" w:rsidP="005065A5">
            <w:pPr>
              <w:jc w:val="both"/>
              <w:rPr>
                <w:sz w:val="20"/>
                <w:szCs w:val="20"/>
              </w:rPr>
            </w:pPr>
            <w:r w:rsidRPr="005065A5">
              <w:rPr>
                <w:sz w:val="20"/>
                <w:szCs w:val="20"/>
              </w:rPr>
              <w:t>1.05[0.87-1.26]</w:t>
            </w:r>
          </w:p>
        </w:tc>
        <w:tc>
          <w:tcPr>
            <w:tcW w:w="1843" w:type="dxa"/>
          </w:tcPr>
          <w:p w14:paraId="3ABAEC7B" w14:textId="77777777" w:rsidR="00F95C59" w:rsidRPr="005065A5" w:rsidRDefault="00F95C59" w:rsidP="005065A5">
            <w:pPr>
              <w:jc w:val="both"/>
              <w:rPr>
                <w:sz w:val="20"/>
                <w:szCs w:val="20"/>
              </w:rPr>
            </w:pPr>
            <w:r w:rsidRPr="005065A5">
              <w:rPr>
                <w:sz w:val="20"/>
                <w:szCs w:val="20"/>
              </w:rPr>
              <w:t>0.99[0.82-1.20]</w:t>
            </w:r>
          </w:p>
        </w:tc>
      </w:tr>
      <w:tr w:rsidR="005065A5" w:rsidRPr="005065A5" w14:paraId="7C1DB8C8" w14:textId="77777777" w:rsidTr="004034CC">
        <w:tc>
          <w:tcPr>
            <w:tcW w:w="1838" w:type="dxa"/>
          </w:tcPr>
          <w:p w14:paraId="4A10C728" w14:textId="77777777" w:rsidR="00F95C59" w:rsidRPr="005065A5" w:rsidRDefault="00F95C59" w:rsidP="005065A5">
            <w:pPr>
              <w:jc w:val="both"/>
              <w:rPr>
                <w:sz w:val="20"/>
                <w:szCs w:val="20"/>
              </w:rPr>
            </w:pPr>
          </w:p>
        </w:tc>
        <w:tc>
          <w:tcPr>
            <w:tcW w:w="1701" w:type="dxa"/>
          </w:tcPr>
          <w:p w14:paraId="00B514EA" w14:textId="77777777" w:rsidR="00F95C59" w:rsidRPr="005065A5" w:rsidRDefault="00F95C59" w:rsidP="005065A5">
            <w:pPr>
              <w:jc w:val="both"/>
              <w:rPr>
                <w:sz w:val="20"/>
                <w:szCs w:val="20"/>
              </w:rPr>
            </w:pPr>
          </w:p>
        </w:tc>
        <w:tc>
          <w:tcPr>
            <w:tcW w:w="1701" w:type="dxa"/>
          </w:tcPr>
          <w:p w14:paraId="3DEFFE25" w14:textId="77777777" w:rsidR="00F95C59" w:rsidRPr="005065A5" w:rsidRDefault="00F95C59" w:rsidP="005065A5">
            <w:pPr>
              <w:jc w:val="both"/>
              <w:rPr>
                <w:sz w:val="20"/>
                <w:szCs w:val="20"/>
              </w:rPr>
            </w:pPr>
          </w:p>
        </w:tc>
        <w:tc>
          <w:tcPr>
            <w:tcW w:w="1843" w:type="dxa"/>
          </w:tcPr>
          <w:p w14:paraId="3AF5A091" w14:textId="77777777" w:rsidR="00F95C59" w:rsidRPr="005065A5" w:rsidRDefault="00F95C59" w:rsidP="005065A5">
            <w:pPr>
              <w:jc w:val="both"/>
              <w:rPr>
                <w:sz w:val="20"/>
                <w:szCs w:val="20"/>
              </w:rPr>
            </w:pPr>
          </w:p>
        </w:tc>
      </w:tr>
      <w:tr w:rsidR="005065A5" w:rsidRPr="005065A5" w14:paraId="6D363913" w14:textId="77777777" w:rsidTr="004034CC">
        <w:tc>
          <w:tcPr>
            <w:tcW w:w="1838" w:type="dxa"/>
          </w:tcPr>
          <w:p w14:paraId="1B46D642" w14:textId="77777777" w:rsidR="00F95C59" w:rsidRPr="005065A5" w:rsidRDefault="00F95C59" w:rsidP="005065A5">
            <w:pPr>
              <w:jc w:val="both"/>
              <w:rPr>
                <w:sz w:val="20"/>
                <w:szCs w:val="20"/>
              </w:rPr>
            </w:pPr>
            <w:r w:rsidRPr="005065A5">
              <w:rPr>
                <w:sz w:val="20"/>
                <w:szCs w:val="20"/>
                <w:lang w:val="en-US"/>
              </w:rPr>
              <w:t>AAQ-II</w:t>
            </w:r>
          </w:p>
        </w:tc>
        <w:tc>
          <w:tcPr>
            <w:tcW w:w="1701" w:type="dxa"/>
          </w:tcPr>
          <w:p w14:paraId="0796505C" w14:textId="77777777" w:rsidR="00F95C59" w:rsidRPr="005065A5" w:rsidRDefault="00F95C59" w:rsidP="005065A5">
            <w:pPr>
              <w:jc w:val="both"/>
              <w:rPr>
                <w:sz w:val="20"/>
                <w:szCs w:val="20"/>
              </w:rPr>
            </w:pPr>
            <w:r w:rsidRPr="005065A5">
              <w:rPr>
                <w:sz w:val="20"/>
                <w:szCs w:val="20"/>
              </w:rPr>
              <w:t>1.00[0.93-1.07]</w:t>
            </w:r>
          </w:p>
        </w:tc>
        <w:tc>
          <w:tcPr>
            <w:tcW w:w="1701" w:type="dxa"/>
          </w:tcPr>
          <w:p w14:paraId="2C959D9C" w14:textId="77777777" w:rsidR="00F95C59" w:rsidRPr="005065A5" w:rsidRDefault="00F95C59" w:rsidP="005065A5">
            <w:pPr>
              <w:jc w:val="both"/>
              <w:rPr>
                <w:sz w:val="20"/>
                <w:szCs w:val="20"/>
              </w:rPr>
            </w:pPr>
            <w:r w:rsidRPr="005065A5">
              <w:rPr>
                <w:sz w:val="20"/>
                <w:szCs w:val="20"/>
              </w:rPr>
              <w:t>0.89[0.81-0.</w:t>
            </w:r>
            <w:proofErr w:type="gramStart"/>
            <w:r w:rsidRPr="005065A5">
              <w:rPr>
                <w:sz w:val="20"/>
                <w:szCs w:val="20"/>
              </w:rPr>
              <w:t>98]*</w:t>
            </w:r>
            <w:proofErr w:type="gramEnd"/>
          </w:p>
        </w:tc>
        <w:tc>
          <w:tcPr>
            <w:tcW w:w="1843" w:type="dxa"/>
          </w:tcPr>
          <w:p w14:paraId="02CC2864" w14:textId="77777777" w:rsidR="00F95C59" w:rsidRPr="005065A5" w:rsidRDefault="00F95C59" w:rsidP="005065A5">
            <w:pPr>
              <w:jc w:val="both"/>
              <w:rPr>
                <w:sz w:val="20"/>
                <w:szCs w:val="20"/>
              </w:rPr>
            </w:pPr>
            <w:r w:rsidRPr="005065A5">
              <w:rPr>
                <w:sz w:val="20"/>
                <w:szCs w:val="20"/>
              </w:rPr>
              <w:t>0.86[0.76-0.</w:t>
            </w:r>
            <w:proofErr w:type="gramStart"/>
            <w:r w:rsidRPr="005065A5">
              <w:rPr>
                <w:sz w:val="20"/>
                <w:szCs w:val="20"/>
              </w:rPr>
              <w:t>97]*</w:t>
            </w:r>
            <w:proofErr w:type="gramEnd"/>
          </w:p>
        </w:tc>
      </w:tr>
      <w:tr w:rsidR="005065A5" w:rsidRPr="005065A5" w14:paraId="48DB8660" w14:textId="77777777" w:rsidTr="004034CC">
        <w:tc>
          <w:tcPr>
            <w:tcW w:w="1838" w:type="dxa"/>
          </w:tcPr>
          <w:p w14:paraId="54388950" w14:textId="77777777" w:rsidR="00F95C59" w:rsidRPr="005065A5" w:rsidRDefault="00F95C59" w:rsidP="005065A5">
            <w:pPr>
              <w:jc w:val="both"/>
              <w:rPr>
                <w:sz w:val="20"/>
                <w:szCs w:val="20"/>
              </w:rPr>
            </w:pPr>
            <w:r w:rsidRPr="005065A5">
              <w:rPr>
                <w:sz w:val="20"/>
                <w:szCs w:val="20"/>
                <w:lang w:val="en-US"/>
              </w:rPr>
              <w:t>SPAQ</w:t>
            </w:r>
          </w:p>
        </w:tc>
        <w:tc>
          <w:tcPr>
            <w:tcW w:w="1701" w:type="dxa"/>
          </w:tcPr>
          <w:p w14:paraId="17F892C3" w14:textId="77777777" w:rsidR="00F95C59" w:rsidRPr="005065A5" w:rsidRDefault="00F95C59" w:rsidP="005065A5">
            <w:pPr>
              <w:jc w:val="both"/>
              <w:rPr>
                <w:sz w:val="20"/>
                <w:szCs w:val="20"/>
              </w:rPr>
            </w:pPr>
            <w:r w:rsidRPr="005065A5">
              <w:rPr>
                <w:sz w:val="20"/>
                <w:szCs w:val="20"/>
              </w:rPr>
              <w:t>0.96[0.89-1.03]</w:t>
            </w:r>
          </w:p>
        </w:tc>
        <w:tc>
          <w:tcPr>
            <w:tcW w:w="1701" w:type="dxa"/>
          </w:tcPr>
          <w:p w14:paraId="36230E5E" w14:textId="77777777" w:rsidR="00F95C59" w:rsidRPr="005065A5" w:rsidRDefault="00F95C59" w:rsidP="005065A5">
            <w:pPr>
              <w:jc w:val="both"/>
              <w:rPr>
                <w:sz w:val="20"/>
                <w:szCs w:val="20"/>
              </w:rPr>
            </w:pPr>
            <w:r w:rsidRPr="005065A5">
              <w:rPr>
                <w:sz w:val="20"/>
                <w:szCs w:val="20"/>
              </w:rPr>
              <w:t>0.93[0.87-1.00]</w:t>
            </w:r>
          </w:p>
        </w:tc>
        <w:tc>
          <w:tcPr>
            <w:tcW w:w="1843" w:type="dxa"/>
          </w:tcPr>
          <w:p w14:paraId="79EB0995" w14:textId="77777777" w:rsidR="00F95C59" w:rsidRPr="005065A5" w:rsidRDefault="00F95C59" w:rsidP="005065A5">
            <w:pPr>
              <w:jc w:val="both"/>
              <w:rPr>
                <w:sz w:val="20"/>
                <w:szCs w:val="20"/>
              </w:rPr>
            </w:pPr>
            <w:r w:rsidRPr="005065A5">
              <w:rPr>
                <w:sz w:val="20"/>
                <w:szCs w:val="20"/>
              </w:rPr>
              <w:t>0.98[0.91-1.05]</w:t>
            </w:r>
          </w:p>
        </w:tc>
      </w:tr>
      <w:tr w:rsidR="005065A5" w:rsidRPr="005065A5" w14:paraId="623AE41A" w14:textId="77777777" w:rsidTr="004034CC">
        <w:tc>
          <w:tcPr>
            <w:tcW w:w="1838" w:type="dxa"/>
          </w:tcPr>
          <w:p w14:paraId="28BEE46C" w14:textId="77777777" w:rsidR="00F95C59" w:rsidRPr="005065A5" w:rsidRDefault="00F95C59" w:rsidP="005065A5">
            <w:pPr>
              <w:jc w:val="both"/>
              <w:rPr>
                <w:sz w:val="20"/>
                <w:szCs w:val="20"/>
              </w:rPr>
            </w:pPr>
            <w:r w:rsidRPr="005065A5">
              <w:rPr>
                <w:sz w:val="20"/>
                <w:szCs w:val="20"/>
                <w:lang w:val="en-US"/>
              </w:rPr>
              <w:t>DBAS</w:t>
            </w:r>
          </w:p>
        </w:tc>
        <w:tc>
          <w:tcPr>
            <w:tcW w:w="1701" w:type="dxa"/>
          </w:tcPr>
          <w:p w14:paraId="3E4DCB04" w14:textId="77777777" w:rsidR="00F95C59" w:rsidRPr="005065A5" w:rsidRDefault="00F95C59" w:rsidP="005065A5">
            <w:pPr>
              <w:jc w:val="both"/>
              <w:rPr>
                <w:sz w:val="20"/>
                <w:szCs w:val="20"/>
              </w:rPr>
            </w:pPr>
            <w:r w:rsidRPr="005065A5">
              <w:rPr>
                <w:sz w:val="20"/>
                <w:szCs w:val="20"/>
              </w:rPr>
              <w:t>0.99[0.97-1.01]</w:t>
            </w:r>
          </w:p>
        </w:tc>
        <w:tc>
          <w:tcPr>
            <w:tcW w:w="1701" w:type="dxa"/>
          </w:tcPr>
          <w:p w14:paraId="497232BE" w14:textId="77777777" w:rsidR="00F95C59" w:rsidRPr="005065A5" w:rsidRDefault="00F95C59" w:rsidP="005065A5">
            <w:pPr>
              <w:jc w:val="both"/>
              <w:rPr>
                <w:sz w:val="20"/>
                <w:szCs w:val="20"/>
              </w:rPr>
            </w:pPr>
            <w:r w:rsidRPr="005065A5">
              <w:rPr>
                <w:sz w:val="20"/>
                <w:szCs w:val="20"/>
              </w:rPr>
              <w:t>0.98[0.95-1.00]</w:t>
            </w:r>
          </w:p>
        </w:tc>
        <w:tc>
          <w:tcPr>
            <w:tcW w:w="1843" w:type="dxa"/>
          </w:tcPr>
          <w:p w14:paraId="3D117824" w14:textId="77777777" w:rsidR="00F95C59" w:rsidRPr="005065A5" w:rsidRDefault="00F95C59" w:rsidP="005065A5">
            <w:pPr>
              <w:jc w:val="both"/>
              <w:rPr>
                <w:sz w:val="20"/>
                <w:szCs w:val="20"/>
              </w:rPr>
            </w:pPr>
            <w:r w:rsidRPr="005065A5">
              <w:rPr>
                <w:sz w:val="20"/>
                <w:szCs w:val="20"/>
              </w:rPr>
              <w:t>0.99[0.97-1.01]</w:t>
            </w:r>
          </w:p>
        </w:tc>
      </w:tr>
      <w:tr w:rsidR="005065A5" w:rsidRPr="005065A5" w14:paraId="08B1801A" w14:textId="77777777" w:rsidTr="004034CC">
        <w:tc>
          <w:tcPr>
            <w:tcW w:w="1838" w:type="dxa"/>
          </w:tcPr>
          <w:p w14:paraId="084DB049" w14:textId="77777777" w:rsidR="00F95C59" w:rsidRPr="005065A5" w:rsidRDefault="00F95C59" w:rsidP="005065A5">
            <w:pPr>
              <w:jc w:val="both"/>
              <w:rPr>
                <w:sz w:val="20"/>
                <w:szCs w:val="20"/>
              </w:rPr>
            </w:pPr>
            <w:proofErr w:type="spellStart"/>
            <w:r w:rsidRPr="005065A5">
              <w:rPr>
                <w:color w:val="000000"/>
                <w:sz w:val="20"/>
                <w:szCs w:val="20"/>
              </w:rPr>
              <w:t>Neuroticism</w:t>
            </w:r>
            <w:proofErr w:type="spellEnd"/>
          </w:p>
        </w:tc>
        <w:tc>
          <w:tcPr>
            <w:tcW w:w="1701" w:type="dxa"/>
          </w:tcPr>
          <w:p w14:paraId="27709725" w14:textId="77777777" w:rsidR="00F95C59" w:rsidRPr="005065A5" w:rsidRDefault="00F95C59" w:rsidP="005065A5">
            <w:pPr>
              <w:jc w:val="both"/>
              <w:rPr>
                <w:sz w:val="20"/>
                <w:szCs w:val="20"/>
              </w:rPr>
            </w:pPr>
            <w:r w:rsidRPr="005065A5">
              <w:rPr>
                <w:sz w:val="20"/>
                <w:szCs w:val="20"/>
              </w:rPr>
              <w:t>0.99[0.94-1.04]</w:t>
            </w:r>
          </w:p>
        </w:tc>
        <w:tc>
          <w:tcPr>
            <w:tcW w:w="1701" w:type="dxa"/>
          </w:tcPr>
          <w:p w14:paraId="256329E1" w14:textId="77777777" w:rsidR="00F95C59" w:rsidRPr="005065A5" w:rsidRDefault="00F95C59" w:rsidP="005065A5">
            <w:pPr>
              <w:jc w:val="both"/>
              <w:rPr>
                <w:sz w:val="20"/>
                <w:szCs w:val="20"/>
              </w:rPr>
            </w:pPr>
            <w:r w:rsidRPr="005065A5">
              <w:rPr>
                <w:sz w:val="20"/>
                <w:szCs w:val="20"/>
              </w:rPr>
              <w:t>1.00[0.95-1.05]</w:t>
            </w:r>
          </w:p>
        </w:tc>
        <w:tc>
          <w:tcPr>
            <w:tcW w:w="1843" w:type="dxa"/>
          </w:tcPr>
          <w:p w14:paraId="684A627F" w14:textId="77777777" w:rsidR="00F95C59" w:rsidRPr="005065A5" w:rsidRDefault="00F95C59" w:rsidP="005065A5">
            <w:pPr>
              <w:jc w:val="both"/>
              <w:rPr>
                <w:sz w:val="20"/>
                <w:szCs w:val="20"/>
              </w:rPr>
            </w:pPr>
            <w:r w:rsidRPr="005065A5">
              <w:rPr>
                <w:sz w:val="20"/>
                <w:szCs w:val="20"/>
              </w:rPr>
              <w:t>1.00[0.94-1.06]</w:t>
            </w:r>
          </w:p>
        </w:tc>
      </w:tr>
      <w:tr w:rsidR="005065A5" w:rsidRPr="005065A5" w14:paraId="0C9BB34F" w14:textId="77777777" w:rsidTr="004034CC">
        <w:tc>
          <w:tcPr>
            <w:tcW w:w="1838" w:type="dxa"/>
          </w:tcPr>
          <w:p w14:paraId="1C8C1062" w14:textId="77777777" w:rsidR="00F95C59" w:rsidRPr="005065A5" w:rsidRDefault="00F95C59" w:rsidP="005065A5">
            <w:pPr>
              <w:jc w:val="both"/>
              <w:rPr>
                <w:color w:val="000000"/>
                <w:sz w:val="20"/>
                <w:szCs w:val="20"/>
              </w:rPr>
            </w:pPr>
            <w:proofErr w:type="spellStart"/>
            <w:r w:rsidRPr="005065A5">
              <w:rPr>
                <w:color w:val="000000"/>
                <w:sz w:val="20"/>
                <w:szCs w:val="20"/>
              </w:rPr>
              <w:t>Extroversion</w:t>
            </w:r>
            <w:proofErr w:type="spellEnd"/>
          </w:p>
        </w:tc>
        <w:tc>
          <w:tcPr>
            <w:tcW w:w="1701" w:type="dxa"/>
          </w:tcPr>
          <w:p w14:paraId="445D3626" w14:textId="77777777" w:rsidR="00F95C59" w:rsidRPr="005065A5" w:rsidRDefault="00F95C59" w:rsidP="005065A5">
            <w:pPr>
              <w:jc w:val="both"/>
              <w:rPr>
                <w:sz w:val="20"/>
                <w:szCs w:val="20"/>
              </w:rPr>
            </w:pPr>
            <w:r w:rsidRPr="005065A5">
              <w:rPr>
                <w:sz w:val="20"/>
                <w:szCs w:val="20"/>
              </w:rPr>
              <w:t>1.00[0.95-1.04]</w:t>
            </w:r>
          </w:p>
        </w:tc>
        <w:tc>
          <w:tcPr>
            <w:tcW w:w="1701" w:type="dxa"/>
          </w:tcPr>
          <w:p w14:paraId="46F332A3" w14:textId="77777777" w:rsidR="00F95C59" w:rsidRPr="005065A5" w:rsidRDefault="00F95C59" w:rsidP="005065A5">
            <w:pPr>
              <w:jc w:val="both"/>
              <w:rPr>
                <w:sz w:val="20"/>
                <w:szCs w:val="20"/>
              </w:rPr>
            </w:pPr>
            <w:r w:rsidRPr="005065A5">
              <w:rPr>
                <w:sz w:val="20"/>
                <w:szCs w:val="20"/>
              </w:rPr>
              <w:t>0.99[0.94-1.03]</w:t>
            </w:r>
          </w:p>
        </w:tc>
        <w:tc>
          <w:tcPr>
            <w:tcW w:w="1843" w:type="dxa"/>
          </w:tcPr>
          <w:p w14:paraId="7AEA6117" w14:textId="77777777" w:rsidR="00F95C59" w:rsidRPr="005065A5" w:rsidRDefault="00F95C59" w:rsidP="005065A5">
            <w:pPr>
              <w:jc w:val="both"/>
              <w:rPr>
                <w:sz w:val="20"/>
                <w:szCs w:val="20"/>
              </w:rPr>
            </w:pPr>
            <w:r w:rsidRPr="005065A5">
              <w:rPr>
                <w:sz w:val="20"/>
                <w:szCs w:val="20"/>
              </w:rPr>
              <w:t>0.99[0.94-1.04]</w:t>
            </w:r>
          </w:p>
        </w:tc>
      </w:tr>
      <w:tr w:rsidR="005065A5" w:rsidRPr="005065A5" w14:paraId="2B3948F4" w14:textId="77777777" w:rsidTr="004034CC">
        <w:tc>
          <w:tcPr>
            <w:tcW w:w="1838" w:type="dxa"/>
          </w:tcPr>
          <w:p w14:paraId="4C3A8C3B" w14:textId="77777777" w:rsidR="00F95C59" w:rsidRPr="005065A5" w:rsidRDefault="00F95C59" w:rsidP="005065A5">
            <w:pPr>
              <w:jc w:val="both"/>
              <w:rPr>
                <w:color w:val="000000"/>
                <w:sz w:val="20"/>
                <w:szCs w:val="20"/>
              </w:rPr>
            </w:pPr>
            <w:proofErr w:type="spellStart"/>
            <w:r w:rsidRPr="005065A5">
              <w:rPr>
                <w:color w:val="000000"/>
                <w:sz w:val="20"/>
                <w:szCs w:val="20"/>
              </w:rPr>
              <w:t>Openess</w:t>
            </w:r>
            <w:proofErr w:type="spellEnd"/>
          </w:p>
        </w:tc>
        <w:tc>
          <w:tcPr>
            <w:tcW w:w="1701" w:type="dxa"/>
          </w:tcPr>
          <w:p w14:paraId="7D22858D" w14:textId="77777777" w:rsidR="00F95C59" w:rsidRPr="005065A5" w:rsidRDefault="00F95C59" w:rsidP="005065A5">
            <w:pPr>
              <w:jc w:val="both"/>
              <w:rPr>
                <w:sz w:val="20"/>
                <w:szCs w:val="20"/>
              </w:rPr>
            </w:pPr>
            <w:r w:rsidRPr="005065A5">
              <w:rPr>
                <w:sz w:val="20"/>
                <w:szCs w:val="20"/>
              </w:rPr>
              <w:t>0.98[0.94-1.02]</w:t>
            </w:r>
          </w:p>
        </w:tc>
        <w:tc>
          <w:tcPr>
            <w:tcW w:w="1701" w:type="dxa"/>
          </w:tcPr>
          <w:p w14:paraId="306A756C" w14:textId="77777777" w:rsidR="00F95C59" w:rsidRPr="005065A5" w:rsidRDefault="00F95C59" w:rsidP="005065A5">
            <w:pPr>
              <w:jc w:val="both"/>
              <w:rPr>
                <w:sz w:val="20"/>
                <w:szCs w:val="20"/>
              </w:rPr>
            </w:pPr>
            <w:r w:rsidRPr="005065A5">
              <w:rPr>
                <w:sz w:val="20"/>
                <w:szCs w:val="20"/>
              </w:rPr>
              <w:t>0.99[0.95-1.03]</w:t>
            </w:r>
          </w:p>
        </w:tc>
        <w:tc>
          <w:tcPr>
            <w:tcW w:w="1843" w:type="dxa"/>
          </w:tcPr>
          <w:p w14:paraId="7F278C2B" w14:textId="77777777" w:rsidR="00F95C59" w:rsidRPr="005065A5" w:rsidRDefault="00F95C59" w:rsidP="005065A5">
            <w:pPr>
              <w:jc w:val="both"/>
              <w:rPr>
                <w:sz w:val="20"/>
                <w:szCs w:val="20"/>
              </w:rPr>
            </w:pPr>
            <w:r w:rsidRPr="005065A5">
              <w:rPr>
                <w:sz w:val="20"/>
                <w:szCs w:val="20"/>
              </w:rPr>
              <w:t>0.98[0.93-1.03]</w:t>
            </w:r>
          </w:p>
        </w:tc>
      </w:tr>
      <w:tr w:rsidR="005065A5" w:rsidRPr="005065A5" w14:paraId="1A44A72B" w14:textId="77777777" w:rsidTr="004034CC">
        <w:tc>
          <w:tcPr>
            <w:tcW w:w="1838" w:type="dxa"/>
          </w:tcPr>
          <w:p w14:paraId="4FB091E1" w14:textId="77777777" w:rsidR="00F95C59" w:rsidRPr="005065A5" w:rsidRDefault="00F95C59" w:rsidP="005065A5">
            <w:pPr>
              <w:jc w:val="both"/>
              <w:rPr>
                <w:color w:val="000000"/>
                <w:sz w:val="20"/>
                <w:szCs w:val="20"/>
              </w:rPr>
            </w:pPr>
            <w:proofErr w:type="spellStart"/>
            <w:r w:rsidRPr="005065A5">
              <w:rPr>
                <w:color w:val="000000"/>
                <w:sz w:val="20"/>
                <w:szCs w:val="20"/>
              </w:rPr>
              <w:t>Agreableness</w:t>
            </w:r>
            <w:proofErr w:type="spellEnd"/>
          </w:p>
        </w:tc>
        <w:tc>
          <w:tcPr>
            <w:tcW w:w="1701" w:type="dxa"/>
          </w:tcPr>
          <w:p w14:paraId="43D94B64" w14:textId="77777777" w:rsidR="00F95C59" w:rsidRPr="005065A5" w:rsidRDefault="00F95C59" w:rsidP="005065A5">
            <w:pPr>
              <w:jc w:val="both"/>
              <w:rPr>
                <w:sz w:val="20"/>
                <w:szCs w:val="20"/>
              </w:rPr>
            </w:pPr>
            <w:r w:rsidRPr="005065A5">
              <w:rPr>
                <w:sz w:val="20"/>
                <w:szCs w:val="20"/>
              </w:rPr>
              <w:t>0.95[0.91-0.99]</w:t>
            </w:r>
          </w:p>
        </w:tc>
        <w:tc>
          <w:tcPr>
            <w:tcW w:w="1701" w:type="dxa"/>
          </w:tcPr>
          <w:p w14:paraId="022E0F54" w14:textId="77777777" w:rsidR="00F95C59" w:rsidRPr="005065A5" w:rsidRDefault="00F95C59" w:rsidP="005065A5">
            <w:pPr>
              <w:jc w:val="both"/>
              <w:rPr>
                <w:sz w:val="20"/>
                <w:szCs w:val="20"/>
              </w:rPr>
            </w:pPr>
            <w:r w:rsidRPr="005065A5">
              <w:rPr>
                <w:sz w:val="20"/>
                <w:szCs w:val="20"/>
              </w:rPr>
              <w:t>0.94[0.90-0.</w:t>
            </w:r>
            <w:proofErr w:type="gramStart"/>
            <w:r w:rsidRPr="005065A5">
              <w:rPr>
                <w:sz w:val="20"/>
                <w:szCs w:val="20"/>
              </w:rPr>
              <w:t>98]*</w:t>
            </w:r>
            <w:proofErr w:type="gramEnd"/>
          </w:p>
        </w:tc>
        <w:tc>
          <w:tcPr>
            <w:tcW w:w="1843" w:type="dxa"/>
          </w:tcPr>
          <w:p w14:paraId="3C0EAE62" w14:textId="77777777" w:rsidR="00F95C59" w:rsidRPr="005065A5" w:rsidRDefault="00F95C59" w:rsidP="005065A5">
            <w:pPr>
              <w:jc w:val="both"/>
              <w:rPr>
                <w:sz w:val="20"/>
                <w:szCs w:val="20"/>
              </w:rPr>
            </w:pPr>
            <w:r w:rsidRPr="005065A5">
              <w:rPr>
                <w:sz w:val="20"/>
                <w:szCs w:val="20"/>
              </w:rPr>
              <w:t>0.96[0.91-1.01]</w:t>
            </w:r>
          </w:p>
        </w:tc>
      </w:tr>
      <w:tr w:rsidR="005065A5" w:rsidRPr="005065A5" w14:paraId="4CDBC536" w14:textId="77777777" w:rsidTr="004034CC">
        <w:tc>
          <w:tcPr>
            <w:tcW w:w="1838" w:type="dxa"/>
          </w:tcPr>
          <w:p w14:paraId="56CDE4A0" w14:textId="77777777" w:rsidR="00F95C59" w:rsidRPr="005065A5" w:rsidRDefault="00F95C59" w:rsidP="005065A5">
            <w:pPr>
              <w:jc w:val="both"/>
              <w:rPr>
                <w:color w:val="000000"/>
                <w:sz w:val="20"/>
                <w:szCs w:val="20"/>
              </w:rPr>
            </w:pPr>
            <w:proofErr w:type="spellStart"/>
            <w:r w:rsidRPr="005065A5">
              <w:rPr>
                <w:color w:val="000000"/>
                <w:sz w:val="20"/>
                <w:szCs w:val="20"/>
              </w:rPr>
              <w:t>Conscientiouness</w:t>
            </w:r>
            <w:proofErr w:type="spellEnd"/>
          </w:p>
        </w:tc>
        <w:tc>
          <w:tcPr>
            <w:tcW w:w="1701" w:type="dxa"/>
          </w:tcPr>
          <w:p w14:paraId="33C8BD52" w14:textId="77777777" w:rsidR="00F95C59" w:rsidRPr="005065A5" w:rsidRDefault="00F95C59" w:rsidP="005065A5">
            <w:pPr>
              <w:jc w:val="both"/>
              <w:rPr>
                <w:sz w:val="20"/>
                <w:szCs w:val="20"/>
              </w:rPr>
            </w:pPr>
            <w:r w:rsidRPr="005065A5">
              <w:rPr>
                <w:sz w:val="20"/>
                <w:szCs w:val="20"/>
              </w:rPr>
              <w:t>1.01[0.97-1.06]</w:t>
            </w:r>
          </w:p>
        </w:tc>
        <w:tc>
          <w:tcPr>
            <w:tcW w:w="1701" w:type="dxa"/>
          </w:tcPr>
          <w:p w14:paraId="3713BB8C" w14:textId="77777777" w:rsidR="00F95C59" w:rsidRPr="005065A5" w:rsidRDefault="00F95C59" w:rsidP="005065A5">
            <w:pPr>
              <w:jc w:val="both"/>
              <w:rPr>
                <w:sz w:val="20"/>
                <w:szCs w:val="20"/>
              </w:rPr>
            </w:pPr>
            <w:r w:rsidRPr="005065A5">
              <w:rPr>
                <w:sz w:val="20"/>
                <w:szCs w:val="20"/>
              </w:rPr>
              <w:t>1.01[0.97-1.06]</w:t>
            </w:r>
          </w:p>
        </w:tc>
        <w:tc>
          <w:tcPr>
            <w:tcW w:w="1843" w:type="dxa"/>
          </w:tcPr>
          <w:p w14:paraId="0B0EABA6" w14:textId="77777777" w:rsidR="00F95C59" w:rsidRPr="005065A5" w:rsidRDefault="00F95C59" w:rsidP="005065A5">
            <w:pPr>
              <w:jc w:val="both"/>
              <w:rPr>
                <w:sz w:val="20"/>
                <w:szCs w:val="20"/>
              </w:rPr>
            </w:pPr>
            <w:r w:rsidRPr="005065A5">
              <w:rPr>
                <w:sz w:val="20"/>
                <w:szCs w:val="20"/>
              </w:rPr>
              <w:t>1.00[0.95-1.06]</w:t>
            </w:r>
          </w:p>
        </w:tc>
      </w:tr>
      <w:tr w:rsidR="005065A5" w:rsidRPr="005065A5" w14:paraId="3A3FA325" w14:textId="77777777" w:rsidTr="004034CC">
        <w:tc>
          <w:tcPr>
            <w:tcW w:w="1838" w:type="dxa"/>
          </w:tcPr>
          <w:p w14:paraId="26299484" w14:textId="77777777" w:rsidR="00F95C59" w:rsidRPr="005065A5" w:rsidRDefault="00F95C59" w:rsidP="005065A5">
            <w:pPr>
              <w:jc w:val="both"/>
              <w:rPr>
                <w:color w:val="000000"/>
                <w:sz w:val="20"/>
                <w:szCs w:val="20"/>
              </w:rPr>
            </w:pPr>
          </w:p>
        </w:tc>
        <w:tc>
          <w:tcPr>
            <w:tcW w:w="1701" w:type="dxa"/>
          </w:tcPr>
          <w:p w14:paraId="24335503" w14:textId="77777777" w:rsidR="00F95C59" w:rsidRPr="005065A5" w:rsidRDefault="00F95C59" w:rsidP="005065A5">
            <w:pPr>
              <w:jc w:val="both"/>
              <w:rPr>
                <w:sz w:val="20"/>
                <w:szCs w:val="20"/>
              </w:rPr>
            </w:pPr>
          </w:p>
        </w:tc>
        <w:tc>
          <w:tcPr>
            <w:tcW w:w="1701" w:type="dxa"/>
          </w:tcPr>
          <w:p w14:paraId="60510B63" w14:textId="77777777" w:rsidR="00F95C59" w:rsidRPr="005065A5" w:rsidRDefault="00F95C59" w:rsidP="005065A5">
            <w:pPr>
              <w:jc w:val="both"/>
              <w:rPr>
                <w:sz w:val="20"/>
                <w:szCs w:val="20"/>
              </w:rPr>
            </w:pPr>
          </w:p>
        </w:tc>
        <w:tc>
          <w:tcPr>
            <w:tcW w:w="1843" w:type="dxa"/>
          </w:tcPr>
          <w:p w14:paraId="202EB0C1" w14:textId="77777777" w:rsidR="00F95C59" w:rsidRPr="005065A5" w:rsidRDefault="00F95C59" w:rsidP="005065A5">
            <w:pPr>
              <w:jc w:val="both"/>
              <w:rPr>
                <w:sz w:val="20"/>
                <w:szCs w:val="20"/>
              </w:rPr>
            </w:pPr>
          </w:p>
        </w:tc>
      </w:tr>
      <w:tr w:rsidR="005065A5" w:rsidRPr="005065A5" w14:paraId="378B09EB" w14:textId="77777777" w:rsidTr="004034CC">
        <w:tc>
          <w:tcPr>
            <w:tcW w:w="1838" w:type="dxa"/>
          </w:tcPr>
          <w:p w14:paraId="3662A3C6" w14:textId="77777777" w:rsidR="00F95C59" w:rsidRPr="005065A5" w:rsidRDefault="00F95C59" w:rsidP="005065A5">
            <w:pPr>
              <w:jc w:val="both"/>
              <w:rPr>
                <w:color w:val="000000"/>
                <w:sz w:val="20"/>
                <w:szCs w:val="20"/>
              </w:rPr>
            </w:pPr>
            <w:r w:rsidRPr="005065A5">
              <w:rPr>
                <w:color w:val="000000"/>
                <w:sz w:val="20"/>
                <w:szCs w:val="20"/>
              </w:rPr>
              <w:t>AIC</w:t>
            </w:r>
          </w:p>
        </w:tc>
        <w:tc>
          <w:tcPr>
            <w:tcW w:w="1701" w:type="dxa"/>
          </w:tcPr>
          <w:p w14:paraId="0131BAE6" w14:textId="77777777" w:rsidR="00F95C59" w:rsidRPr="005065A5" w:rsidRDefault="00F95C59" w:rsidP="005065A5">
            <w:pPr>
              <w:jc w:val="both"/>
              <w:rPr>
                <w:sz w:val="20"/>
                <w:szCs w:val="20"/>
              </w:rPr>
            </w:pPr>
            <w:r w:rsidRPr="005065A5">
              <w:rPr>
                <w:sz w:val="20"/>
                <w:szCs w:val="20"/>
              </w:rPr>
              <w:t>185</w:t>
            </w:r>
          </w:p>
        </w:tc>
        <w:tc>
          <w:tcPr>
            <w:tcW w:w="1701" w:type="dxa"/>
          </w:tcPr>
          <w:p w14:paraId="6BDBC678" w14:textId="77777777" w:rsidR="00F95C59" w:rsidRPr="005065A5" w:rsidRDefault="00F95C59" w:rsidP="005065A5">
            <w:pPr>
              <w:jc w:val="both"/>
              <w:rPr>
                <w:sz w:val="20"/>
                <w:szCs w:val="20"/>
              </w:rPr>
            </w:pPr>
            <w:r w:rsidRPr="005065A5">
              <w:rPr>
                <w:sz w:val="20"/>
                <w:szCs w:val="20"/>
              </w:rPr>
              <w:t>173</w:t>
            </w:r>
          </w:p>
        </w:tc>
        <w:tc>
          <w:tcPr>
            <w:tcW w:w="1843" w:type="dxa"/>
          </w:tcPr>
          <w:p w14:paraId="6959DD48" w14:textId="77777777" w:rsidR="00F95C59" w:rsidRPr="005065A5" w:rsidRDefault="00F95C59" w:rsidP="005065A5">
            <w:pPr>
              <w:jc w:val="both"/>
              <w:rPr>
                <w:sz w:val="20"/>
                <w:szCs w:val="20"/>
              </w:rPr>
            </w:pPr>
            <w:r w:rsidRPr="005065A5">
              <w:rPr>
                <w:sz w:val="20"/>
                <w:szCs w:val="20"/>
              </w:rPr>
              <w:t>145</w:t>
            </w:r>
          </w:p>
        </w:tc>
      </w:tr>
      <w:tr w:rsidR="005065A5" w:rsidRPr="005065A5" w14:paraId="3BCDECDB" w14:textId="77777777" w:rsidTr="004034CC">
        <w:tc>
          <w:tcPr>
            <w:tcW w:w="1838" w:type="dxa"/>
          </w:tcPr>
          <w:p w14:paraId="6C085263" w14:textId="77777777" w:rsidR="00F95C59" w:rsidRPr="005065A5" w:rsidRDefault="00F95C59" w:rsidP="005065A5">
            <w:pPr>
              <w:jc w:val="both"/>
              <w:rPr>
                <w:color w:val="000000"/>
                <w:sz w:val="20"/>
                <w:szCs w:val="20"/>
              </w:rPr>
            </w:pPr>
            <w:r w:rsidRPr="005065A5">
              <w:rPr>
                <w:color w:val="000000"/>
                <w:sz w:val="20"/>
                <w:szCs w:val="20"/>
              </w:rPr>
              <w:t>BIC</w:t>
            </w:r>
          </w:p>
        </w:tc>
        <w:tc>
          <w:tcPr>
            <w:tcW w:w="1701" w:type="dxa"/>
          </w:tcPr>
          <w:p w14:paraId="164D8DE3" w14:textId="77777777" w:rsidR="00F95C59" w:rsidRPr="005065A5" w:rsidRDefault="00F95C59" w:rsidP="005065A5">
            <w:pPr>
              <w:jc w:val="both"/>
              <w:rPr>
                <w:sz w:val="20"/>
                <w:szCs w:val="20"/>
              </w:rPr>
            </w:pPr>
            <w:r w:rsidRPr="005065A5">
              <w:rPr>
                <w:sz w:val="20"/>
                <w:szCs w:val="20"/>
              </w:rPr>
              <w:t>233</w:t>
            </w:r>
          </w:p>
        </w:tc>
        <w:tc>
          <w:tcPr>
            <w:tcW w:w="1701" w:type="dxa"/>
          </w:tcPr>
          <w:p w14:paraId="384902ED" w14:textId="77777777" w:rsidR="00F95C59" w:rsidRPr="005065A5" w:rsidRDefault="00F95C59" w:rsidP="005065A5">
            <w:pPr>
              <w:jc w:val="both"/>
              <w:rPr>
                <w:sz w:val="20"/>
                <w:szCs w:val="20"/>
              </w:rPr>
            </w:pPr>
            <w:r w:rsidRPr="005065A5">
              <w:rPr>
                <w:sz w:val="20"/>
                <w:szCs w:val="20"/>
              </w:rPr>
              <w:t>220</w:t>
            </w:r>
          </w:p>
        </w:tc>
        <w:tc>
          <w:tcPr>
            <w:tcW w:w="1843" w:type="dxa"/>
          </w:tcPr>
          <w:p w14:paraId="6402002F" w14:textId="77777777" w:rsidR="00F95C59" w:rsidRPr="005065A5" w:rsidRDefault="00F95C59" w:rsidP="005065A5">
            <w:pPr>
              <w:jc w:val="both"/>
              <w:rPr>
                <w:sz w:val="20"/>
                <w:szCs w:val="20"/>
              </w:rPr>
            </w:pPr>
            <w:r w:rsidRPr="005065A5">
              <w:rPr>
                <w:sz w:val="20"/>
                <w:szCs w:val="20"/>
              </w:rPr>
              <w:t>190</w:t>
            </w:r>
          </w:p>
        </w:tc>
      </w:tr>
      <w:tr w:rsidR="005065A5" w:rsidRPr="005065A5" w14:paraId="6A786DB8" w14:textId="77777777" w:rsidTr="004034CC">
        <w:tc>
          <w:tcPr>
            <w:tcW w:w="1838" w:type="dxa"/>
          </w:tcPr>
          <w:p w14:paraId="660468F8" w14:textId="77777777" w:rsidR="00F95C59" w:rsidRPr="005065A5" w:rsidRDefault="00F95C59" w:rsidP="005065A5">
            <w:pPr>
              <w:jc w:val="both"/>
              <w:rPr>
                <w:color w:val="000000"/>
                <w:sz w:val="20"/>
                <w:szCs w:val="20"/>
              </w:rPr>
            </w:pPr>
            <w:r w:rsidRPr="005065A5">
              <w:rPr>
                <w:color w:val="000000"/>
                <w:sz w:val="20"/>
                <w:szCs w:val="20"/>
              </w:rPr>
              <w:t>R2CS</w:t>
            </w:r>
          </w:p>
        </w:tc>
        <w:tc>
          <w:tcPr>
            <w:tcW w:w="1701" w:type="dxa"/>
          </w:tcPr>
          <w:p w14:paraId="523BE303" w14:textId="77777777" w:rsidR="00F95C59" w:rsidRPr="005065A5" w:rsidRDefault="00F95C59" w:rsidP="005065A5">
            <w:pPr>
              <w:jc w:val="both"/>
              <w:rPr>
                <w:sz w:val="20"/>
                <w:szCs w:val="20"/>
              </w:rPr>
            </w:pPr>
            <w:r w:rsidRPr="005065A5">
              <w:rPr>
                <w:sz w:val="20"/>
                <w:szCs w:val="20"/>
              </w:rPr>
              <w:t>0.10</w:t>
            </w:r>
          </w:p>
        </w:tc>
        <w:tc>
          <w:tcPr>
            <w:tcW w:w="1701" w:type="dxa"/>
          </w:tcPr>
          <w:p w14:paraId="5E80B9AA" w14:textId="77777777" w:rsidR="00F95C59" w:rsidRPr="005065A5" w:rsidRDefault="00F95C59" w:rsidP="005065A5">
            <w:pPr>
              <w:jc w:val="both"/>
              <w:rPr>
                <w:sz w:val="20"/>
                <w:szCs w:val="20"/>
              </w:rPr>
            </w:pPr>
            <w:r w:rsidRPr="005065A5">
              <w:rPr>
                <w:sz w:val="20"/>
                <w:szCs w:val="20"/>
              </w:rPr>
              <w:t>0.17</w:t>
            </w:r>
          </w:p>
        </w:tc>
        <w:tc>
          <w:tcPr>
            <w:tcW w:w="1843" w:type="dxa"/>
          </w:tcPr>
          <w:p w14:paraId="0B5F84DB" w14:textId="77777777" w:rsidR="00F95C59" w:rsidRPr="005065A5" w:rsidRDefault="00F95C59" w:rsidP="005065A5">
            <w:pPr>
              <w:jc w:val="both"/>
              <w:rPr>
                <w:sz w:val="20"/>
                <w:szCs w:val="20"/>
              </w:rPr>
            </w:pPr>
            <w:r w:rsidRPr="005065A5">
              <w:rPr>
                <w:sz w:val="20"/>
                <w:szCs w:val="20"/>
              </w:rPr>
              <w:t>0.21</w:t>
            </w:r>
          </w:p>
        </w:tc>
      </w:tr>
      <w:tr w:rsidR="005065A5" w:rsidRPr="005065A5" w14:paraId="40932777" w14:textId="77777777" w:rsidTr="004034CC">
        <w:tc>
          <w:tcPr>
            <w:tcW w:w="1838" w:type="dxa"/>
          </w:tcPr>
          <w:p w14:paraId="29161379" w14:textId="77777777" w:rsidR="00F95C59" w:rsidRPr="005065A5" w:rsidRDefault="00F95C59" w:rsidP="005065A5">
            <w:pPr>
              <w:jc w:val="both"/>
              <w:rPr>
                <w:color w:val="000000"/>
                <w:sz w:val="20"/>
                <w:szCs w:val="20"/>
              </w:rPr>
            </w:pPr>
            <w:r w:rsidRPr="005065A5">
              <w:rPr>
                <w:color w:val="000000"/>
                <w:sz w:val="20"/>
                <w:szCs w:val="20"/>
              </w:rPr>
              <w:t>X2</w:t>
            </w:r>
          </w:p>
        </w:tc>
        <w:tc>
          <w:tcPr>
            <w:tcW w:w="1701" w:type="dxa"/>
          </w:tcPr>
          <w:p w14:paraId="4EF5C473" w14:textId="77777777" w:rsidR="00F95C59" w:rsidRPr="005065A5" w:rsidRDefault="00F95C59" w:rsidP="005065A5">
            <w:pPr>
              <w:jc w:val="both"/>
              <w:rPr>
                <w:sz w:val="20"/>
                <w:szCs w:val="20"/>
              </w:rPr>
            </w:pPr>
            <w:r w:rsidRPr="005065A5">
              <w:rPr>
                <w:sz w:val="20"/>
                <w:szCs w:val="20"/>
              </w:rPr>
              <w:t>17.8</w:t>
            </w:r>
          </w:p>
        </w:tc>
        <w:tc>
          <w:tcPr>
            <w:tcW w:w="1701" w:type="dxa"/>
          </w:tcPr>
          <w:p w14:paraId="457E5228" w14:textId="77777777" w:rsidR="00F95C59" w:rsidRPr="005065A5" w:rsidRDefault="00F95C59" w:rsidP="005065A5">
            <w:pPr>
              <w:jc w:val="both"/>
              <w:rPr>
                <w:sz w:val="20"/>
                <w:szCs w:val="20"/>
              </w:rPr>
            </w:pPr>
            <w:r w:rsidRPr="005065A5">
              <w:rPr>
                <w:sz w:val="20"/>
                <w:szCs w:val="20"/>
              </w:rPr>
              <w:t>28.8</w:t>
            </w:r>
          </w:p>
        </w:tc>
        <w:tc>
          <w:tcPr>
            <w:tcW w:w="1843" w:type="dxa"/>
          </w:tcPr>
          <w:p w14:paraId="1A22B554" w14:textId="77777777" w:rsidR="00F95C59" w:rsidRPr="005065A5" w:rsidRDefault="00F95C59" w:rsidP="005065A5">
            <w:pPr>
              <w:jc w:val="both"/>
              <w:rPr>
                <w:sz w:val="20"/>
                <w:szCs w:val="20"/>
              </w:rPr>
            </w:pPr>
            <w:r w:rsidRPr="005065A5">
              <w:rPr>
                <w:sz w:val="20"/>
                <w:szCs w:val="20"/>
              </w:rPr>
              <w:t>29.8</w:t>
            </w:r>
          </w:p>
        </w:tc>
      </w:tr>
    </w:tbl>
    <w:p w14:paraId="784261B8" w14:textId="5BADA484" w:rsidR="00DD1E81" w:rsidRPr="006F6B88" w:rsidRDefault="00DD1E81" w:rsidP="005065A5">
      <w:pPr>
        <w:adjustRightInd w:val="0"/>
        <w:snapToGrid w:val="0"/>
        <w:jc w:val="both"/>
        <w:rPr>
          <w:sz w:val="20"/>
          <w:szCs w:val="20"/>
          <w:lang w:val="en-US"/>
        </w:rPr>
      </w:pPr>
      <w:r w:rsidRPr="006F6B88">
        <w:rPr>
          <w:i/>
          <w:iCs/>
          <w:sz w:val="20"/>
          <w:szCs w:val="20"/>
          <w:lang w:val="en-US"/>
        </w:rPr>
        <w:t>Note</w:t>
      </w:r>
      <w:proofErr w:type="gramStart"/>
      <w:r w:rsidRPr="006F6B88">
        <w:rPr>
          <w:sz w:val="20"/>
          <w:szCs w:val="20"/>
          <w:lang w:val="en-US"/>
        </w:rPr>
        <w:t>. .</w:t>
      </w:r>
      <w:proofErr w:type="gramEnd"/>
      <w:r w:rsidRPr="006F6B88">
        <w:rPr>
          <w:sz w:val="20"/>
          <w:szCs w:val="20"/>
          <w:lang w:val="en-US"/>
        </w:rPr>
        <w:t xml:space="preserve"> ISI = Insomnia Severity Index; HADS-A = Hospital Anxiety and Depression Scale-Anxiety; HADS-D = Hospital Anxiety and Depression Scale-Depression; AAQ-II = Acceptance Action Questionnaire-II; DBAS = Dysfunctional Beliefs and Attitudes About </w:t>
      </w:r>
      <w:proofErr w:type="gramStart"/>
      <w:r w:rsidRPr="006F6B88">
        <w:rPr>
          <w:sz w:val="20"/>
          <w:szCs w:val="20"/>
          <w:lang w:val="en-US"/>
        </w:rPr>
        <w:t>Sleep ;</w:t>
      </w:r>
      <w:proofErr w:type="gramEnd"/>
      <w:r w:rsidRPr="006F6B88">
        <w:rPr>
          <w:sz w:val="20"/>
          <w:szCs w:val="20"/>
          <w:lang w:val="en-US"/>
        </w:rPr>
        <w:t xml:space="preserve"> SPAQ = Sleep Problem Acceptance Questionnaire.*</w:t>
      </w:r>
      <w:r w:rsidRPr="006F6B88">
        <w:rPr>
          <w:i/>
          <w:iCs/>
          <w:sz w:val="20"/>
          <w:szCs w:val="20"/>
          <w:lang w:val="en-US"/>
        </w:rPr>
        <w:t>p</w:t>
      </w:r>
      <w:r w:rsidRPr="006F6B88">
        <w:rPr>
          <w:sz w:val="20"/>
          <w:szCs w:val="20"/>
          <w:lang w:val="en-US"/>
        </w:rPr>
        <w:t xml:space="preserve"> &lt; .05.</w:t>
      </w:r>
    </w:p>
    <w:p w14:paraId="685DD2CD" w14:textId="77777777" w:rsidR="00F95C59" w:rsidRPr="005065A5" w:rsidRDefault="00F95C59" w:rsidP="005065A5">
      <w:pPr>
        <w:jc w:val="both"/>
        <w:rPr>
          <w:lang w:val="en-US"/>
        </w:rPr>
      </w:pPr>
    </w:p>
    <w:p w14:paraId="4B2C077B" w14:textId="77777777" w:rsidR="00DC39E7" w:rsidRPr="005065A5" w:rsidRDefault="00DC39E7" w:rsidP="0073753F">
      <w:pPr>
        <w:spacing w:line="480" w:lineRule="auto"/>
        <w:jc w:val="both"/>
        <w:rPr>
          <w:lang w:val="en-US"/>
        </w:rPr>
      </w:pPr>
    </w:p>
    <w:p w14:paraId="7039996B" w14:textId="7BE3ACBA" w:rsidR="00B91FC3" w:rsidRPr="00B15E3D" w:rsidRDefault="00207E23" w:rsidP="0073753F">
      <w:pPr>
        <w:spacing w:line="480" w:lineRule="auto"/>
        <w:jc w:val="both"/>
        <w:rPr>
          <w:b/>
          <w:bCs/>
        </w:rPr>
      </w:pPr>
      <w:proofErr w:type="spellStart"/>
      <w:r w:rsidRPr="00B15E3D">
        <w:rPr>
          <w:b/>
          <w:bCs/>
        </w:rPr>
        <w:t>Discussion</w:t>
      </w:r>
      <w:proofErr w:type="spellEnd"/>
      <w:r w:rsidR="00DC39E7" w:rsidRPr="00B15E3D">
        <w:rPr>
          <w:b/>
          <w:bCs/>
        </w:rPr>
        <w:t>:</w:t>
      </w:r>
    </w:p>
    <w:p w14:paraId="2E3D78AC" w14:textId="26EA3303" w:rsidR="0073753F" w:rsidRPr="00E24C0B" w:rsidRDefault="00B91FC3" w:rsidP="0073753F">
      <w:pPr>
        <w:spacing w:line="480" w:lineRule="auto"/>
        <w:jc w:val="both"/>
      </w:pPr>
      <w:r w:rsidRPr="00E24C0B">
        <w:t xml:space="preserve">Nossos resultados demonstraram que </w:t>
      </w:r>
      <w:r w:rsidR="0073753F" w:rsidRPr="00E24C0B">
        <w:t xml:space="preserve">as variáveis psicológicas não foram associadas a qualquer modalidade terapêutica no momento pré-tratamento. Na fase pós-tratamento, </w:t>
      </w:r>
    </w:p>
    <w:p w14:paraId="372E4011" w14:textId="4C1B2804" w:rsidR="0073753F" w:rsidRPr="00E24C0B" w:rsidRDefault="0073753F" w:rsidP="0073753F">
      <w:pPr>
        <w:spacing w:line="480" w:lineRule="auto"/>
        <w:jc w:val="both"/>
      </w:pPr>
      <w:r w:rsidRPr="00E24C0B">
        <w:t xml:space="preserve">a redução de escore nas escalas de inflexibilidade psicológica e amabilidade foram associadas a participação no tratamento via ACT-I. No seguimento de seis meses o aumento de sintomas de ansiedade e a redução da inflexibilidade psicológica foi associada a ACT-I. Esses achados vão ao encontro dos propósitos das intervenções baseadas em ACT, que se concentram no desenvolvimento da flexibilidade psicológica, em detrimento do foco na redução de sintomas.  </w:t>
      </w:r>
    </w:p>
    <w:p w14:paraId="723D8686" w14:textId="650F2DA5" w:rsidR="006E5764" w:rsidRPr="00E24C0B" w:rsidRDefault="0073753F" w:rsidP="0073753F">
      <w:pPr>
        <w:spacing w:line="480" w:lineRule="auto"/>
        <w:jc w:val="both"/>
      </w:pPr>
      <w:r w:rsidRPr="00E24C0B">
        <w:tab/>
        <w:t xml:space="preserve">Para a ACT a inflexibilidade psicológica ocorre </w:t>
      </w:r>
      <w:r w:rsidR="00A03DE8" w:rsidRPr="00E24C0B">
        <w:t>como parte</w:t>
      </w:r>
      <w:r w:rsidRPr="00E24C0B">
        <w:t xml:space="preserve"> de um padrão de esquiva de </w:t>
      </w:r>
      <w:r w:rsidR="00A03DE8" w:rsidRPr="00E24C0B">
        <w:t xml:space="preserve">sentimentos, sensações consideradas aversivas e desconfortáveis. Esse padrão de esquiva muitas vezes funciona a curto prazo, levando o individuo a se esquivar dos sentimentos e sensações que ocorrem dentro de sua pele. Este padrão de esquiva promove uma restrição no repertório de ações do individuo, muitas vezes o distanciando de seus </w:t>
      </w:r>
      <w:r w:rsidR="00A03DE8" w:rsidRPr="00E24C0B">
        <w:lastRenderedPageBreak/>
        <w:t xml:space="preserve">valores, daquilo que de fato é importante, </w:t>
      </w:r>
      <w:r w:rsidR="00C02566" w:rsidRPr="00E24C0B">
        <w:t>isto é,</w:t>
      </w:r>
      <w:r w:rsidR="00A03DE8" w:rsidRPr="00E24C0B">
        <w:t xml:space="preserve"> das consequências que poderiam ser consideradas reforçadoras a longo prazo. A proposta da ACT é uma abertura para esses desconfortos, sensações e sentimentos considerados aversivos para persistir em comportamentos considerados valorosos e reforçadores a longo prazo. De fato, acreditamos que o processo de abertura e aceitação das sensações desagradáveis </w:t>
      </w:r>
      <w:r w:rsidR="006E5764" w:rsidRPr="00E24C0B">
        <w:t xml:space="preserve">propostas na ACT </w:t>
      </w:r>
      <w:r w:rsidR="00A03DE8" w:rsidRPr="00E24C0B">
        <w:t xml:space="preserve">podem ter </w:t>
      </w:r>
      <w:r w:rsidR="006E5764" w:rsidRPr="00E24C0B">
        <w:t xml:space="preserve">influenciado na </w:t>
      </w:r>
      <w:r w:rsidR="00A03DE8" w:rsidRPr="00E24C0B">
        <w:t>redu</w:t>
      </w:r>
      <w:r w:rsidR="006E5764" w:rsidRPr="00E24C0B">
        <w:t>ção</w:t>
      </w:r>
      <w:r w:rsidR="00A03DE8" w:rsidRPr="00E24C0B">
        <w:t xml:space="preserve"> </w:t>
      </w:r>
      <w:r w:rsidR="006E5764" w:rsidRPr="00E24C0B">
        <w:t>d</w:t>
      </w:r>
      <w:r w:rsidR="00A03DE8" w:rsidRPr="00E24C0B">
        <w:t>o padrão de esquiva e inflexibilidade psicológica</w:t>
      </w:r>
      <w:r w:rsidR="006E5764" w:rsidRPr="00E24C0B">
        <w:t xml:space="preserve">. </w:t>
      </w:r>
    </w:p>
    <w:p w14:paraId="10E40C3B" w14:textId="31D76F95" w:rsidR="00C02566" w:rsidRDefault="006E5764" w:rsidP="00B73CEE">
      <w:pPr>
        <w:spacing w:line="480" w:lineRule="auto"/>
        <w:ind w:firstLine="708"/>
        <w:jc w:val="both"/>
      </w:pPr>
      <w:r w:rsidRPr="00E24C0B">
        <w:t xml:space="preserve">Paralelamente a participação na terapia ACT foi associada com </w:t>
      </w:r>
      <w:r w:rsidR="00C02566">
        <w:t>escores mais baixos</w:t>
      </w:r>
      <w:r w:rsidRPr="00E24C0B">
        <w:t xml:space="preserve"> na escala de amabilidade do NEO-FFI. Uma das características do traço de amabilidade é a valorização na relação com as pessoas, características como generosidade, disponibilidade e prestabilidade em relação ao outro. Uma hipótese é que </w:t>
      </w:r>
      <w:r w:rsidR="00C02566">
        <w:t>alguns</w:t>
      </w:r>
      <w:r w:rsidRPr="00E24C0B">
        <w:t xml:space="preserve"> indivíduos </w:t>
      </w:r>
      <w:r w:rsidR="003F1CF3" w:rsidRPr="00E24C0B">
        <w:t>podem apresentar</w:t>
      </w:r>
      <w:r w:rsidRPr="00E24C0B">
        <w:t xml:space="preserve"> essas características mais sob controle de agradar o outro</w:t>
      </w:r>
      <w:r w:rsidR="00C02566">
        <w:t xml:space="preserve">, isto é, como resultado de um padrão de esquiva de conflitos; </w:t>
      </w:r>
      <w:r w:rsidR="00B73CEE">
        <w:t>e, portanto,</w:t>
      </w:r>
      <w:r w:rsidR="00C02566">
        <w:t xml:space="preserve"> quando o padrão de esquiva e inflexibilidade diminui, características menos amáveis podem emergir. No entanto, para maiores conclusões a associação entre flexibilidade psicológica e o traço de amabilidade deve ser explorado em outros estudos. </w:t>
      </w:r>
    </w:p>
    <w:p w14:paraId="4A4C5AFD" w14:textId="3BC4F7D7" w:rsidR="006E5764" w:rsidRPr="00E24C0B" w:rsidRDefault="003F1CF3" w:rsidP="00B41DEB">
      <w:pPr>
        <w:spacing w:line="480" w:lineRule="auto"/>
        <w:ind w:firstLine="708"/>
        <w:jc w:val="both"/>
      </w:pPr>
      <w:r w:rsidRPr="00E24C0B">
        <w:t xml:space="preserve">No seguimento de seis meses após a terapia, o traço de amabilidade não foi mais uma variável significativa, ao passo que a inflexibilidade psicológica se manteve significativa. Este achado vai ao encontro da abordagem ACT que apresenta resultados a longo prazo, uma vez que o </w:t>
      </w:r>
      <w:r w:rsidR="00B41DEB" w:rsidRPr="00E24C0B">
        <w:t>foco da</w:t>
      </w:r>
      <w:r w:rsidRPr="00E24C0B">
        <w:t xml:space="preserve"> terapia é alcançar consequências reforçadoras a longo prazo, mesmo que a curto prazo acesse desconfortos. </w:t>
      </w:r>
      <w:r w:rsidR="00B41DEB" w:rsidRPr="00E24C0B">
        <w:t xml:space="preserve">Paralelamente, no seguimento de seis meses, o aumento dos escores de ansiedade foi associada a participação na ACT. </w:t>
      </w:r>
      <w:r w:rsidRPr="00E24C0B">
        <w:t xml:space="preserve">Uma hipótese é que ao reduzir a esquiva os sintomas de ansiedade podem ter </w:t>
      </w:r>
      <w:r w:rsidR="00B41DEB" w:rsidRPr="00E24C0B">
        <w:t xml:space="preserve">aumentado. Acreditamos que a redução de padrões de esquivas pode durar por meses, </w:t>
      </w:r>
      <w:r w:rsidR="00A13185" w:rsidRPr="00E24C0B">
        <w:t xml:space="preserve">explicando esta associação no período de seguimento. Não podemos desconsiderar que o </w:t>
      </w:r>
      <w:r w:rsidR="00034F3E" w:rsidRPr="00E24C0B">
        <w:t>valor do</w:t>
      </w:r>
      <w:r w:rsidR="00A13185" w:rsidRPr="00E24C0B">
        <w:t xml:space="preserve"> IC para </w:t>
      </w:r>
      <w:r w:rsidR="00A13185" w:rsidRPr="00E24C0B">
        <w:lastRenderedPageBreak/>
        <w:t>ansiedade foi de 1, portanto exigindo cautela nas interpretações.</w:t>
      </w:r>
      <w:r w:rsidR="00A97714">
        <w:t xml:space="preserve"> Além disso, considerando que a ACT visa objetivos a longo prazo, futuros estudos devem explorar os efeitos desta intervenção em seguimentos mais longos. </w:t>
      </w:r>
    </w:p>
    <w:p w14:paraId="1500BB3C" w14:textId="78430C7E" w:rsidR="00034F3E" w:rsidRPr="00E24C0B" w:rsidRDefault="00E10971" w:rsidP="00E10971">
      <w:pPr>
        <w:spacing w:line="480" w:lineRule="auto"/>
        <w:ind w:firstLine="708"/>
        <w:jc w:val="both"/>
      </w:pPr>
      <w:r>
        <w:rPr>
          <w:color w:val="000000"/>
        </w:rPr>
        <w:t xml:space="preserve">Alguns pontos fortes deste estudo também merecem menção. Primeiro, os traços de personalidade foram avaliados por meio do NEO-FFI-R, questionário de 60 itens com robusto corpo de evidências. </w:t>
      </w:r>
      <w:proofErr w:type="gramStart"/>
      <w:r w:rsidR="00A015F2">
        <w:rPr>
          <w:color w:val="000000"/>
        </w:rPr>
        <w:t>Segundo, a</w:t>
      </w:r>
      <w:proofErr w:type="gramEnd"/>
      <w:r>
        <w:rPr>
          <w:color w:val="000000"/>
        </w:rPr>
        <w:t xml:space="preserve"> nossa análise foi ajustada para covariáveis importantes a fim de estimar a contribuição individual dos fatores. </w:t>
      </w:r>
      <w:r w:rsidR="00034F3E" w:rsidRPr="00E24C0B">
        <w:t xml:space="preserve">Uma força deste estudo é a inclusão de diferentes variáveis psicológicas e sociodemográficas no mesmo modelo, o que permitiu verificar o efeito de determinadas variáveis controlando o efeito de outras. Para maiores conclusões mais estudos comparando ACT e CBT quanto aos efeitos da intervenção nas variáveis psicológicas e de processos são necessários. </w:t>
      </w:r>
    </w:p>
    <w:p w14:paraId="6328D392" w14:textId="431A521D" w:rsidR="00626D5B" w:rsidRDefault="0086304F" w:rsidP="0086304F">
      <w:pPr>
        <w:spacing w:line="480" w:lineRule="auto"/>
        <w:ind w:firstLine="708"/>
        <w:jc w:val="both"/>
        <w:rPr>
          <w:color w:val="000000"/>
        </w:rPr>
      </w:pPr>
      <w:r w:rsidRPr="00E24C0B">
        <w:rPr>
          <w:lang w:val="en-US"/>
        </w:rPr>
        <w:t>Our study has some limitations that warrant care in the interpretation of our findings. First, most of our participants consisted of white women with high levels of education, which does not represent the characteristics of most of the Brazilian population. Future studies with more representative samples, including those with lower educational levels, should be conducted.</w:t>
      </w:r>
      <w:r w:rsidR="00E10971">
        <w:rPr>
          <w:lang w:val="en-US"/>
        </w:rPr>
        <w:t xml:space="preserve"> </w:t>
      </w:r>
      <w:r w:rsidR="00A97714">
        <w:rPr>
          <w:color w:val="000000"/>
        </w:rPr>
        <w:t>Segundo,</w:t>
      </w:r>
      <w:r w:rsidR="00E10971">
        <w:rPr>
          <w:color w:val="000000"/>
        </w:rPr>
        <w:t xml:space="preserve"> as associações encontradas neste estudo podem ter sido confundidas por outras variáveis que não foram avaliadas e, consequentemente, não ajustadas.</w:t>
      </w:r>
    </w:p>
    <w:p w14:paraId="0989B048" w14:textId="77777777" w:rsidR="00E10971" w:rsidRDefault="00E10971" w:rsidP="00E10971">
      <w:pPr>
        <w:spacing w:line="480" w:lineRule="auto"/>
        <w:jc w:val="both"/>
        <w:rPr>
          <w:color w:val="000000"/>
        </w:rPr>
      </w:pPr>
    </w:p>
    <w:p w14:paraId="76C34219" w14:textId="36A7E741" w:rsidR="00E10971" w:rsidRDefault="00E10971" w:rsidP="00E10971">
      <w:pPr>
        <w:spacing w:line="480" w:lineRule="auto"/>
        <w:jc w:val="both"/>
        <w:rPr>
          <w:color w:val="000000"/>
        </w:rPr>
      </w:pPr>
      <w:proofErr w:type="spellStart"/>
      <w:r>
        <w:rPr>
          <w:color w:val="000000"/>
        </w:rPr>
        <w:t>Conclusion</w:t>
      </w:r>
      <w:proofErr w:type="spellEnd"/>
      <w:r>
        <w:rPr>
          <w:color w:val="000000"/>
        </w:rPr>
        <w:t>:</w:t>
      </w:r>
    </w:p>
    <w:p w14:paraId="017BF797" w14:textId="415990CB" w:rsidR="00E10971" w:rsidRPr="00874E28" w:rsidRDefault="00E10971" w:rsidP="00E10971">
      <w:pPr>
        <w:spacing w:line="480" w:lineRule="auto"/>
        <w:jc w:val="both"/>
        <w:rPr>
          <w:color w:val="000000"/>
        </w:rPr>
      </w:pPr>
      <w:r>
        <w:rPr>
          <w:color w:val="000000"/>
        </w:rPr>
        <w:t xml:space="preserve">Este estudo demonstrou que </w:t>
      </w:r>
      <w:r w:rsidR="00874E28">
        <w:rPr>
          <w:color w:val="000000"/>
        </w:rPr>
        <w:t xml:space="preserve">antes dos participantes receberem as diferentes terapias (ACT </w:t>
      </w:r>
      <w:proofErr w:type="spellStart"/>
      <w:r w:rsidR="00874E28">
        <w:rPr>
          <w:color w:val="000000"/>
        </w:rPr>
        <w:t>vs</w:t>
      </w:r>
      <w:proofErr w:type="spellEnd"/>
      <w:r w:rsidR="00874E28">
        <w:rPr>
          <w:color w:val="000000"/>
        </w:rPr>
        <w:t xml:space="preserve"> CBT) não houve diferenças em qualquer variável entre os grupos. No entanto, na </w:t>
      </w:r>
      <w:r>
        <w:rPr>
          <w:color w:val="000000"/>
        </w:rPr>
        <w:t xml:space="preserve">etapa pós-tratamento a participação na modalidade terapêutica da ACT foi associada a redução de escore na escala de inflexibilidade psicológica e na escala de amabilidade; e na etapa de 6 </w:t>
      </w:r>
      <w:proofErr w:type="spellStart"/>
      <w:r>
        <w:rPr>
          <w:color w:val="000000"/>
        </w:rPr>
        <w:t>month</w:t>
      </w:r>
      <w:proofErr w:type="spellEnd"/>
      <w:r>
        <w:rPr>
          <w:color w:val="000000"/>
        </w:rPr>
        <w:t xml:space="preserve"> follow-up a participação na ACT foi associada a um aumento nos </w:t>
      </w:r>
      <w:r>
        <w:rPr>
          <w:color w:val="000000"/>
        </w:rPr>
        <w:lastRenderedPageBreak/>
        <w:t xml:space="preserve">escores de ansiedade e redução dos escores de inflexibilidade psicológica. Esses resultados </w:t>
      </w:r>
      <w:r w:rsidR="00874E28">
        <w:rPr>
          <w:color w:val="000000"/>
        </w:rPr>
        <w:t xml:space="preserve">corroboram a premissa da ACT que visa principalmente o desenvolvimento da flexibilidade psicológica a partir do bloqueio da esquiva experiencial, isto é, a partir da aceitação e abertura dos eventos aversivos que ocorrem dentro da pele, para persistir em comportamentos baseados em valores visando consequências reforçadoras a longo prazo. Considerando que a premissa da ACT envolve objetivos a longo prazo, futuros estudos devem explorar </w:t>
      </w:r>
      <w:r w:rsidR="00A97714">
        <w:rPr>
          <w:color w:val="000000"/>
        </w:rPr>
        <w:t xml:space="preserve">fatores associados a participação na ACT em seguimentos mais longos. </w:t>
      </w:r>
    </w:p>
    <w:sectPr w:rsidR="00E10971" w:rsidRPr="00874E28" w:rsidSect="00CD41F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489"/>
    <w:multiLevelType w:val="hybridMultilevel"/>
    <w:tmpl w:val="01B6F2E6"/>
    <w:lvl w:ilvl="0" w:tplc="29C280F6">
      <w:start w:val="29"/>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F67F20"/>
    <w:multiLevelType w:val="hybridMultilevel"/>
    <w:tmpl w:val="D34CC1FA"/>
    <w:lvl w:ilvl="0" w:tplc="42C8607C">
      <w:start w:val="2"/>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34768641">
    <w:abstractNumId w:val="0"/>
  </w:num>
  <w:num w:numId="2" w16cid:durableId="550114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4A"/>
    <w:rsid w:val="00034F3E"/>
    <w:rsid w:val="000510DF"/>
    <w:rsid w:val="00110C5F"/>
    <w:rsid w:val="00207E23"/>
    <w:rsid w:val="002829CE"/>
    <w:rsid w:val="002F46C0"/>
    <w:rsid w:val="003A1B4A"/>
    <w:rsid w:val="003E20EA"/>
    <w:rsid w:val="003F1CF3"/>
    <w:rsid w:val="004E16C0"/>
    <w:rsid w:val="005065A5"/>
    <w:rsid w:val="00552D60"/>
    <w:rsid w:val="005F028D"/>
    <w:rsid w:val="005F21D8"/>
    <w:rsid w:val="00626D5B"/>
    <w:rsid w:val="006E5764"/>
    <w:rsid w:val="006F6B88"/>
    <w:rsid w:val="0073753F"/>
    <w:rsid w:val="0086304F"/>
    <w:rsid w:val="00874E28"/>
    <w:rsid w:val="008D22FF"/>
    <w:rsid w:val="009D18E8"/>
    <w:rsid w:val="00A015F2"/>
    <w:rsid w:val="00A03DE8"/>
    <w:rsid w:val="00A13185"/>
    <w:rsid w:val="00A97714"/>
    <w:rsid w:val="00B15E3D"/>
    <w:rsid w:val="00B3787F"/>
    <w:rsid w:val="00B41DEB"/>
    <w:rsid w:val="00B73CEE"/>
    <w:rsid w:val="00B91FC3"/>
    <w:rsid w:val="00B9749D"/>
    <w:rsid w:val="00C02566"/>
    <w:rsid w:val="00C10C9B"/>
    <w:rsid w:val="00CD41F3"/>
    <w:rsid w:val="00D70D47"/>
    <w:rsid w:val="00DC39E7"/>
    <w:rsid w:val="00DD1E81"/>
    <w:rsid w:val="00E10971"/>
    <w:rsid w:val="00E24C0B"/>
    <w:rsid w:val="00E71790"/>
    <w:rsid w:val="00F26193"/>
    <w:rsid w:val="00F95C59"/>
    <w:rsid w:val="00FB07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EDE4CD9"/>
  <w15:chartTrackingRefBased/>
  <w15:docId w15:val="{72C97051-2F4A-4946-A96D-88724C9B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90"/>
    <w:rPr>
      <w:rFonts w:ascii="Times New Roman" w:eastAsia="Times New Roman" w:hAnsi="Times New Roman" w:cs="Times New Roman"/>
      <w:kern w:val="0"/>
      <w:lang w:eastAsia="pt-BR"/>
      <w14:ligatures w14:val="none"/>
    </w:rPr>
  </w:style>
  <w:style w:type="paragraph" w:styleId="Ttulo3">
    <w:name w:val="heading 3"/>
    <w:basedOn w:val="Normal"/>
    <w:link w:val="Ttulo3Char"/>
    <w:uiPriority w:val="9"/>
    <w:qFormat/>
    <w:rsid w:val="00E24C0B"/>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A1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label">
    <w:name w:val="table-caption__label"/>
    <w:basedOn w:val="Fontepargpadro"/>
    <w:rsid w:val="00F95C59"/>
  </w:style>
  <w:style w:type="character" w:customStyle="1" w:styleId="apple-converted-space">
    <w:name w:val="apple-converted-space"/>
    <w:basedOn w:val="Fontepargpadro"/>
    <w:rsid w:val="00F95C59"/>
  </w:style>
  <w:style w:type="paragraph" w:styleId="NormalWeb">
    <w:name w:val="Normal (Web)"/>
    <w:basedOn w:val="Normal"/>
    <w:uiPriority w:val="99"/>
    <w:unhideWhenUsed/>
    <w:rsid w:val="00F95C59"/>
    <w:pPr>
      <w:spacing w:before="100" w:beforeAutospacing="1" w:after="100" w:afterAutospacing="1"/>
    </w:pPr>
  </w:style>
  <w:style w:type="paragraph" w:styleId="PargrafodaLista">
    <w:name w:val="List Paragraph"/>
    <w:basedOn w:val="Normal"/>
    <w:uiPriority w:val="34"/>
    <w:qFormat/>
    <w:rsid w:val="00B91FC3"/>
    <w:pPr>
      <w:ind w:left="720"/>
      <w:contextualSpacing/>
    </w:pPr>
    <w:rPr>
      <w:rFonts w:asciiTheme="minorHAnsi" w:eastAsiaTheme="minorHAnsi" w:hAnsiTheme="minorHAnsi" w:cstheme="minorBidi"/>
      <w:kern w:val="2"/>
      <w:lang w:eastAsia="en-US"/>
      <w14:ligatures w14:val="standardContextual"/>
    </w:rPr>
  </w:style>
  <w:style w:type="character" w:customStyle="1" w:styleId="Ttulo3Char">
    <w:name w:val="Título 3 Char"/>
    <w:basedOn w:val="Fontepargpadro"/>
    <w:link w:val="Ttulo3"/>
    <w:uiPriority w:val="9"/>
    <w:rsid w:val="00E24C0B"/>
    <w:rPr>
      <w:rFonts w:ascii="Times New Roman" w:eastAsia="Times New Roman" w:hAnsi="Times New Roman" w:cs="Times New Roman"/>
      <w:b/>
      <w:bCs/>
      <w:kern w:val="0"/>
      <w:sz w:val="27"/>
      <w:szCs w:val="27"/>
      <w:lang w:eastAsia="pt-BR"/>
      <w14:ligatures w14:val="none"/>
    </w:rPr>
  </w:style>
  <w:style w:type="paragraph" w:customStyle="1" w:styleId="p">
    <w:name w:val="p"/>
    <w:basedOn w:val="Normal"/>
    <w:rsid w:val="00E24C0B"/>
    <w:pPr>
      <w:spacing w:before="100" w:beforeAutospacing="1" w:after="100" w:afterAutospacing="1"/>
    </w:pPr>
  </w:style>
  <w:style w:type="character" w:styleId="Hyperlink">
    <w:name w:val="Hyperlink"/>
    <w:basedOn w:val="Fontepargpadro"/>
    <w:uiPriority w:val="99"/>
    <w:semiHidden/>
    <w:unhideWhenUsed/>
    <w:rsid w:val="00E24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12407">
      <w:bodyDiv w:val="1"/>
      <w:marLeft w:val="0"/>
      <w:marRight w:val="0"/>
      <w:marTop w:val="0"/>
      <w:marBottom w:val="0"/>
      <w:divBdr>
        <w:top w:val="none" w:sz="0" w:space="0" w:color="auto"/>
        <w:left w:val="none" w:sz="0" w:space="0" w:color="auto"/>
        <w:bottom w:val="none" w:sz="0" w:space="0" w:color="auto"/>
        <w:right w:val="none" w:sz="0" w:space="0" w:color="auto"/>
      </w:divBdr>
    </w:div>
    <w:div w:id="1025591526">
      <w:bodyDiv w:val="1"/>
      <w:marLeft w:val="0"/>
      <w:marRight w:val="0"/>
      <w:marTop w:val="0"/>
      <w:marBottom w:val="0"/>
      <w:divBdr>
        <w:top w:val="none" w:sz="0" w:space="0" w:color="auto"/>
        <w:left w:val="none" w:sz="0" w:space="0" w:color="auto"/>
        <w:bottom w:val="none" w:sz="0" w:space="0" w:color="auto"/>
        <w:right w:val="none" w:sz="0" w:space="0" w:color="auto"/>
      </w:divBdr>
    </w:div>
    <w:div w:id="13758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3071</Words>
  <Characters>16588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Renatha Rafihi</dc:creator>
  <cp:keywords/>
  <dc:description/>
  <cp:lastModifiedBy>Renatha Rafihi</cp:lastModifiedBy>
  <cp:revision>18</cp:revision>
  <dcterms:created xsi:type="dcterms:W3CDTF">2024-04-06T17:33:00Z</dcterms:created>
  <dcterms:modified xsi:type="dcterms:W3CDTF">2024-04-08T18:28:00Z</dcterms:modified>
</cp:coreProperties>
</file>