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865FD" w14:textId="77777777" w:rsidR="00311D14" w:rsidRPr="00311D14" w:rsidRDefault="00311D14" w:rsidP="00311D14">
      <w:pPr>
        <w:pStyle w:val="Ttulo1"/>
      </w:pPr>
      <w:r w:rsidRPr="00311D14">
        <w:t>INFORME JURÍDICO-TÉCNICO</w:t>
      </w:r>
      <w:r w:rsidRPr="00311D14">
        <w:br/>
        <w:t>Obligaciones en materia de medidas LGTBI y articulación con el plan de igualdad. Propuesta de actuación para CCASA.</w:t>
      </w:r>
    </w:p>
    <w:p w14:paraId="38ED6C82" w14:textId="70445FB8" w:rsidR="00311D14" w:rsidRPr="00311D14" w:rsidRDefault="00942FB3" w:rsidP="00311D14">
      <w:pPr>
        <w:pStyle w:val="Ttulo2"/>
      </w:pPr>
      <w:r>
        <w:t xml:space="preserve">1. </w:t>
      </w:r>
      <w:r w:rsidR="00311D14" w:rsidRPr="00311D14">
        <w:t>Objeto y alcance</w:t>
      </w:r>
    </w:p>
    <w:p w14:paraId="076889A7" w14:textId="77777777" w:rsidR="00311D14" w:rsidRPr="00311D14" w:rsidRDefault="00311D14" w:rsidP="00311D14">
      <w:r w:rsidRPr="00311D14">
        <w:t>Este informe analiza, conforme a la normativa estatal aplicable en Euskadi, el régimen de obligaciones relativas al conjunto planificado de medidas para la igualdad real y efectiva de las personas LGTBI en el ámbito laboral y su relación con el plan de igualdad, con especial atención a un escenario organizativo en el que el plan de igualdad se encuentra elaborado y en fase próxima de aprobación, sin incorporar medidas LGTBI. Se incorpora, asimismo, una propuesta de alternativas operativas para CCASA, teniendo en cuenta la capacidad técnica disponible en materia de igualdad y la ausencia de especialización interna en medidas LGTBI más allá del diseño de un protocolo de prevención y actuación frente al acoso.</w:t>
      </w:r>
    </w:p>
    <w:p w14:paraId="507577A6" w14:textId="2F1958A5" w:rsidR="00311D14" w:rsidRPr="00311D14" w:rsidRDefault="00942FB3" w:rsidP="00311D14">
      <w:pPr>
        <w:pStyle w:val="Ttulo2"/>
      </w:pPr>
      <w:r>
        <w:t xml:space="preserve">2. </w:t>
      </w:r>
      <w:r w:rsidR="00311D14" w:rsidRPr="00311D14">
        <w:t>Marco normativo aplicable</w:t>
      </w:r>
    </w:p>
    <w:p w14:paraId="31B45C99" w14:textId="77777777" w:rsidR="00280336" w:rsidRPr="00280336" w:rsidRDefault="00280336" w:rsidP="00280336">
      <w:r w:rsidRPr="00280336">
        <w:t xml:space="preserve">El Grupo Motor solicitó a Red Kuorum que abordara la cuestión de cómo incluir las necesidades legales de CECASA en materia de cumplimiento de la legislación LGTBIQ+ en el plan de igualdad. Para ello, Red Kuorum elaboró un informe jurídico-técnico en el que se especificaba el objeto y el alcance del propio documento, que era elaborar un informe que: </w:t>
      </w:r>
    </w:p>
    <w:p w14:paraId="6F511752" w14:textId="77777777" w:rsidR="00280336" w:rsidRPr="00280336" w:rsidRDefault="00280336" w:rsidP="00280336">
      <w:pPr>
        <w:numPr>
          <w:ilvl w:val="0"/>
          <w:numId w:val="80"/>
        </w:numPr>
      </w:pPr>
      <w:r w:rsidRPr="00280336">
        <w:t>analizase la normativa estatal y aplicase su relación con el plan de igualdad de CECASA</w:t>
      </w:r>
    </w:p>
    <w:p w14:paraId="14F89868" w14:textId="77777777" w:rsidR="00280336" w:rsidRPr="00280336" w:rsidRDefault="00280336" w:rsidP="00280336">
      <w:pPr>
        <w:numPr>
          <w:ilvl w:val="0"/>
          <w:numId w:val="80"/>
        </w:numPr>
      </w:pPr>
      <w:r w:rsidRPr="00280336">
        <w:t>elaborase una propuesta de alternativas para CECASA, teniendo en cuenta su situación actual</w:t>
      </w:r>
    </w:p>
    <w:p w14:paraId="1FFB8BC0" w14:textId="77777777" w:rsidR="00280336" w:rsidRPr="00280336" w:rsidRDefault="00280336" w:rsidP="00280336">
      <w:r w:rsidRPr="00280336">
        <w:t xml:space="preserve">Incluía también una descripción del marco normativo aplicable, incluyendo toda la legislación tanto en materia de igualdad como en materia LGTBIQ+, con la Ley 4/2003, el Real Decreto 1026/2024 y, en general, toda la normativa que se ha encontrado en relación con los derechos de las personas LGTBIQ+. Incluye también las opciones de actuación ante un plan de igualdad próximo a la aprobación, sin medidas que no tienen las medidas LGTBIQ+. Entonces se proponían tres opciones: </w:t>
      </w:r>
    </w:p>
    <w:p w14:paraId="102D008C" w14:textId="77777777" w:rsidR="00280336" w:rsidRPr="00280336" w:rsidRDefault="00280336" w:rsidP="00280336">
      <w:pPr>
        <w:numPr>
          <w:ilvl w:val="0"/>
          <w:numId w:val="81"/>
        </w:numPr>
      </w:pPr>
      <w:r w:rsidRPr="00280336">
        <w:t>Elaboración de un instrumento específico de medidas LGTBI sin rehacer el plan de igualdad</w:t>
      </w:r>
    </w:p>
    <w:p w14:paraId="4AC25658" w14:textId="77777777" w:rsidR="00280336" w:rsidRDefault="00280336" w:rsidP="00BA6688">
      <w:pPr>
        <w:numPr>
          <w:ilvl w:val="0"/>
          <w:numId w:val="81"/>
        </w:numPr>
      </w:pPr>
      <w:r w:rsidRPr="00280336">
        <w:t>Rehacer o reabrir el plan de igualdad para integrar un eje LGTBI completo</w:t>
      </w:r>
    </w:p>
    <w:p w14:paraId="457C0D0C" w14:textId="05D1554E" w:rsidR="00311D14" w:rsidRPr="00311D14" w:rsidRDefault="00280336" w:rsidP="00BA6688">
      <w:pPr>
        <w:numPr>
          <w:ilvl w:val="0"/>
          <w:numId w:val="81"/>
        </w:numPr>
      </w:pPr>
      <w:r w:rsidRPr="00280336">
        <w:t xml:space="preserve">Una opción híbrida: aprobar el plan de igualdad y aprobar simultáneamente una agenda negociada de compromisos y calendario, seguida de un plan LGTBIQ+ </w:t>
      </w:r>
      <w:proofErr w:type="spellStart"/>
      <w:r w:rsidRPr="00280336">
        <w:t>completo</w:t>
      </w:r>
      <w:r w:rsidR="00311D14" w:rsidRPr="00311D14">
        <w:t>Este</w:t>
      </w:r>
      <w:proofErr w:type="spellEnd"/>
      <w:r w:rsidR="00311D14" w:rsidRPr="00311D14">
        <w:t xml:space="preserve"> instrumento se orienta a corregir desigualdades estructurales de género en el acceso, la clasificación profesional, la promoción, la retribución, la conciliación y la prevención del acoso sexual y por razón de sexo.</w:t>
      </w:r>
    </w:p>
    <w:p w14:paraId="430D54DC" w14:textId="77777777" w:rsidR="00311D14" w:rsidRPr="00311D14" w:rsidRDefault="00311D14" w:rsidP="00311D14">
      <w:r w:rsidRPr="00311D14">
        <w:t xml:space="preserve">La Ley 4/2023, para la igualdad real y efectiva de las personas trans y para la garantía de los derechos LGTBI, incorpora un mandato específico en materia laboral: las entidades con más de cincuenta personas trabajadoras deben disponer de un conjunto planificado de medidas y recursos para alcanzar la igualdad real y efectiva de las personas LGTBI, incluyendo un protocolo de actuación frente al acoso o la violencia por motivos </w:t>
      </w:r>
      <w:proofErr w:type="spellStart"/>
      <w:r w:rsidRPr="00311D14">
        <w:t>LGTBIfóbicos</w:t>
      </w:r>
      <w:proofErr w:type="spellEnd"/>
      <w:r w:rsidRPr="00311D14">
        <w:t>. El desarrollo reglamentario de esta obligación se recoge en el Real Decreto 1026/2024, que concreta la negociación, los contenidos mínimos y las exigencias operativas de estas medidas.</w:t>
      </w:r>
    </w:p>
    <w:p w14:paraId="717D4B0B" w14:textId="77777777" w:rsidR="00311D14" w:rsidRPr="00311D14" w:rsidRDefault="00311D14" w:rsidP="00311D14">
      <w:r w:rsidRPr="00311D14">
        <w:t xml:space="preserve">En el empleo público, la Ley 4/2023 impone igualmente la obligación de implantar medidas, previa negociación con la representación sindical, para garantizar la igualdad de trato y la no </w:t>
      </w:r>
      <w:r w:rsidRPr="00311D14">
        <w:lastRenderedPageBreak/>
        <w:t>discriminación de las personas LGTBI en el acceso y la carrera profesional, así como instrumentos de prevención y respuesta frente a conductas discriminatorias. Aunque la norma no exige necesariamente un documento separado denominado “plan LGTBI” en todas las configuraciones institucionales, sí exige resultados verificables: medidas efectivas, negociadas, dotadas de recursos y evaluables.</w:t>
      </w:r>
    </w:p>
    <w:p w14:paraId="6EB4DE01" w14:textId="25FD56DC" w:rsidR="00311D14" w:rsidRPr="00311D14" w:rsidRDefault="00942FB3" w:rsidP="00311D14">
      <w:pPr>
        <w:pStyle w:val="Ttulo2"/>
      </w:pPr>
      <w:r>
        <w:t xml:space="preserve">3. </w:t>
      </w:r>
      <w:r w:rsidR="00311D14" w:rsidRPr="00311D14">
        <w:t>Relación entre plan de igualdad y medidas LGTBI</w:t>
      </w:r>
    </w:p>
    <w:p w14:paraId="2BB5B3B1" w14:textId="77777777" w:rsidR="00311D14" w:rsidRPr="00311D14" w:rsidRDefault="00311D14" w:rsidP="00311D14">
      <w:r w:rsidRPr="00311D14">
        <w:t>El plan de igualdad y el conjunto planificado de medidas LGTBI responden a mandatos distintos y no deben confundirse. La integración de medidas LGTBI dentro del plan de igualdad es jurídicamente posible cuando se preserva la autonomía material del mandato LGTBI: debe existir un bloque claramente identificable, con diagnóstico, objetivos, medidas, calendario, responsables, indicadores de seguimiento y, de forma imprescindible, el protocolo de actuación frente al acoso o la violencia hacia personas LGTBI.</w:t>
      </w:r>
    </w:p>
    <w:p w14:paraId="74BB535B" w14:textId="77777777" w:rsidR="00311D14" w:rsidRPr="00311D14" w:rsidRDefault="00311D14" w:rsidP="00311D14">
      <w:r w:rsidRPr="00311D14">
        <w:t>Si la integración se limita a declaraciones generales o a una mención accesoria sin estructura, negociación y trazabilidad, el cumplimiento queda comprometido. La cuestión no es el nombre del documento, sino la existencia de un conjunto planificado, negociado y aplicable en la práctica. De cara a eventuales requerimientos de control interno o de Inspección de Trabajo, la verificabilidad es el criterio determinante: debe poder acreditarse que la entidad dispone de medidas concretas para prevenir, detectar y corregir discriminaciones LGTBI en procesos y prácticas laborales (selección y contratación, promoción, condiciones de trabajo, formación, comunicación interna, gestión de incidencias, régimen disciplinario).</w:t>
      </w:r>
    </w:p>
    <w:p w14:paraId="5179C3E4" w14:textId="02E92FA7" w:rsidR="00311D14" w:rsidRPr="00311D14" w:rsidRDefault="00942FB3" w:rsidP="00311D14">
      <w:pPr>
        <w:pStyle w:val="Ttulo2"/>
      </w:pPr>
      <w:r>
        <w:t xml:space="preserve">4. </w:t>
      </w:r>
      <w:r w:rsidR="00311D14" w:rsidRPr="00311D14">
        <w:t>Opciones de actuación ante un plan de igualdad próximo a aprobación sin medidas LGTBI</w:t>
      </w:r>
    </w:p>
    <w:p w14:paraId="475CE927" w14:textId="77777777" w:rsidR="00311D14" w:rsidRPr="00311D14" w:rsidRDefault="00311D14" w:rsidP="00311D14">
      <w:r w:rsidRPr="00311D14">
        <w:t>En el escenario descrito, existen dos alternativas principales, con una tercera opción híbrida recomendada por criterios de gobernanza y gestión del riesgo.</w:t>
      </w:r>
    </w:p>
    <w:p w14:paraId="52696983" w14:textId="77777777" w:rsidR="00311D14" w:rsidRPr="00311D14" w:rsidRDefault="00311D14" w:rsidP="00311D14">
      <w:pPr>
        <w:pStyle w:val="Ttulo3"/>
      </w:pPr>
      <w:r w:rsidRPr="00311D14">
        <w:t>4.1. Elaboración de un instrumento específico de medidas LGTBI (plan o acuerdo LGTBI) sin rehacer el plan de igualdad</w:t>
      </w:r>
    </w:p>
    <w:p w14:paraId="3101B975" w14:textId="77777777" w:rsidR="00311D14" w:rsidRPr="00311D14" w:rsidRDefault="00311D14" w:rsidP="00311D14">
      <w:r w:rsidRPr="00311D14">
        <w:t>Esta alternativa consiste en aprobar el plan de igualdad ya elaborado (siempre que cumpla sus exigencias propias) y, de forma paralela e inmediata, negociar y aprobar un instrumento específico que contenga el conjunto planificado de medidas LGTBI conforme a Ley 4/2023 y RD 1026/2024.</w:t>
      </w:r>
    </w:p>
    <w:p w14:paraId="2A348271" w14:textId="77777777" w:rsidR="00311D14" w:rsidRPr="00311D14" w:rsidRDefault="00311D14" w:rsidP="00311D14">
      <w:r w:rsidRPr="00311D14">
        <w:t>Ventajas. Evita retrasar la aprobación del plan de igualdad ya avanzado; permite concentrar recursos técnicos y participación en un documento focalizado; facilita la trazabilidad del cumplimiento LGTBI y la rendición de cuentas; reduce el riesgo de que la integración precipitada se quede en formulaciones vagas.</w:t>
      </w:r>
    </w:p>
    <w:p w14:paraId="3B7CE0B9" w14:textId="77777777" w:rsidR="00311D14" w:rsidRPr="00311D14" w:rsidRDefault="00311D14" w:rsidP="00311D14">
      <w:r w:rsidRPr="00311D14">
        <w:t>Riesgos y condiciones. Exige activar de inmediato el proceso negociador correspondiente y dotar el instrumento de contenido técnico suficiente; requiere coherencia con el plan de igualdad para evitar contradicciones (por ejemplo, en formación, canales de denuncia, régimen disciplinario); obliga a coordinar protocolos para que no existan procedimientos paralelos incompatibles.</w:t>
      </w:r>
    </w:p>
    <w:p w14:paraId="40C5F179" w14:textId="77777777" w:rsidR="00311D14" w:rsidRPr="00311D14" w:rsidRDefault="00311D14" w:rsidP="00311D14">
      <w:pPr>
        <w:pStyle w:val="Ttulo3"/>
      </w:pPr>
      <w:r w:rsidRPr="00311D14">
        <w:t>4.2. Rehacer o reabrir el plan de igualdad para integrar un eje LGTBI completo</w:t>
      </w:r>
    </w:p>
    <w:p w14:paraId="04CD87C0" w14:textId="77777777" w:rsidR="00311D14" w:rsidRPr="00311D14" w:rsidRDefault="00311D14" w:rsidP="00311D14">
      <w:r w:rsidRPr="00311D14">
        <w:t>Esta alternativa implica reabrir el plan de igualdad antes de su aprobación para incorporar un eje LGTBI plenamente desarrollado. No se trata de “añadir un anexo”, sino de incorporar un bloque con diagnóstico, medidas y evaluación.</w:t>
      </w:r>
    </w:p>
    <w:p w14:paraId="5BDD8D97" w14:textId="77777777" w:rsidR="00311D14" w:rsidRPr="00311D14" w:rsidRDefault="00311D14" w:rsidP="00311D14">
      <w:r w:rsidRPr="00311D14">
        <w:t>Ventajas. Unifica la arquitectura de igualdad y no discriminación en un solo instrumento; evita duplicidades formales; facilita la integración en el sistema de gestión interna (seguimiento, comisiones, informes).</w:t>
      </w:r>
    </w:p>
    <w:p w14:paraId="5D8DC693" w14:textId="77777777" w:rsidR="00311D14" w:rsidRPr="00311D14" w:rsidRDefault="00311D14" w:rsidP="00311D14">
      <w:r w:rsidRPr="00311D14">
        <w:t>Riesgos y condiciones. Puede retrasar la aprobación del plan de igualdad; exige capacidad técnica y tiempo para construir un eje LGTBI solvente; incrementa el riesgo de errores si se hace de forma acelerada, con medidas poco operativas o sin el suficiente consenso.</w:t>
      </w:r>
    </w:p>
    <w:p w14:paraId="2307E4BF" w14:textId="77777777" w:rsidR="00311D14" w:rsidRPr="00311D14" w:rsidRDefault="00311D14" w:rsidP="00311D14">
      <w:pPr>
        <w:pStyle w:val="Ttulo3"/>
        <w:rPr>
          <w:rStyle w:val="Ttulo3Car"/>
          <w:caps/>
        </w:rPr>
      </w:pPr>
      <w:r w:rsidRPr="00311D14">
        <w:t>4</w:t>
      </w:r>
      <w:r w:rsidRPr="00311D14">
        <w:rPr>
          <w:rStyle w:val="Ttulo3Car"/>
          <w:caps/>
        </w:rPr>
        <w:t>.3. Opción híbrida preferente: aprobación del plan de igualdad y aprobación simultánea de una adenda negociada con compromisos y calendario, seguida de un plan LGTBI completo</w:t>
      </w:r>
    </w:p>
    <w:p w14:paraId="00DF4A15" w14:textId="77777777" w:rsidR="00311D14" w:rsidRPr="00311D14" w:rsidRDefault="00311D14" w:rsidP="00311D14">
      <w:r w:rsidRPr="00311D14">
        <w:t>Esta alternativa, especialmente adecuada cuando hay un plan de igualdad a punto de aprobarse y la organización no dispone de experticia LGTBI suficiente, combina seguridad jurídica y viabilidad operativa:</w:t>
      </w:r>
    </w:p>
    <w:p w14:paraId="1129C12D" w14:textId="613A36C2" w:rsidR="00311D14" w:rsidRPr="00311D14" w:rsidRDefault="00311D14" w:rsidP="00311D14">
      <w:r w:rsidRPr="00311D14">
        <w:t>a) Se aprueba el plan de igualdad en su versión actual para no bloquear el cumplimiento de género.</w:t>
      </w:r>
      <w:r w:rsidRPr="00311D14">
        <w:br/>
        <w:t>b) Se negocia y aprueba, de manera simultánea o inmediatamente posterior, una adenda o acuerdo puente que incluya: el protocolo de actuación frente al acoso o la violencia hacia personas LGTBI (integrado con el protocolo de acoso ya previsto, con garantías de confidencialidad y no represalia), un compromiso formal de elaboración del conjunto planificado de medidas LGTBI en un plazo breve, la constitución de un grupo de trabajo o comisión técnica y un calendario de diagnóstico y diseño de medidas.</w:t>
      </w:r>
      <w:r w:rsidRPr="00311D14">
        <w:br/>
        <w:t>c) Se elabora y aprueba el instrumento LGTBI completo o el eje LGTBI integrado, según se decida</w:t>
      </w:r>
      <w:r>
        <w:t>,</w:t>
      </w:r>
      <w:r w:rsidRPr="00311D14">
        <w:t xml:space="preserve"> con apoyo especializado.</w:t>
      </w:r>
    </w:p>
    <w:p w14:paraId="09E4A203" w14:textId="77777777" w:rsidR="00311D14" w:rsidRPr="00311D14" w:rsidRDefault="00311D14" w:rsidP="00311D14">
      <w:r w:rsidRPr="00311D14">
        <w:t>Ventajas. Asegura una respuesta inmediata y defendible (no se queda en promesas vagas), sin comprometer la calidad técnica del plan LGTBI; permite incorporar apoyo externo sin paralizar la aprobación del plan de igualdad; reduce el riesgo de incumplimiento material por falta de contenido.</w:t>
      </w:r>
    </w:p>
    <w:p w14:paraId="2327F0B8" w14:textId="607C28A9" w:rsidR="00311D14" w:rsidRPr="00311D14" w:rsidRDefault="00942FB3" w:rsidP="00311D14">
      <w:pPr>
        <w:pStyle w:val="Ttulo2"/>
      </w:pPr>
      <w:r>
        <w:t xml:space="preserve">5. </w:t>
      </w:r>
      <w:r w:rsidR="00311D14" w:rsidRPr="00311D14">
        <w:t>Implicaciones de capacidad técnica y cómo resolver la falta de experticia LGTBI</w:t>
      </w:r>
    </w:p>
    <w:p w14:paraId="4E4A97B3" w14:textId="49A51DEF" w:rsidR="00311D14" w:rsidRPr="00311D14" w:rsidRDefault="00311D14" w:rsidP="00311D14">
      <w:r w:rsidRPr="00311D14">
        <w:t xml:space="preserve">La limitación señalada es estructural: una asistencia técnica de igualdad con trayectoria en planes de igualdad </w:t>
      </w:r>
      <w:r>
        <w:t xml:space="preserve">entre mujeres y hombres </w:t>
      </w:r>
      <w:r w:rsidRPr="00311D14">
        <w:t>puede diseñar un protocolo de acoso robusto y transversal, pero no necesariamente domina la prevención de discriminaciones LGTBI en los procesos de contratación, ni la construcción de itinerarios formativos específicos, ni la adaptación de procedimientos para el reconocimiento de identidad y expresión de género. Esta brecha no debe resolverse con improvisación, porque debilita el cumplimiento y expone a la entidad a medidas formales sin eficacia real.</w:t>
      </w:r>
    </w:p>
    <w:p w14:paraId="1EAA8FD9" w14:textId="77777777" w:rsidR="00311D14" w:rsidRPr="00311D14" w:rsidRDefault="00311D14" w:rsidP="00311D14">
      <w:r w:rsidRPr="00311D14">
        <w:t>En este punto, desde una perspectiva de diligencia debida y cumplimiento, se recomiendan tres líneas complementarias:</w:t>
      </w:r>
    </w:p>
    <w:p w14:paraId="105D4383" w14:textId="77777777" w:rsidR="00311D14" w:rsidRPr="00311D14" w:rsidRDefault="00311D14" w:rsidP="00311D14">
      <w:r w:rsidRPr="00311D14">
        <w:t>a) Incorporar apoyo especializado externo para el diseño del bloque LGTBI. Esto puede articularse como un encargo acotado: diagnóstico de riesgos y prácticas, propuesta de medidas mínimas alineadas con RD 1026/2024, diseño de formación por perfiles (dirección, mando intermedio, personal de atención al público, RRHH/selección, conjunto de la plantilla), y revisión de documentos y procedimientos internos. El objetivo no es externalizar la responsabilidad, sino asegurar la calidad técnica del conjunto planificado.</w:t>
      </w:r>
    </w:p>
    <w:p w14:paraId="6D078B41" w14:textId="77777777" w:rsidR="00311D14" w:rsidRDefault="00311D14" w:rsidP="00311D14">
      <w:r>
        <w:t>b</w:t>
      </w:r>
      <w:r w:rsidRPr="00311D14">
        <w:t xml:space="preserve">) Adoptar, como punto de partida, un paquete de medidas mínimas verificables por áreas (selección, promoción, formación, comunicación, gestión de incidencias y disciplina) y, en paralelo, desarrollar medidas de mejora en un segundo ciclo, evitando una primera versión demasiado ambiciosa pero irrealizable. </w:t>
      </w:r>
    </w:p>
    <w:p w14:paraId="7B313CDC" w14:textId="751015AE" w:rsidR="00311D14" w:rsidRPr="00311D14" w:rsidRDefault="00311D14" w:rsidP="00311D14">
      <w:r>
        <w:t>c</w:t>
      </w:r>
      <w:r w:rsidRPr="00311D14">
        <w:t xml:space="preserve">) </w:t>
      </w:r>
      <w:r>
        <w:t>En el proceso, f</w:t>
      </w:r>
      <w:r w:rsidRPr="00311D14">
        <w:t>ormar a la asistencia técnica y a los equipos clave en un formato “</w:t>
      </w:r>
      <w:proofErr w:type="spellStart"/>
      <w:r w:rsidRPr="00311D14">
        <w:t>train-the-trainer</w:t>
      </w:r>
      <w:proofErr w:type="spellEnd"/>
      <w:r w:rsidRPr="00311D14">
        <w:t>”</w:t>
      </w:r>
      <w:r>
        <w:t xml:space="preserve">, sobre la aplicación de las medidas y, en las que no sea factible, establecer presupuesto de externalización. </w:t>
      </w:r>
    </w:p>
    <w:p w14:paraId="75BD7B95" w14:textId="2AF8C074" w:rsidR="00311D14" w:rsidRPr="00311D14" w:rsidRDefault="00311D14" w:rsidP="00311D14"/>
    <w:p w14:paraId="013AFDA4" w14:textId="44306BDC" w:rsidR="00311D14" w:rsidRPr="00311D14" w:rsidRDefault="00942FB3" w:rsidP="00311D14">
      <w:pPr>
        <w:pStyle w:val="Ttulo2"/>
      </w:pPr>
      <w:r>
        <w:t xml:space="preserve">6. </w:t>
      </w:r>
      <w:r w:rsidR="00311D14" w:rsidRPr="00311D14">
        <w:t>Contenidos mínimos que deben cubrirse aunque no exista experticia interna</w:t>
      </w:r>
    </w:p>
    <w:p w14:paraId="4F212F74" w14:textId="77777777" w:rsidR="00311D14" w:rsidRPr="00311D14" w:rsidRDefault="00311D14" w:rsidP="00311D14">
      <w:r w:rsidRPr="00311D14">
        <w:t>Para que el cumplimiento sea defendible, el conjunto planificado de medidas LGTBI debe cubrir, como mínimo, los siguientes ámbitos, adaptados al tamaño y funciones de CCASA:</w:t>
      </w:r>
    </w:p>
    <w:p w14:paraId="47265BCB" w14:textId="77777777" w:rsidR="00311D14" w:rsidRPr="00311D14" w:rsidRDefault="00311D14" w:rsidP="00311D14">
      <w:r w:rsidRPr="00311D14">
        <w:t>Selección y contratación. Revisión de ofertas y formularios para eliminar sesgos; criterios objetivos; pautas de entrevista que eviten preguntas intrusivas; mecanismos de corrección ante discriminaciones; instrucciones internas para empresas proveedoras o procesos externalizados de selección, si existieran. En entornos de atención al público, incluir garantías para no discriminar por expresión de género en uniformidad, imagen o trato.</w:t>
      </w:r>
    </w:p>
    <w:p w14:paraId="259C5A35" w14:textId="77777777" w:rsidR="00311D14" w:rsidRPr="00311D14" w:rsidRDefault="00311D14" w:rsidP="00311D14">
      <w:r w:rsidRPr="00311D14">
        <w:t>Clasificación y promoción. Criterios transparentes; prevención de sesgos; garantías frente a represalias o penalizaciones informales por visibilidad LGTBI; medidas de apoyo a personas trans en procesos de transición social y administrativa en el trabajo, si aplica.</w:t>
      </w:r>
    </w:p>
    <w:p w14:paraId="7A3D6676" w14:textId="77777777" w:rsidR="00311D14" w:rsidRPr="00311D14" w:rsidRDefault="00311D14" w:rsidP="00311D14">
      <w:r w:rsidRPr="00311D14">
        <w:t>Formación. Diseño por capas: sensibilización general para toda la plantilla; formación específica para responsables de personal y selección; formación para mandos sobre prevención y gestión de conflictos; formación para equipos de atención directa al público en trato respetuoso, gestión de documentación y lenguaje inclusivo.</w:t>
      </w:r>
    </w:p>
    <w:p w14:paraId="2090BA73" w14:textId="6CB44B74" w:rsidR="00311D14" w:rsidRPr="00311D14" w:rsidRDefault="00311D14" w:rsidP="00311D14">
      <w:r w:rsidRPr="00311D14">
        <w:t>Entorno laboral y comunicación interna. Lenguaje inclusivo; sistemas de registro y uso del nombre sentido; comunicación de derechos y canales; cartelería o mensajes institucionales no performativos sino operativos; medidas de convivencia y clima.</w:t>
      </w:r>
      <w:r>
        <w:t xml:space="preserve"> (esto si puede hacer la asistencia técnica de igualdad)</w:t>
      </w:r>
    </w:p>
    <w:p w14:paraId="24493779" w14:textId="77777777" w:rsidR="00311D14" w:rsidRPr="00311D14" w:rsidRDefault="00311D14" w:rsidP="00311D14">
      <w:r w:rsidRPr="00311D14">
        <w:t xml:space="preserve">Protocolo frente al acoso o la violencia </w:t>
      </w:r>
      <w:proofErr w:type="spellStart"/>
      <w:r w:rsidRPr="00311D14">
        <w:t>LGTBIfóbica</w:t>
      </w:r>
      <w:proofErr w:type="spellEnd"/>
      <w:r w:rsidRPr="00311D14">
        <w:t xml:space="preserve">. Integración con el protocolo de acoso existente, incorporando tipificación de conductas </w:t>
      </w:r>
      <w:proofErr w:type="spellStart"/>
      <w:r w:rsidRPr="00311D14">
        <w:t>LGTBIfóbicas</w:t>
      </w:r>
      <w:proofErr w:type="spellEnd"/>
      <w:r w:rsidRPr="00311D14">
        <w:t>, procedimiento claro, confidencialidad, no represalia, medidas cautelares y acompañamiento.</w:t>
      </w:r>
      <w:r>
        <w:t xml:space="preserve"> </w:t>
      </w:r>
      <w:r w:rsidRPr="00311D14">
        <w:t>Régimen disciplinario y seguimiento. Tipificación interna; indicadores; evaluación anual; comisión responsable y rendición de cuentas.</w:t>
      </w:r>
      <w:r>
        <w:t xml:space="preserve"> (esto también puede hacer la asistencia técnica actual) </w:t>
      </w:r>
    </w:p>
    <w:p w14:paraId="19DCCFD6" w14:textId="27E1ECFB" w:rsidR="00311D14" w:rsidRPr="00311D14" w:rsidRDefault="00311D14" w:rsidP="00311D14"/>
    <w:p w14:paraId="471E0601" w14:textId="6123B3DF" w:rsidR="00311D14" w:rsidRPr="00311D14" w:rsidRDefault="00942FB3" w:rsidP="00311D14">
      <w:pPr>
        <w:pStyle w:val="Ttulo2"/>
      </w:pPr>
      <w:r>
        <w:t xml:space="preserve">8. </w:t>
      </w:r>
      <w:r w:rsidR="00311D14" w:rsidRPr="00311D14">
        <w:t>Recomendación operativa</w:t>
      </w:r>
    </w:p>
    <w:p w14:paraId="65D93638" w14:textId="77777777" w:rsidR="00311D14" w:rsidRPr="00311D14" w:rsidRDefault="00311D14" w:rsidP="00311D14">
      <w:r w:rsidRPr="00311D14">
        <w:t xml:space="preserve">Con los elementos descritos (plan de igualdad ya elaborado y en fase próxima de aprobación, ausencia de medidas LGTBI, capacidad interna limitada), la alternativa más robusta y realista es la opción híbrida: </w:t>
      </w:r>
      <w:bookmarkStart w:id="0" w:name="OLE_LINK1"/>
      <w:r w:rsidRPr="00311D14">
        <w:t xml:space="preserve">aprobar el plan de igualdad sin demoras y, de forma inmediata, aprobar un acuerdo puente que incorpore un protocolo transversal de acoso que incluya expresamente acoso sexual, por razón de sexo y por motivos </w:t>
      </w:r>
      <w:proofErr w:type="spellStart"/>
      <w:r w:rsidRPr="00311D14">
        <w:t>LGTBIfóbicos</w:t>
      </w:r>
      <w:proofErr w:type="spellEnd"/>
      <w:r w:rsidRPr="00311D14">
        <w:t xml:space="preserve">, junto con un compromiso negociado y calendarizado para elaborar el conjunto planificado de medidas LGTBI con apoyo especializado. </w:t>
      </w:r>
      <w:bookmarkEnd w:id="0"/>
      <w:r w:rsidRPr="00311D14">
        <w:t>De este modo, CCASA evita un doble riesgo: incumplir por retraso el plan de igualdad y, al mismo tiempo, incumplir materialmente la obligación LGTBI por falta de contenido técnico.</w:t>
      </w:r>
    </w:p>
    <w:p w14:paraId="5901E4B9" w14:textId="24E11513" w:rsidR="00311D14" w:rsidRPr="00311D14" w:rsidRDefault="00942FB3" w:rsidP="00311D14">
      <w:pPr>
        <w:pStyle w:val="Ttulo2"/>
      </w:pPr>
      <w:r>
        <w:t xml:space="preserve">9. </w:t>
      </w:r>
      <w:r w:rsidR="00311D14" w:rsidRPr="00311D14">
        <w:t>Aplicación al caso CCASA</w:t>
      </w:r>
    </w:p>
    <w:p w14:paraId="38B07A01" w14:textId="77777777" w:rsidR="00311D14" w:rsidRPr="00311D14" w:rsidRDefault="00311D14" w:rsidP="00311D14">
      <w:r w:rsidRPr="00311D14">
        <w:t>CCASA dispone de un plan de igualdad elaborado y pendiente de aprobación, que no contempla medidas específicas LGTBI. En este escenario, la actuación más prudente desde el punto de vista jurídico y de cumplimiento consiste en no aprobar un plan de igualdad “cerrado” como si la cuestión LGTBI no existiera, pero tampoco en reabrirlo de forma precipitada sin capacidad técnica suficiente.</w:t>
      </w:r>
    </w:p>
    <w:p w14:paraId="6545484F" w14:textId="77777777" w:rsidR="00311D14" w:rsidRPr="00311D14" w:rsidRDefault="00311D14" w:rsidP="00311D14">
      <w:r w:rsidRPr="00311D14">
        <w:t>Se propone una secuencia de tres decisiones operativas, negociadas con la representación legal de las personas trabajadoras:</w:t>
      </w:r>
    </w:p>
    <w:p w14:paraId="2DF3F7A3" w14:textId="77777777" w:rsidR="00311D14" w:rsidRPr="00311D14" w:rsidRDefault="00311D14" w:rsidP="00311D14">
      <w:r w:rsidRPr="00311D14">
        <w:t>Primera decisión: aprobar el plan de igualdad ya elaborado, incorporando en el propio acuerdo de aprobación una cláusula de coherencia que vincule su sistema de gobernanza (comisión de seguimiento, informes periódicos) con la posterior incorporación del bloque LGTBI, evitando que el plan quede aislado como instrumento exclusivo de género.</w:t>
      </w:r>
    </w:p>
    <w:p w14:paraId="036FE223" w14:textId="77777777" w:rsidR="00311D14" w:rsidRPr="00311D14" w:rsidRDefault="00311D14" w:rsidP="00311D14">
      <w:r w:rsidRPr="00311D14">
        <w:t>Segunda decisión: elaborar y aprobar de inmediato un instrumento específico de medidas LGTBI, en formato de acuerdo o plan separado, con dos piezas mínimas: un protocolo de prevención y actuación frente al acoso o la violencia hacia personas LGTBI integrado en el protocolo de acoso existente (de manera que exista un único canal y un único procedimiento, con tipificación completa de conductas) y un calendario de trabajo para el diseño del resto de medidas, con asignación de responsabilidades y una comisión técnica específica.</w:t>
      </w:r>
    </w:p>
    <w:p w14:paraId="76431BD9" w14:textId="77777777" w:rsidR="00311D14" w:rsidRPr="00311D14" w:rsidRDefault="00311D14" w:rsidP="00311D14">
      <w:r w:rsidRPr="00311D14">
        <w:t>Tercera decisión: encargar apoyo especializado para construir el bloque LGTBI en aquellas áreas donde la asistencia técnica de igualdad no tiene solvencia acreditada, especialmente en selección y contratación, así como en formación. Este apoyo puede diseñar un paquete de medidas aplicables a CCASA con enfoque preventivo (criterios de selección, materiales formativos, guías de entrevista, protocolos de respeto a la identidad y expresión de género) y transferir capacidades a la asistencia técnica mediante formación de formadoras y formadores internos. El resultado debe integrarse en un instrumento LGTBI completo o, si se prefiere una arquitectura única, incorporarse al plan de igualdad mediante una modificación formal una vez madurado el contenido.</w:t>
      </w:r>
    </w:p>
    <w:p w14:paraId="07904A73" w14:textId="00DD3860" w:rsidR="004B206D" w:rsidRDefault="00311D14" w:rsidP="00311D14">
      <w:r w:rsidRPr="00311D14">
        <w:t>En términos de opción estratégica, CCASA puede escoger entre elaborar un plan LGTBI aparte o rehacer el plan actual, pero la elección debe atender al criterio de suficiencia técnica y trazabilidad. Si se dispone de poco margen temporal y no existe experticia interna para diseñar medidas sólidas de contratación y formación, resulta más seguro aprobar el plan de igualdad y desarrollar un plan LGTBI específico con apoyo especializado, manteniendo coordinación y coherencia de seguimiento. Si la organización prefiere una única arquitectura documental, la integración en el plan de igualdad es viable, pero exige reabrirlo con tiempo suficiente para producir un eje LGTBI completo, negociado y evaluable, evitando soluciones cosméticas.</w:t>
      </w:r>
    </w:p>
    <w:p w14:paraId="41C85E2B" w14:textId="77777777" w:rsidR="004B206D" w:rsidRDefault="004B206D">
      <w:r>
        <w:br w:type="page"/>
      </w:r>
    </w:p>
    <w:p w14:paraId="0BAF694F" w14:textId="3A40069A" w:rsidR="00942FB3" w:rsidRDefault="00942FB3" w:rsidP="00942FB3">
      <w:pPr>
        <w:pStyle w:val="Ttulo1"/>
      </w:pPr>
      <w:r>
        <w:t>MODELO DE ACUERDO</w:t>
      </w:r>
    </w:p>
    <w:p w14:paraId="158C3328" w14:textId="69F23385" w:rsidR="004B206D" w:rsidRPr="004B206D" w:rsidRDefault="004B206D" w:rsidP="004B206D">
      <w:r w:rsidRPr="004B206D">
        <w:t>REUNIDAS</w:t>
      </w:r>
    </w:p>
    <w:p w14:paraId="3E934765" w14:textId="32CB4CF1" w:rsidR="004B206D" w:rsidRPr="004B206D" w:rsidRDefault="004B206D" w:rsidP="004B206D">
      <w:r w:rsidRPr="004B206D">
        <w:t xml:space="preserve">De una parte, la representación de </w:t>
      </w:r>
      <w:r w:rsidR="00942FB3">
        <w:t xml:space="preserve">Centro de Cálculo de Álava </w:t>
      </w:r>
      <w:r w:rsidRPr="004B206D">
        <w:t>CCASA.</w:t>
      </w:r>
    </w:p>
    <w:p w14:paraId="3326BA92" w14:textId="77777777" w:rsidR="004B206D" w:rsidRPr="004B206D" w:rsidRDefault="004B206D" w:rsidP="004B206D">
      <w:r w:rsidRPr="004B206D">
        <w:t>De otra parte, la representación legal de las personas trabajadoras de CCASA.</w:t>
      </w:r>
    </w:p>
    <w:p w14:paraId="6FD03473" w14:textId="77777777" w:rsidR="004B206D" w:rsidRPr="004B206D" w:rsidRDefault="004B206D" w:rsidP="004B206D">
      <w:r w:rsidRPr="004B206D">
        <w:t>Ambas partes, reconociéndose capacidad suficiente para negociar y suscribir el presente acuerdo, y en el marco de la Comisión de Seguimiento del Plan de Igualdad, que actuará como órgano de seguimiento de las medidas LGTBI conforme a lo aquí previsto,</w:t>
      </w:r>
    </w:p>
    <w:p w14:paraId="21790F93" w14:textId="77777777" w:rsidR="004B206D" w:rsidRPr="004B206D" w:rsidRDefault="004B206D" w:rsidP="004B206D">
      <w:r w:rsidRPr="004B206D">
        <w:t>EXPONEN</w:t>
      </w:r>
    </w:p>
    <w:p w14:paraId="3C572E2E" w14:textId="77777777" w:rsidR="004B206D" w:rsidRPr="004B206D" w:rsidRDefault="004B206D" w:rsidP="004B206D">
      <w:r w:rsidRPr="004B206D">
        <w:t>I. Que CCASA ha elaborado un Plan de Igualdad y se encuentra en fase próxima de aprobación.</w:t>
      </w:r>
    </w:p>
    <w:p w14:paraId="779361E4" w14:textId="77777777" w:rsidR="004B206D" w:rsidRPr="004B206D" w:rsidRDefault="004B206D" w:rsidP="004B206D">
      <w:r w:rsidRPr="004B206D">
        <w:t xml:space="preserve">II. Que la Ley 4/2023, para la igualdad real y efectiva de las personas trans y para la garantía de los derechos LGTBI, establece la obligación de disponer de un conjunto planificado de medidas y recursos para garantizar la igualdad real y efectiva de las personas LGTBI en el ámbito laboral, incluyendo un protocolo de actuación frente al acoso o la violencia por motivos </w:t>
      </w:r>
      <w:proofErr w:type="spellStart"/>
      <w:r w:rsidRPr="004B206D">
        <w:t>LGTBIfóbicos</w:t>
      </w:r>
      <w:proofErr w:type="spellEnd"/>
      <w:r w:rsidRPr="004B206D">
        <w:t>.</w:t>
      </w:r>
    </w:p>
    <w:p w14:paraId="6C1F5718" w14:textId="77777777" w:rsidR="004B206D" w:rsidRPr="004B206D" w:rsidRDefault="004B206D" w:rsidP="004B206D">
      <w:r w:rsidRPr="004B206D">
        <w:t>III. Que CCASA dispone de un protocolo vigente de prevención y actuación frente al acoso sexual y por razón de sexo, cuya revisión está prevista para el mes de octubre del presente año.</w:t>
      </w:r>
    </w:p>
    <w:p w14:paraId="095D29E2" w14:textId="77777777" w:rsidR="004B206D" w:rsidRPr="004B206D" w:rsidRDefault="004B206D" w:rsidP="004B206D">
      <w:r w:rsidRPr="004B206D">
        <w:t>IV. Que, a fin de compatibilizar la aprobación inminente del Plan de Igualdad con la implantación progresiva, rigurosa y negociada del conjunto planificado de medidas LGTBI, las partes consideran necesario suscribir un acuerdo puente que establezca, con efectos inmediatos, un marco transitorio de protección y un calendario cerrado de elaboración y aprobación de instrumentos y medidas.</w:t>
      </w:r>
    </w:p>
    <w:p w14:paraId="561C87CF" w14:textId="77777777" w:rsidR="004B206D" w:rsidRPr="004B206D" w:rsidRDefault="004B206D" w:rsidP="004B206D">
      <w:r w:rsidRPr="004B206D">
        <w:t>En virtud de lo anterior,</w:t>
      </w:r>
    </w:p>
    <w:p w14:paraId="1F92FFB2" w14:textId="77777777" w:rsidR="004B206D" w:rsidRPr="004B206D" w:rsidRDefault="004B206D" w:rsidP="004B206D">
      <w:r w:rsidRPr="004B206D">
        <w:t>ACUERDAN</w:t>
      </w:r>
    </w:p>
    <w:p w14:paraId="65680DED" w14:textId="77777777" w:rsidR="004B206D" w:rsidRPr="004B206D" w:rsidRDefault="004B206D" w:rsidP="004B206D">
      <w:pPr>
        <w:numPr>
          <w:ilvl w:val="0"/>
          <w:numId w:val="68"/>
        </w:numPr>
      </w:pPr>
      <w:r w:rsidRPr="004B206D">
        <w:t>Objeto del acuerdo</w:t>
      </w:r>
    </w:p>
    <w:p w14:paraId="63EB3B20" w14:textId="77777777" w:rsidR="004B206D" w:rsidRPr="004B206D" w:rsidRDefault="004B206D" w:rsidP="004B206D">
      <w:r w:rsidRPr="004B206D">
        <w:t xml:space="preserve">1.1. El presente acuerdo tiene por objeto establecer una hoja de ruta negociada, con medidas transitorias de aplicación inmediata, para la implantación en CCASA del conjunto planificado de medidas para garantizar la igualdad real y efectiva de las personas LGTBI en el ámbito laboral, incluyendo la elaboración y aprobación de un protocolo específico frente al acoso o la violencia por motivos </w:t>
      </w:r>
      <w:proofErr w:type="spellStart"/>
      <w:r w:rsidRPr="004B206D">
        <w:t>LGTBIfóbicos</w:t>
      </w:r>
      <w:proofErr w:type="spellEnd"/>
      <w:r w:rsidRPr="004B206D">
        <w:t>, que se integrará en la revisión del protocolo vigente de acoso sexual y por razón de sexo prevista para octubre.</w:t>
      </w:r>
    </w:p>
    <w:p w14:paraId="52482865" w14:textId="77777777" w:rsidR="004B206D" w:rsidRPr="004B206D" w:rsidRDefault="004B206D" w:rsidP="004B206D">
      <w:r w:rsidRPr="004B206D">
        <w:t>1.2. El presente acuerdo no sustituye el Plan de Igualdad ni lo condiciona, sino que lo complementa en aquello que resulte necesario para garantizar el cumplimiento de las obligaciones derivadas de la Ley 4/2023 y su desarrollo reglamentario, asegurando coherencia y no duplicidad de mecanismos.</w:t>
      </w:r>
    </w:p>
    <w:p w14:paraId="35428881" w14:textId="77777777" w:rsidR="004B206D" w:rsidRPr="004B206D" w:rsidRDefault="004B206D" w:rsidP="004B206D">
      <w:pPr>
        <w:numPr>
          <w:ilvl w:val="0"/>
          <w:numId w:val="69"/>
        </w:numPr>
      </w:pPr>
      <w:r w:rsidRPr="004B206D">
        <w:t>Ámbito de aplicación</w:t>
      </w:r>
    </w:p>
    <w:p w14:paraId="547B8039" w14:textId="77777777" w:rsidR="004B206D" w:rsidRPr="004B206D" w:rsidRDefault="004B206D" w:rsidP="004B206D">
      <w:r w:rsidRPr="004B206D">
        <w:t xml:space="preserve">2.1. El presente acuerdo </w:t>
      </w:r>
      <w:proofErr w:type="gramStart"/>
      <w:r w:rsidRPr="004B206D">
        <w:t>será de aplicación</w:t>
      </w:r>
      <w:proofErr w:type="gramEnd"/>
      <w:r w:rsidRPr="004B206D">
        <w:t xml:space="preserve"> a la totalidad de la plantilla de CCASA, con independencia de la modalidad contractual, jornada, centro o lugar de prestación de servicios.</w:t>
      </w:r>
    </w:p>
    <w:p w14:paraId="20F2EFDD" w14:textId="77777777" w:rsidR="004B206D" w:rsidRPr="004B206D" w:rsidRDefault="004B206D" w:rsidP="004B206D">
      <w:r w:rsidRPr="004B206D">
        <w:t xml:space="preserve">2.2. Las medidas y, en su caso, el protocolo, se proyectarán asimismo sobre el entorno laboral en sentido amplio, de modo que las obligaciones de prevención y actuación frente al acoso o la violencia por motivos </w:t>
      </w:r>
      <w:proofErr w:type="spellStart"/>
      <w:r w:rsidRPr="004B206D">
        <w:t>LGTBIfóbicos</w:t>
      </w:r>
      <w:proofErr w:type="spellEnd"/>
      <w:r w:rsidRPr="004B206D">
        <w:t xml:space="preserve"> se extiendan a situaciones que involucren a personas candidatas, personal en prácticas, personal externo que preste servicios en CCASA, y terceras personas que interactúen con la plantilla en el marco de la actividad (proveedoras, usuarias, clientela u otras), en la medida en que resulte aplicable conforme a los instrumentos internos de CCASA.</w:t>
      </w:r>
    </w:p>
    <w:p w14:paraId="22E8AD01" w14:textId="77777777" w:rsidR="004B206D" w:rsidRPr="004B206D" w:rsidRDefault="004B206D" w:rsidP="004B206D">
      <w:pPr>
        <w:numPr>
          <w:ilvl w:val="0"/>
          <w:numId w:val="70"/>
        </w:numPr>
      </w:pPr>
      <w:r w:rsidRPr="004B206D">
        <w:t>Principios rectores</w:t>
      </w:r>
    </w:p>
    <w:p w14:paraId="5341D049" w14:textId="77777777" w:rsidR="004B206D" w:rsidRPr="004B206D" w:rsidRDefault="004B206D" w:rsidP="004B206D">
      <w:r w:rsidRPr="004B206D">
        <w:t>3.1. Las partes asumen los principios de igualdad de trato y no discriminación por razón de orientación sexual, identidad sexual, expresión de género y características sexuales, así como la tolerancia cero frente a cualquier conducta de acoso, hostigamiento, violencia o represalia por estos motivos.</w:t>
      </w:r>
    </w:p>
    <w:p w14:paraId="1EE060F4" w14:textId="77777777" w:rsidR="004B206D" w:rsidRPr="004B206D" w:rsidRDefault="004B206D" w:rsidP="004B206D">
      <w:r w:rsidRPr="004B206D">
        <w:t>3.2. Las medidas se diseñarán y aplicarán desde un enfoque preventivo, de protección efectiva, confidencialidad, no revictimización y garantía de no represalia, con especial atención a situaciones de vulnerabilidad interseccional.</w:t>
      </w:r>
    </w:p>
    <w:p w14:paraId="20F441B7" w14:textId="77777777" w:rsidR="004B206D" w:rsidRPr="004B206D" w:rsidRDefault="004B206D" w:rsidP="004B206D">
      <w:pPr>
        <w:numPr>
          <w:ilvl w:val="0"/>
          <w:numId w:val="71"/>
        </w:numPr>
      </w:pPr>
      <w:r w:rsidRPr="004B206D">
        <w:t>Medidas transitorias de aplicación inmediata</w:t>
      </w:r>
    </w:p>
    <w:p w14:paraId="5589D17C" w14:textId="77777777" w:rsidR="004B206D" w:rsidRPr="004B206D" w:rsidRDefault="004B206D" w:rsidP="004B206D">
      <w:r w:rsidRPr="004B206D">
        <w:t xml:space="preserve">4.1. Reconocimiento expreso de cobertura transitoria. Desde la firma del presente acuerdo, cualquier conducta, trato, decisión o práctica que pueda constituir acoso o violencia por motivos </w:t>
      </w:r>
      <w:proofErr w:type="spellStart"/>
      <w:r w:rsidRPr="004B206D">
        <w:t>LGTBIfóbicos</w:t>
      </w:r>
      <w:proofErr w:type="spellEnd"/>
      <w:r w:rsidRPr="004B206D">
        <w:t xml:space="preserve"> se considerará incluida en el marco de prevención y actuación vigente en CCASA frente al acoso sexual y por razón de sexo, a los exclusivos efectos de asegurar un cauce inmediato de comunicación, protección y respuesta, sin perjuicio de la aprobación del protocolo específico previsto en la cláusula 7.</w:t>
      </w:r>
    </w:p>
    <w:p w14:paraId="2336713E" w14:textId="77777777" w:rsidR="004B206D" w:rsidRPr="004B206D" w:rsidRDefault="004B206D" w:rsidP="004B206D">
      <w:r w:rsidRPr="004B206D">
        <w:t xml:space="preserve">4.2. Canal y garantías. Hasta la aprobación del protocolo específico, las comunicaciones, quejas o denuncias relacionadas con posibles conductas </w:t>
      </w:r>
      <w:proofErr w:type="spellStart"/>
      <w:r w:rsidRPr="004B206D">
        <w:t>LGTBIfóbicas</w:t>
      </w:r>
      <w:proofErr w:type="spellEnd"/>
      <w:r w:rsidRPr="004B206D">
        <w:t xml:space="preserve"> podrán presentarse por los canales previstos en el protocolo vigente de acoso sexual y por razón de sexo. En todo caso, CCASA garantizará confidencialidad, celeridad razonable, protección frente a represalias y, cuando proceda, la adopción de medidas de protección cautelar.</w:t>
      </w:r>
    </w:p>
    <w:p w14:paraId="7AA32047" w14:textId="77777777" w:rsidR="004B206D" w:rsidRPr="004B206D" w:rsidRDefault="004B206D" w:rsidP="004B206D">
      <w:r w:rsidRPr="004B206D">
        <w:t>4.3. Comunicación interna. CCASA difundirá a la plantilla, en el plazo máximo de quince días desde la firma, una comunicación institucional que incluya: (i) el alcance del presente acuerdo, (</w:t>
      </w:r>
      <w:proofErr w:type="spellStart"/>
      <w:r w:rsidRPr="004B206D">
        <w:t>ii</w:t>
      </w:r>
      <w:proofErr w:type="spellEnd"/>
      <w:r w:rsidRPr="004B206D">
        <w:t>) la identificación de los canales transitorios, (</w:t>
      </w:r>
      <w:proofErr w:type="spellStart"/>
      <w:r w:rsidRPr="004B206D">
        <w:t>iii</w:t>
      </w:r>
      <w:proofErr w:type="spellEnd"/>
      <w:r w:rsidRPr="004B206D">
        <w:t>) el compromiso de no represalia y confidencialidad, y (</w:t>
      </w:r>
      <w:proofErr w:type="spellStart"/>
      <w:r w:rsidRPr="004B206D">
        <w:t>iv</w:t>
      </w:r>
      <w:proofErr w:type="spellEnd"/>
      <w:r w:rsidRPr="004B206D">
        <w:t>) el calendario de elaboración del protocolo y del conjunto de medidas.</w:t>
      </w:r>
    </w:p>
    <w:p w14:paraId="5F1A2BF1" w14:textId="77777777" w:rsidR="004B206D" w:rsidRPr="004B206D" w:rsidRDefault="004B206D" w:rsidP="004B206D">
      <w:r w:rsidRPr="004B206D">
        <w:t>4.4. Lenguaje y trato respetuoso. Con carácter inmediato, se adoptarán instrucciones internas para asegurar el trato respetuoso y no discriminatorio en las comunicaciones internas y en la interacción profesional, evitando prácticas que supongan degradación, burla, exclusión, invalidación o exposición involuntaria de la orientación sexual, identidad sexual o expresión de género de cualquier persona.</w:t>
      </w:r>
    </w:p>
    <w:p w14:paraId="0A14A8FA" w14:textId="77777777" w:rsidR="004B206D" w:rsidRPr="004B206D" w:rsidRDefault="004B206D" w:rsidP="004B206D">
      <w:pPr>
        <w:numPr>
          <w:ilvl w:val="0"/>
          <w:numId w:val="72"/>
        </w:numPr>
      </w:pPr>
      <w:r w:rsidRPr="004B206D">
        <w:t>Gobernanza y órgano de seguimiento</w:t>
      </w:r>
    </w:p>
    <w:p w14:paraId="55A32BED" w14:textId="77777777" w:rsidR="004B206D" w:rsidRPr="004B206D" w:rsidRDefault="004B206D" w:rsidP="004B206D">
      <w:r w:rsidRPr="004B206D">
        <w:t>5.1. La Comisión de Seguimiento del Plan de Igualdad asumirá las funciones de órgano de seguimiento del conjunto planificado de medidas LGTBI y del presente acuerdo. A estos efectos, podrá denominarse Comisión de Seguimiento del Plan de Igualdad y Medidas LGTBI, sin necesidad de crear un órgano adicional.</w:t>
      </w:r>
    </w:p>
    <w:p w14:paraId="6FD90A45" w14:textId="77777777" w:rsidR="004B206D" w:rsidRPr="004B206D" w:rsidRDefault="004B206D" w:rsidP="004B206D">
      <w:r w:rsidRPr="004B206D">
        <w:t>5.2. Funciones. Corresponderá a la Comisión: (i) aprobar el plan de trabajo y el cronograma detallado; (</w:t>
      </w:r>
      <w:proofErr w:type="spellStart"/>
      <w:r w:rsidRPr="004B206D">
        <w:t>ii</w:t>
      </w:r>
      <w:proofErr w:type="spellEnd"/>
      <w:r w:rsidRPr="004B206D">
        <w:t>) supervisar la elaboración de borradores; (</w:t>
      </w:r>
      <w:proofErr w:type="spellStart"/>
      <w:r w:rsidRPr="004B206D">
        <w:t>iii</w:t>
      </w:r>
      <w:proofErr w:type="spellEnd"/>
      <w:r w:rsidRPr="004B206D">
        <w:t>) validar indicadores y sistema de seguimiento; (</w:t>
      </w:r>
      <w:proofErr w:type="spellStart"/>
      <w:r w:rsidRPr="004B206D">
        <w:t>iv</w:t>
      </w:r>
      <w:proofErr w:type="spellEnd"/>
      <w:r w:rsidRPr="004B206D">
        <w:t>) proponer ajustes; (v) realizar informes de avance; (vi) proponer acciones de mejora y, en su caso, activar evaluaciones.</w:t>
      </w:r>
    </w:p>
    <w:p w14:paraId="746BFDD6" w14:textId="77777777" w:rsidR="004B206D" w:rsidRPr="004B206D" w:rsidRDefault="004B206D" w:rsidP="004B206D">
      <w:r w:rsidRPr="004B206D">
        <w:t>5.3. Periodicidad. La Comisión se reunirá con carácter ordinario al menos una vez al mes desde la firma hasta la aprobación del protocolo en octubre, y con carácter extraordinario cuando lo solicite cualquiera de las partes por razones justificadas.</w:t>
      </w:r>
    </w:p>
    <w:p w14:paraId="6DF5F5D9" w14:textId="77777777" w:rsidR="004B206D" w:rsidRPr="004B206D" w:rsidRDefault="004B206D" w:rsidP="004B206D">
      <w:pPr>
        <w:numPr>
          <w:ilvl w:val="0"/>
          <w:numId w:val="73"/>
        </w:numPr>
      </w:pPr>
      <w:r w:rsidRPr="004B206D">
        <w:t>Diagnóstico técnico mínimo y delimitación de necesidades</w:t>
      </w:r>
    </w:p>
    <w:p w14:paraId="0FE57075" w14:textId="77777777" w:rsidR="004B206D" w:rsidRPr="004B206D" w:rsidRDefault="004B206D" w:rsidP="004B206D">
      <w:r w:rsidRPr="004B206D">
        <w:t>6.1. En el plazo máximo de treinta días desde la firma, la Comisión aprobará un documento de “mapa de riesgos y prácticas” centrado en procesos especialmente sensibles para la prevención de discriminación LGTBI, incluyendo, al menos: selección y contratación; promoción y movilidad; condiciones de trabajo; formación; comunicación interna; atención al público, si la hubiera; y régimen disciplinario.</w:t>
      </w:r>
    </w:p>
    <w:p w14:paraId="7017FE42" w14:textId="77777777" w:rsidR="004B206D" w:rsidRPr="004B206D" w:rsidRDefault="004B206D" w:rsidP="004B206D">
      <w:r w:rsidRPr="004B206D">
        <w:t>6.2. Apoyo especializado. Cuando la Comisión identifique insuficiencia técnica interna para diseñar medidas específicas (en particular, en selección/contratación y diseño formativo), podrá acordar la incorporación de apoyo especializado externo mediante la modalidad que corresponda, para asegurar la calidad técnica de las medidas y la transferencia de capacidades.</w:t>
      </w:r>
    </w:p>
    <w:p w14:paraId="63822E4C" w14:textId="77777777" w:rsidR="004B206D" w:rsidRPr="004B206D" w:rsidRDefault="004B206D" w:rsidP="004B206D">
      <w:pPr>
        <w:numPr>
          <w:ilvl w:val="0"/>
          <w:numId w:val="74"/>
        </w:numPr>
      </w:pPr>
      <w:r w:rsidRPr="004B206D">
        <w:t>Elaboración y aprobación del protocolo específico frente al acoso o la violencia hacia personas LGTBI</w:t>
      </w:r>
    </w:p>
    <w:p w14:paraId="1437116C" w14:textId="77777777" w:rsidR="004B206D" w:rsidRPr="004B206D" w:rsidRDefault="004B206D" w:rsidP="004B206D">
      <w:r w:rsidRPr="004B206D">
        <w:t xml:space="preserve">7.1. Integración con la revisión del protocolo vigente. Las partes acuerdan que el protocolo específico frente al acoso o la violencia por motivos </w:t>
      </w:r>
      <w:proofErr w:type="spellStart"/>
      <w:r w:rsidRPr="004B206D">
        <w:t>LGTBIfóbicos</w:t>
      </w:r>
      <w:proofErr w:type="spellEnd"/>
      <w:r w:rsidRPr="004B206D">
        <w:t xml:space="preserve"> se elaborará como parte de la revisión del protocolo vigente de acoso sexual y por razón de sexo prevista para octubre, de modo que el resultado sea un instrumento coherente, unificado y sin duplicidades procedimentales, con un cauce único de activación y garantías reforzadas.</w:t>
      </w:r>
    </w:p>
    <w:p w14:paraId="1FA420B9" w14:textId="77777777" w:rsidR="004B206D" w:rsidRPr="004B206D" w:rsidRDefault="004B206D" w:rsidP="004B206D">
      <w:r w:rsidRPr="004B206D">
        <w:t>7.2. Calendario.</w:t>
      </w:r>
      <w:r w:rsidRPr="004B206D">
        <w:br/>
        <w:t>a) Antes del 15 de septiembre: presentación a la Comisión de un índice detallado del protocolo revisado (incluyendo el bloque LGTBI) y de los elementos mínimos exigibles (definiciones, conductas, procedimiento, medidas cautelares, confidencialidad, no represalia, acompañamiento y régimen de actuación).</w:t>
      </w:r>
      <w:r w:rsidRPr="004B206D">
        <w:br/>
        <w:t>b) Entre el 15 de septiembre y el 15 de octubre: elaboración del borrador completo y periodo de revisión y aportaciones por las partes.</w:t>
      </w:r>
      <w:r w:rsidRPr="004B206D">
        <w:br/>
        <w:t>c) Antes del 15 de noviembre: aprobación y entrada en vigor del protocolo revisado.</w:t>
      </w:r>
    </w:p>
    <w:p w14:paraId="76880D6E" w14:textId="77777777" w:rsidR="004B206D" w:rsidRPr="004B206D" w:rsidRDefault="004B206D" w:rsidP="004B206D">
      <w:r w:rsidRPr="004B206D">
        <w:t xml:space="preserve">7.3. Contenidos mínimos. El protocolo revisado incorporará, al menos: definiciones operativas de acoso y violencia </w:t>
      </w:r>
      <w:proofErr w:type="spellStart"/>
      <w:r w:rsidRPr="004B206D">
        <w:t>LGTBIfóbica</w:t>
      </w:r>
      <w:proofErr w:type="spellEnd"/>
      <w:r w:rsidRPr="004B206D">
        <w:t>; tipificación de conductas; canales accesibles; garantías de confidencialidad y no represalia; medidas de protección cautelar; criterios de instrucción y resolución; acompañamiento; y conexión con el régimen disciplinario interno.</w:t>
      </w:r>
    </w:p>
    <w:p w14:paraId="5C7825F4" w14:textId="77777777" w:rsidR="004B206D" w:rsidRPr="004B206D" w:rsidRDefault="004B206D" w:rsidP="004B206D">
      <w:pPr>
        <w:numPr>
          <w:ilvl w:val="0"/>
          <w:numId w:val="75"/>
        </w:numPr>
      </w:pPr>
      <w:r w:rsidRPr="004B206D">
        <w:t>Conjunto planificado de medidas LGTBI: contenidos y hoja de ruta</w:t>
      </w:r>
    </w:p>
    <w:p w14:paraId="0854D830" w14:textId="77777777" w:rsidR="004B206D" w:rsidRPr="004B206D" w:rsidRDefault="004B206D" w:rsidP="004B206D">
      <w:r w:rsidRPr="004B206D">
        <w:t>8.1. Ejes de intervención. El conjunto planificado de medidas se estructurará, como mínimo, en los siguientes ejes:</w:t>
      </w:r>
      <w:r w:rsidRPr="004B206D">
        <w:br/>
        <w:t>a) Acceso al empleo y selección: revisión de ofertas, formularios, guías de entrevista y criterios, incluyendo medidas frente a sesgos y preguntas intrusivas.</w:t>
      </w:r>
      <w:r w:rsidRPr="004B206D">
        <w:br/>
        <w:t>b) Clasificación profesional, promoción y condiciones de trabajo: criterios objetivos y prevención de sesgos; garantías frente a represalias o penalizaciones informales; medidas de respeto a la identidad y expresión de género en la gestión interna.</w:t>
      </w:r>
      <w:r w:rsidRPr="004B206D">
        <w:br/>
        <w:t>c) Formación: programa por perfiles, incluyendo un módulo general para plantilla y módulos específicos para mandos, personal de selección y equipos con atención directa.</w:t>
      </w:r>
      <w:r w:rsidRPr="004B206D">
        <w:br/>
        <w:t>d) Comunicación interna y cultura organizativa: lenguaje inclusivo, prevención de entornos hostiles, pautas de convivencia y visibilidad respetuosa.</w:t>
      </w:r>
      <w:r w:rsidRPr="004B206D">
        <w:br/>
        <w:t>e) Régimen disciplinario y seguimiento: adecuación de tipificaciones internas y sistema de indicadores y evaluación.</w:t>
      </w:r>
    </w:p>
    <w:p w14:paraId="39F6550C" w14:textId="77777777" w:rsidR="004B206D" w:rsidRPr="004B206D" w:rsidRDefault="004B206D" w:rsidP="004B206D">
      <w:r w:rsidRPr="004B206D">
        <w:t>8.2. Entregables y plazos.</w:t>
      </w:r>
      <w:r w:rsidRPr="004B206D">
        <w:br/>
        <w:t>a) Antes del 31 de octubre: aprobación de un “paquete mínimo transitorio” de medidas no protocolarias, centrado en selección/contratación (instrucción operativa para procesos selectivos) y en formación (módulo introductorio para mandos y personal de selección), sin perjuicio del desarrollo posterior.</w:t>
      </w:r>
      <w:r w:rsidRPr="004B206D">
        <w:br/>
        <w:t>b) Antes del 31 de diciembre: presentación del borrador completo del conjunto planificado de medidas LGTBI, con calendario anual de implantación, responsables, recursos e indicadores.</w:t>
      </w:r>
      <w:r w:rsidRPr="004B206D">
        <w:br/>
        <w:t>c) Antes del 31 de enero del año siguiente: aprobación del conjunto planificado de medidas LGTBI y su integración en el sistema de seguimiento de la Comisión.</w:t>
      </w:r>
    </w:p>
    <w:p w14:paraId="3A297C42" w14:textId="77777777" w:rsidR="004B206D" w:rsidRPr="004B206D" w:rsidRDefault="004B206D" w:rsidP="004B206D">
      <w:pPr>
        <w:numPr>
          <w:ilvl w:val="0"/>
          <w:numId w:val="76"/>
        </w:numPr>
      </w:pPr>
      <w:r w:rsidRPr="004B206D">
        <w:t>Indicadores, seguimiento y evaluación</w:t>
      </w:r>
    </w:p>
    <w:p w14:paraId="6490D414" w14:textId="77777777" w:rsidR="004B206D" w:rsidRPr="004B206D" w:rsidRDefault="004B206D" w:rsidP="004B206D">
      <w:r w:rsidRPr="004B206D">
        <w:t>9.1. La Comisión aprobará un cuadro mínimo de indicadores de proceso y de resultado, garantizando que la evaluación no se limite a acciones realizadas, sino que permita medir cambios en prácticas, percepción de seguridad y reducción de incidentes.</w:t>
      </w:r>
    </w:p>
    <w:p w14:paraId="2324F6E2" w14:textId="77777777" w:rsidR="004B206D" w:rsidRPr="004B206D" w:rsidRDefault="004B206D" w:rsidP="004B206D">
      <w:r w:rsidRPr="004B206D">
        <w:t>9.2. Se elaborarán informes de avance bimestrales hasta enero, y posteriormente con la periodicidad que determine la Comisión, incorporando recomendaciones de mejora.</w:t>
      </w:r>
    </w:p>
    <w:p w14:paraId="5C1FF9FE" w14:textId="77777777" w:rsidR="004B206D" w:rsidRPr="004B206D" w:rsidRDefault="004B206D" w:rsidP="004B206D">
      <w:pPr>
        <w:numPr>
          <w:ilvl w:val="0"/>
          <w:numId w:val="77"/>
        </w:numPr>
      </w:pPr>
      <w:r w:rsidRPr="004B206D">
        <w:t>Publicidad interna y accesibilidad</w:t>
      </w:r>
    </w:p>
    <w:p w14:paraId="51C66076" w14:textId="77777777" w:rsidR="004B206D" w:rsidRPr="004B206D" w:rsidRDefault="004B206D" w:rsidP="004B206D">
      <w:r w:rsidRPr="004B206D">
        <w:t>10.1. CCASA garantizará que el acuerdo, el protocolo revisado y el conjunto planificado de medidas sean accesibles para la plantilla por canales internos, en formatos comprensibles, y que se habilite un canal de consultas y orientación, preservando confidencialidad cuando proceda.</w:t>
      </w:r>
    </w:p>
    <w:p w14:paraId="426F6AE1" w14:textId="77777777" w:rsidR="004B206D" w:rsidRPr="004B206D" w:rsidRDefault="004B206D" w:rsidP="004B206D">
      <w:pPr>
        <w:numPr>
          <w:ilvl w:val="0"/>
          <w:numId w:val="78"/>
        </w:numPr>
      </w:pPr>
      <w:r w:rsidRPr="004B206D">
        <w:t>Vigencia</w:t>
      </w:r>
    </w:p>
    <w:p w14:paraId="476415AD" w14:textId="77777777" w:rsidR="004B206D" w:rsidRPr="004B206D" w:rsidRDefault="004B206D" w:rsidP="004B206D">
      <w:r w:rsidRPr="004B206D">
        <w:t>11.1. El presente acuerdo entrará en vigor el mismo día de su firma y mantendrá su vigencia hasta la aprobación del conjunto planificado de medidas LGTBI prevista en la cláusula 8.2.c, momento en el cual se entenderá absorbido por los instrumentos definitivos, sin perjuicio de que sus medidas transitorias sigan aplicándose en aquello que no contradiga los instrumentos aprobados.</w:t>
      </w:r>
    </w:p>
    <w:p w14:paraId="65A062D0" w14:textId="77777777" w:rsidR="004B206D" w:rsidRPr="004B206D" w:rsidRDefault="004B206D" w:rsidP="004B206D">
      <w:pPr>
        <w:numPr>
          <w:ilvl w:val="0"/>
          <w:numId w:val="79"/>
        </w:numPr>
      </w:pPr>
      <w:r w:rsidRPr="004B206D">
        <w:t>Cláusula de coherencia con el Plan de Igualdad</w:t>
      </w:r>
    </w:p>
    <w:p w14:paraId="54FBC504" w14:textId="77777777" w:rsidR="004B206D" w:rsidRPr="004B206D" w:rsidRDefault="004B206D" w:rsidP="004B206D">
      <w:r w:rsidRPr="004B206D">
        <w:t>12.1. Las partes acuerdan que la Comisión de Seguimiento del Plan de Igualdad incorporará en su agenda ordinaria el seguimiento del despliegue de las medidas LGTBI, garantizando coherencia de actuaciones, aprovechamiento de sinergias (especialmente en formación y cultura organizativa) y evitando duplicidades procedimentales.</w:t>
      </w:r>
    </w:p>
    <w:p w14:paraId="59C2032B" w14:textId="77777777" w:rsidR="004B206D" w:rsidRPr="004B206D" w:rsidRDefault="004B206D" w:rsidP="004B206D">
      <w:r w:rsidRPr="004B206D">
        <w:t>Y en prueba de conformidad, se firma el presente acuerdo, por duplicado ejemplar y a un solo efecto, en el lugar y fecha indicados.</w:t>
      </w:r>
    </w:p>
    <w:p w14:paraId="030064DD" w14:textId="77777777" w:rsidR="004B206D" w:rsidRPr="004B206D" w:rsidRDefault="004B206D" w:rsidP="004B206D">
      <w:r w:rsidRPr="004B206D">
        <w:t>Por CCASA Por la representación legal de las personas trabajadoras</w:t>
      </w:r>
      <w:r w:rsidRPr="004B206D">
        <w:br/>
        <w:t>[Firma] [Firma]</w:t>
      </w:r>
    </w:p>
    <w:p w14:paraId="4D062C45" w14:textId="77777777" w:rsidR="00311D14" w:rsidRPr="00311D14" w:rsidRDefault="00311D14" w:rsidP="00311D14"/>
    <w:p w14:paraId="1B1FDF42" w14:textId="77777777" w:rsidR="00311D14" w:rsidRPr="009C4674" w:rsidRDefault="00311D14" w:rsidP="009C4674"/>
    <w:sectPr w:rsidR="00311D14" w:rsidRPr="009C4674" w:rsidSect="00813704">
      <w:headerReference w:type="even" r:id="rId9"/>
      <w:headerReference w:type="default" r:id="rId10"/>
      <w:footerReference w:type="even" r:id="rId11"/>
      <w:footerReference w:type="default" r:id="rId12"/>
      <w:headerReference w:type="first" r:id="rId13"/>
      <w:footerReference w:type="first" r:id="rId14"/>
      <w:pgSz w:w="11906" w:h="16838" w:code="9"/>
      <w:pgMar w:top="1701" w:right="1985" w:bottom="1701" w:left="1985" w:header="0" w:footer="0" w:gutter="0"/>
      <w:pgBorders w:offsetFrom="page">
        <w:top w:val="single" w:sz="4" w:space="24" w:color="808080" w:themeColor="background1" w:themeShade="80"/>
        <w:left w:val="single" w:sz="4" w:space="24" w:color="808080" w:themeColor="background1" w:themeShade="80"/>
        <w:bottom w:val="single" w:sz="4" w:space="24" w:color="808080" w:themeColor="background1" w:themeShade="80"/>
        <w:right w:val="single" w:sz="4" w:space="24" w:color="808080" w:themeColor="background1" w:themeShade="80"/>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3212A" w14:textId="77777777" w:rsidR="00A13345" w:rsidRDefault="00A13345" w:rsidP="00821493">
      <w:r>
        <w:separator/>
      </w:r>
    </w:p>
  </w:endnote>
  <w:endnote w:type="continuationSeparator" w:id="0">
    <w:p w14:paraId="79D2E288" w14:textId="77777777" w:rsidR="00A13345" w:rsidRDefault="00A13345" w:rsidP="00821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097A673-18C8-4DB6-B60D-DE00F90AA84C}"/>
    <w:embedItalic r:id="rId2" w:fontKey="{3B02C636-4D5F-40CE-8E7E-359F9C5DF4F3}"/>
  </w:font>
  <w:font w:name="Tw Cen MT">
    <w:panose1 w:val="020B0602020104020603"/>
    <w:charset w:val="00"/>
    <w:family w:val="swiss"/>
    <w:pitch w:val="variable"/>
    <w:sig w:usb0="00000007" w:usb1="00000000" w:usb2="00000000" w:usb3="00000000" w:csb0="00000003" w:csb1="00000000"/>
    <w:embedRegular r:id="rId3" w:fontKey="{75CB6AE3-620B-4931-9314-0E9C506E2166}"/>
    <w:embedBold r:id="rId4" w:fontKey="{513CBE9C-8D79-4B9A-A019-F190781CE33C}"/>
    <w:embedItalic r:id="rId5" w:fontKey="{6204B44B-8A3E-4C86-B033-9BFFD4B1C4A2}"/>
    <w:embedBoldItalic r:id="rId6" w:fontKey="{8DB74734-D220-45B3-9449-F22B42C537E0}"/>
  </w:font>
  <w:font w:name="STFangsong">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Eras Light ITC">
    <w:panose1 w:val="020B0402030504020804"/>
    <w:charset w:val="00"/>
    <w:family w:val="swiss"/>
    <w:pitch w:val="variable"/>
    <w:sig w:usb0="00000003" w:usb1="00000000" w:usb2="00000000" w:usb3="00000000" w:csb0="00000001" w:csb1="00000000"/>
    <w:embedRegular r:id="rId7" w:fontKey="{4392E53B-07CC-4083-9973-A9D1BC6DD7A0}"/>
  </w:font>
  <w:font w:name="Tahoma">
    <w:panose1 w:val="020B0604030504040204"/>
    <w:charset w:val="00"/>
    <w:family w:val="swiss"/>
    <w:pitch w:val="variable"/>
    <w:sig w:usb0="E1002EFF" w:usb1="C000605B" w:usb2="00000029" w:usb3="00000000" w:csb0="000101FF" w:csb1="00000000"/>
    <w:embedRegular r:id="rId8" w:fontKey="{E3CC3919-6FA3-4926-91E6-E978AD1BC698}"/>
  </w:font>
  <w:font w:name="Futura-Book">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9" w:fontKey="{528E63C0-626A-42A7-90C7-3AA5081EA23C}"/>
  </w:font>
  <w:font w:name="Century Gothic">
    <w:panose1 w:val="020B0502020202020204"/>
    <w:charset w:val="00"/>
    <w:family w:val="swiss"/>
    <w:pitch w:val="variable"/>
    <w:sig w:usb0="00000287" w:usb1="00000000" w:usb2="00000000" w:usb3="00000000" w:csb0="0000009F" w:csb1="00000000"/>
    <w:embedRegular r:id="rId10" w:fontKey="{478DC8FD-AC23-43A4-A0C5-8ABFADFC0876}"/>
    <w:embedBold r:id="rId11" w:fontKey="{B2ACE100-A236-4711-98F9-45C21A5CB970}"/>
    <w:embedItalic r:id="rId12" w:fontKey="{8CF2E893-4316-4AE2-9071-A3261B61C76A}"/>
  </w:font>
  <w:font w:name="Arial Black">
    <w:panose1 w:val="020B0A04020102020204"/>
    <w:charset w:val="00"/>
    <w:family w:val="swiss"/>
    <w:pitch w:val="variable"/>
    <w:sig w:usb0="A00002AF" w:usb1="400078FB" w:usb2="00000000" w:usb3="00000000" w:csb0="0000009F" w:csb1="00000000"/>
    <w:embedRegular r:id="rId13" w:fontKey="{FF7719ED-5230-41CC-B948-065BED7E54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C2AF" w14:textId="77777777" w:rsidR="00813704" w:rsidRDefault="0081370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048628"/>
      <w:docPartObj>
        <w:docPartGallery w:val="Page Numbers (Bottom of Page)"/>
        <w:docPartUnique/>
      </w:docPartObj>
    </w:sdtPr>
    <w:sdtContent>
      <w:p w14:paraId="377F47A0" w14:textId="77777777" w:rsidR="005E31DB" w:rsidRDefault="00044F6B">
        <w:r w:rsidRPr="00044F6B">
          <w:rPr>
            <w:noProof/>
            <w:color w:val="000000"/>
            <w:kern w:val="28"/>
            <w:szCs w:val="19"/>
            <w:lang w:eastAsia="es-ES"/>
            <w14:ligatures w14:val="standard"/>
            <w14:cntxtAlts/>
          </w:rPr>
          <mc:AlternateContent>
            <mc:Choice Requires="wps">
              <w:drawing>
                <wp:anchor distT="0" distB="0" distL="114300" distR="114300" simplePos="0" relativeHeight="251659264" behindDoc="0" locked="0" layoutInCell="1" allowOverlap="1" wp14:anchorId="402A0990" wp14:editId="27BDAA50">
                  <wp:simplePos x="0" y="0"/>
                  <wp:positionH relativeFrom="rightMargin">
                    <wp:posOffset>406581</wp:posOffset>
                  </wp:positionH>
                  <wp:positionV relativeFrom="bottomMargin">
                    <wp:posOffset>435745</wp:posOffset>
                  </wp:positionV>
                  <wp:extent cx="593423" cy="378021"/>
                  <wp:effectExtent l="0" t="0" r="0" b="3175"/>
                  <wp:wrapNone/>
                  <wp:docPr id="38" name="Rectángulo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423" cy="3780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rPr>
                                <w:id w:val="1709992740"/>
                              </w:sdtPr>
                              <w:sdtContent>
                                <w:sdt>
                                  <w:sdtPr>
                                    <w:rPr>
                                      <w:rFonts w:asciiTheme="majorHAnsi" w:eastAsiaTheme="majorEastAsia" w:hAnsiTheme="majorHAnsi" w:cstheme="majorBidi"/>
                                    </w:rPr>
                                    <w:id w:val="-1904517296"/>
                                  </w:sdtPr>
                                  <w:sdtContent>
                                    <w:p w14:paraId="323B801A" w14:textId="77777777" w:rsidR="00044F6B" w:rsidRPr="00044F6B" w:rsidRDefault="00044F6B">
                                      <w:pPr>
                                        <w:jc w:val="center"/>
                                        <w:rPr>
                                          <w:rFonts w:asciiTheme="majorHAnsi" w:eastAsiaTheme="majorEastAsia" w:hAnsiTheme="majorHAnsi" w:cstheme="majorBidi"/>
                                        </w:rPr>
                                      </w:pPr>
                                      <w:r w:rsidRPr="00044F6B">
                                        <w:rPr>
                                          <w:rFonts w:cs="Times New Roman"/>
                                        </w:rPr>
                                        <w:fldChar w:fldCharType="begin"/>
                                      </w:r>
                                      <w:r w:rsidRPr="00044F6B">
                                        <w:instrText>PAGE   \* MERGEFORMAT</w:instrText>
                                      </w:r>
                                      <w:r w:rsidRPr="00044F6B">
                                        <w:rPr>
                                          <w:rFonts w:cs="Times New Roman"/>
                                        </w:rPr>
                                        <w:fldChar w:fldCharType="separate"/>
                                      </w:r>
                                      <w:r w:rsidRPr="00044F6B">
                                        <w:rPr>
                                          <w:rFonts w:asciiTheme="majorHAnsi" w:eastAsiaTheme="majorEastAsia" w:hAnsiTheme="majorHAnsi" w:cstheme="majorBidi"/>
                                        </w:rPr>
                                        <w:t>2</w:t>
                                      </w:r>
                                      <w:r w:rsidRPr="00044F6B">
                                        <w:rPr>
                                          <w:rFonts w:asciiTheme="majorHAnsi" w:eastAsiaTheme="majorEastAsia" w:hAnsiTheme="majorHAnsi" w:cstheme="majorBidi"/>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2A0990" id="Rectángulo 38" o:spid="_x0000_s1026" style="position:absolute;margin-left:32pt;margin-top:34.3pt;width:46.75pt;height:29.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" stroked="f">
                  <v:textbox>
                    <w:txbxContent>
                      <w:sdt>
                        <w:sdtPr>
                          <w:rPr>
                            <w:rFonts w:asciiTheme="majorHAnsi" w:eastAsiaTheme="majorEastAsia" w:hAnsiTheme="majorHAnsi" w:cstheme="majorBidi"/>
                          </w:rPr>
                          <w:id w:val="1709992740"/>
                        </w:sdtPr>
                        <w:sdtContent>
                          <w:sdt>
                            <w:sdtPr>
                              <w:rPr>
                                <w:rFonts w:asciiTheme="majorHAnsi" w:eastAsiaTheme="majorEastAsia" w:hAnsiTheme="majorHAnsi" w:cstheme="majorBidi"/>
                              </w:rPr>
                              <w:id w:val="-1904517296"/>
                            </w:sdtPr>
                            <w:sdtContent>
                              <w:p w14:paraId="323B801A" w14:textId="77777777" w:rsidR="00044F6B" w:rsidRPr="00044F6B" w:rsidRDefault="00044F6B">
                                <w:pPr>
                                  <w:jc w:val="center"/>
                                  <w:rPr>
                                    <w:rFonts w:asciiTheme="majorHAnsi" w:eastAsiaTheme="majorEastAsia" w:hAnsiTheme="majorHAnsi" w:cstheme="majorBidi"/>
                                  </w:rPr>
                                </w:pPr>
                                <w:r w:rsidRPr="00044F6B">
                                  <w:rPr>
                                    <w:rFonts w:cs="Times New Roman"/>
                                  </w:rPr>
                                  <w:fldChar w:fldCharType="begin"/>
                                </w:r>
                                <w:r w:rsidRPr="00044F6B">
                                  <w:instrText>PAGE   \* MERGEFORMAT</w:instrText>
                                </w:r>
                                <w:r w:rsidRPr="00044F6B">
                                  <w:rPr>
                                    <w:rFonts w:cs="Times New Roman"/>
                                  </w:rPr>
                                  <w:fldChar w:fldCharType="separate"/>
                                </w:r>
                                <w:r w:rsidRPr="00044F6B">
                                  <w:rPr>
                                    <w:rFonts w:asciiTheme="majorHAnsi" w:eastAsiaTheme="majorEastAsia" w:hAnsiTheme="majorHAnsi" w:cstheme="majorBidi"/>
                                  </w:rPr>
                                  <w:t>2</w:t>
                                </w:r>
                                <w:r w:rsidRPr="00044F6B">
                                  <w:rPr>
                                    <w:rFonts w:asciiTheme="majorHAnsi" w:eastAsiaTheme="majorEastAsia" w:hAnsiTheme="majorHAnsi" w:cstheme="majorBidi"/>
                                  </w:rPr>
                                  <w:fldChar w:fldCharType="end"/>
                                </w:r>
                              </w:p>
                            </w:sdtContent>
                          </w:sdt>
                        </w:sdtContent>
                      </w:sdt>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94573" w14:textId="77777777" w:rsidR="005E31DB" w:rsidRDefault="005E31DB">
    <w:pPr>
      <w:pStyle w:val="Piedepgina"/>
      <w:jc w:val="center"/>
      <w:rPr>
        <w:rFonts w:asciiTheme="majorHAnsi" w:eastAsiaTheme="majorEastAsia" w:hAnsiTheme="majorHAnsi" w:cstheme="majorBidi"/>
        <w:sz w:val="28"/>
        <w:szCs w:val="28"/>
      </w:rPr>
    </w:pPr>
  </w:p>
  <w:p w14:paraId="117A10AA" w14:textId="77777777" w:rsidR="005E31DB" w:rsidRDefault="005E31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E266F" w14:textId="77777777" w:rsidR="00A13345" w:rsidRDefault="00A13345" w:rsidP="00821493">
      <w:r>
        <w:separator/>
      </w:r>
    </w:p>
  </w:footnote>
  <w:footnote w:type="continuationSeparator" w:id="0">
    <w:p w14:paraId="0873D035" w14:textId="77777777" w:rsidR="00A13345" w:rsidRDefault="00A13345" w:rsidP="00821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F5FD" w14:textId="77777777" w:rsidR="00813704" w:rsidRDefault="0081370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EA00A" w14:textId="77777777" w:rsidR="005E31DB" w:rsidRDefault="00813704">
    <w:pPr>
      <w:pStyle w:val="Encabezado"/>
    </w:pPr>
    <w:r>
      <w:rPr>
        <w:noProof/>
      </w:rPr>
      <w:drawing>
        <wp:anchor distT="0" distB="0" distL="114300" distR="114300" simplePos="0" relativeHeight="251646976" behindDoc="0" locked="0" layoutInCell="1" allowOverlap="1" wp14:anchorId="119DA147" wp14:editId="6740E8A6">
          <wp:simplePos x="0" y="0"/>
          <wp:positionH relativeFrom="column">
            <wp:posOffset>-854958</wp:posOffset>
          </wp:positionH>
          <wp:positionV relativeFrom="paragraph">
            <wp:posOffset>453223</wp:posOffset>
          </wp:positionV>
          <wp:extent cx="771276" cy="531049"/>
          <wp:effectExtent l="0" t="0" r="0" b="0"/>
          <wp:wrapNone/>
          <wp:docPr id="37174576"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43001" name="Imagen 3"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 t="16827" r="-2184" b="12816"/>
                  <a:stretch/>
                </pic:blipFill>
                <pic:spPr bwMode="auto">
                  <a:xfrm>
                    <a:off x="0" y="0"/>
                    <a:ext cx="774625" cy="533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FEA2C2" w14:textId="77777777" w:rsidR="005E31DB" w:rsidRDefault="005E31DB"/>
  <w:p w14:paraId="33B6C15F" w14:textId="77777777" w:rsidR="005E31DB" w:rsidRDefault="005E31D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67FBE" w14:textId="77777777" w:rsidR="00813704" w:rsidRDefault="008137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7F0"/>
    <w:multiLevelType w:val="multilevel"/>
    <w:tmpl w:val="0950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045D2"/>
    <w:multiLevelType w:val="hybridMultilevel"/>
    <w:tmpl w:val="A24CC6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722B51"/>
    <w:multiLevelType w:val="hybridMultilevel"/>
    <w:tmpl w:val="FC0A98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3A0A64"/>
    <w:multiLevelType w:val="hybridMultilevel"/>
    <w:tmpl w:val="947CE2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654D5B"/>
    <w:multiLevelType w:val="hybridMultilevel"/>
    <w:tmpl w:val="BB5C73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820CCA"/>
    <w:multiLevelType w:val="hybridMultilevel"/>
    <w:tmpl w:val="BEB0D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D437C5"/>
    <w:multiLevelType w:val="multilevel"/>
    <w:tmpl w:val="6680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138F5"/>
    <w:multiLevelType w:val="hybridMultilevel"/>
    <w:tmpl w:val="E3DAC4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C0D6EA6"/>
    <w:multiLevelType w:val="multilevel"/>
    <w:tmpl w:val="49DCEC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BA5CFD"/>
    <w:multiLevelType w:val="multilevel"/>
    <w:tmpl w:val="3D00B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E570EB"/>
    <w:multiLevelType w:val="hybridMultilevel"/>
    <w:tmpl w:val="745C6E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09608AC"/>
    <w:multiLevelType w:val="multilevel"/>
    <w:tmpl w:val="C824B9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302EB"/>
    <w:multiLevelType w:val="hybridMultilevel"/>
    <w:tmpl w:val="4C9A189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138338D5"/>
    <w:multiLevelType w:val="multilevel"/>
    <w:tmpl w:val="FDA8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7133"/>
    <w:multiLevelType w:val="multilevel"/>
    <w:tmpl w:val="22E03C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2A43F3"/>
    <w:multiLevelType w:val="multilevel"/>
    <w:tmpl w:val="FA92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A71CF"/>
    <w:multiLevelType w:val="hybridMultilevel"/>
    <w:tmpl w:val="CA8271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C621C6A"/>
    <w:multiLevelType w:val="hybridMultilevel"/>
    <w:tmpl w:val="81F415DA"/>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C842084"/>
    <w:multiLevelType w:val="multilevel"/>
    <w:tmpl w:val="458A32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7C179A"/>
    <w:multiLevelType w:val="multilevel"/>
    <w:tmpl w:val="4A18F1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914136"/>
    <w:multiLevelType w:val="hybridMultilevel"/>
    <w:tmpl w:val="02D01E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2333B49"/>
    <w:multiLevelType w:val="hybridMultilevel"/>
    <w:tmpl w:val="3E48D1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44E0FF2"/>
    <w:multiLevelType w:val="hybridMultilevel"/>
    <w:tmpl w:val="AE28BA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60E2A2A"/>
    <w:multiLevelType w:val="hybridMultilevel"/>
    <w:tmpl w:val="A1A81A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7326146"/>
    <w:multiLevelType w:val="multilevel"/>
    <w:tmpl w:val="2A8C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770AC"/>
    <w:multiLevelType w:val="hybridMultilevel"/>
    <w:tmpl w:val="A468D3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D60657C"/>
    <w:multiLevelType w:val="hybridMultilevel"/>
    <w:tmpl w:val="1A7ED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EBC17B6"/>
    <w:multiLevelType w:val="hybridMultilevel"/>
    <w:tmpl w:val="8B5477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FF63D9C"/>
    <w:multiLevelType w:val="multilevel"/>
    <w:tmpl w:val="AA7E25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02445F"/>
    <w:multiLevelType w:val="hybridMultilevel"/>
    <w:tmpl w:val="4546D9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4362E76"/>
    <w:multiLevelType w:val="multilevel"/>
    <w:tmpl w:val="4874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433C98"/>
    <w:multiLevelType w:val="hybridMultilevel"/>
    <w:tmpl w:val="BFDE19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5960C40"/>
    <w:multiLevelType w:val="multilevel"/>
    <w:tmpl w:val="317E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B05EB6"/>
    <w:multiLevelType w:val="multilevel"/>
    <w:tmpl w:val="77FE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CC7EC6"/>
    <w:multiLevelType w:val="hybridMultilevel"/>
    <w:tmpl w:val="6B924262"/>
    <w:lvl w:ilvl="0" w:tplc="0C0A0001">
      <w:start w:val="1"/>
      <w:numFmt w:val="bullet"/>
      <w:lvlText w:val=""/>
      <w:lvlJc w:val="left"/>
      <w:pPr>
        <w:ind w:left="1068" w:hanging="360"/>
      </w:pPr>
      <w:rPr>
        <w:rFonts w:ascii="Symbol" w:hAnsi="Symbol"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5" w15:restartNumberingAfterBreak="0">
    <w:nsid w:val="36452A45"/>
    <w:multiLevelType w:val="multilevel"/>
    <w:tmpl w:val="C6D8D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EA3F0D"/>
    <w:multiLevelType w:val="hybridMultilevel"/>
    <w:tmpl w:val="09C63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383755DE"/>
    <w:multiLevelType w:val="hybridMultilevel"/>
    <w:tmpl w:val="C798D0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38972853"/>
    <w:multiLevelType w:val="multilevel"/>
    <w:tmpl w:val="7FD0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711D15"/>
    <w:multiLevelType w:val="multilevel"/>
    <w:tmpl w:val="D4ECE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0A0E88"/>
    <w:multiLevelType w:val="hybridMultilevel"/>
    <w:tmpl w:val="3460CA1E"/>
    <w:lvl w:ilvl="0" w:tplc="FDFAF46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3C9F6A4E"/>
    <w:multiLevelType w:val="multilevel"/>
    <w:tmpl w:val="EDC2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505576"/>
    <w:multiLevelType w:val="multilevel"/>
    <w:tmpl w:val="9078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562520"/>
    <w:multiLevelType w:val="multilevel"/>
    <w:tmpl w:val="E000F8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877FCA"/>
    <w:multiLevelType w:val="multilevel"/>
    <w:tmpl w:val="75C4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130755"/>
    <w:multiLevelType w:val="hybridMultilevel"/>
    <w:tmpl w:val="E506B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430C624B"/>
    <w:multiLevelType w:val="hybridMultilevel"/>
    <w:tmpl w:val="63A05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44553A36"/>
    <w:multiLevelType w:val="multilevel"/>
    <w:tmpl w:val="CC546F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594C27"/>
    <w:multiLevelType w:val="multilevel"/>
    <w:tmpl w:val="791C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C71468"/>
    <w:multiLevelType w:val="hybridMultilevel"/>
    <w:tmpl w:val="21EEFD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4BE01E20"/>
    <w:multiLevelType w:val="multilevel"/>
    <w:tmpl w:val="D3DC36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EC6862"/>
    <w:multiLevelType w:val="multilevel"/>
    <w:tmpl w:val="765C38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C22522"/>
    <w:multiLevelType w:val="hybridMultilevel"/>
    <w:tmpl w:val="A3F20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4FD857F5"/>
    <w:multiLevelType w:val="multilevel"/>
    <w:tmpl w:val="5152424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F661BD"/>
    <w:multiLevelType w:val="multilevel"/>
    <w:tmpl w:val="D024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A846FE"/>
    <w:multiLevelType w:val="hybridMultilevel"/>
    <w:tmpl w:val="5FE42F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55D80F51"/>
    <w:multiLevelType w:val="hybridMultilevel"/>
    <w:tmpl w:val="6E0090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57AD6183"/>
    <w:multiLevelType w:val="multilevel"/>
    <w:tmpl w:val="6C1027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631153"/>
    <w:multiLevelType w:val="multilevel"/>
    <w:tmpl w:val="99A0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D64BDE"/>
    <w:multiLevelType w:val="multilevel"/>
    <w:tmpl w:val="8AC4F0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BC4F74"/>
    <w:multiLevelType w:val="multilevel"/>
    <w:tmpl w:val="AC4422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AC4B3C"/>
    <w:multiLevelType w:val="hybridMultilevel"/>
    <w:tmpl w:val="B8A2C4DC"/>
    <w:lvl w:ilvl="0" w:tplc="0C0A0001">
      <w:start w:val="1"/>
      <w:numFmt w:val="bullet"/>
      <w:lvlText w:val=""/>
      <w:lvlJc w:val="left"/>
      <w:pPr>
        <w:ind w:left="1080" w:hanging="360"/>
      </w:pPr>
      <w:rPr>
        <w:rFonts w:ascii="Symbol" w:hAnsi="Symbol" w:hint="default"/>
      </w:rPr>
    </w:lvl>
    <w:lvl w:ilvl="1" w:tplc="C8EA769C">
      <w:start w:val="1"/>
      <w:numFmt w:val="bullet"/>
      <w:lvlText w:val="-"/>
      <w:lvlJc w:val="left"/>
      <w:pPr>
        <w:ind w:left="1800" w:hanging="360"/>
      </w:pPr>
      <w:rPr>
        <w:rFonts w:ascii="Tw Cen MT" w:eastAsia="Times New Roman" w:hAnsi="Tw Cen MT" w:cs="Times New Roman"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2" w15:restartNumberingAfterBreak="0">
    <w:nsid w:val="5C167B5B"/>
    <w:multiLevelType w:val="multilevel"/>
    <w:tmpl w:val="644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8518E2"/>
    <w:multiLevelType w:val="hybridMultilevel"/>
    <w:tmpl w:val="B26EA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60A316A4"/>
    <w:multiLevelType w:val="hybridMultilevel"/>
    <w:tmpl w:val="8ED899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61750A4C"/>
    <w:multiLevelType w:val="hybridMultilevel"/>
    <w:tmpl w:val="6E2AE0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61DE5AD8"/>
    <w:multiLevelType w:val="hybridMultilevel"/>
    <w:tmpl w:val="B958D7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64D761AD"/>
    <w:multiLevelType w:val="multilevel"/>
    <w:tmpl w:val="E8EEB5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6C84BD0"/>
    <w:multiLevelType w:val="multilevel"/>
    <w:tmpl w:val="41EA2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92701F"/>
    <w:multiLevelType w:val="hybridMultilevel"/>
    <w:tmpl w:val="265AD6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6EE9268E"/>
    <w:multiLevelType w:val="hybridMultilevel"/>
    <w:tmpl w:val="97B8D5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729E5AB5"/>
    <w:multiLevelType w:val="multilevel"/>
    <w:tmpl w:val="3FE2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D94607"/>
    <w:multiLevelType w:val="multilevel"/>
    <w:tmpl w:val="6FBE5B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2F44427"/>
    <w:multiLevelType w:val="hybridMultilevel"/>
    <w:tmpl w:val="8082A4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733211CA"/>
    <w:multiLevelType w:val="multilevel"/>
    <w:tmpl w:val="2ACC4F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C690DED"/>
    <w:multiLevelType w:val="hybridMultilevel"/>
    <w:tmpl w:val="D1543C96"/>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6" w15:restartNumberingAfterBreak="0">
    <w:nsid w:val="7D405E49"/>
    <w:multiLevelType w:val="multilevel"/>
    <w:tmpl w:val="C92C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877D97"/>
    <w:multiLevelType w:val="hybridMultilevel"/>
    <w:tmpl w:val="D02E02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7DE50B35"/>
    <w:multiLevelType w:val="hybridMultilevel"/>
    <w:tmpl w:val="690441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7E217FE2"/>
    <w:multiLevelType w:val="multilevel"/>
    <w:tmpl w:val="CEC02C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FDE33F5"/>
    <w:multiLevelType w:val="hybridMultilevel"/>
    <w:tmpl w:val="E9B672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85134661">
    <w:abstractNumId w:val="20"/>
  </w:num>
  <w:num w:numId="2" w16cid:durableId="1814448066">
    <w:abstractNumId w:val="34"/>
  </w:num>
  <w:num w:numId="3" w16cid:durableId="604189476">
    <w:abstractNumId w:val="12"/>
  </w:num>
  <w:num w:numId="4" w16cid:durableId="1165441598">
    <w:abstractNumId w:val="7"/>
  </w:num>
  <w:num w:numId="5" w16cid:durableId="1326591748">
    <w:abstractNumId w:val="61"/>
  </w:num>
  <w:num w:numId="6" w16cid:durableId="510680097">
    <w:abstractNumId w:val="55"/>
  </w:num>
  <w:num w:numId="7" w16cid:durableId="1422331286">
    <w:abstractNumId w:val="65"/>
  </w:num>
  <w:num w:numId="8" w16cid:durableId="159201653">
    <w:abstractNumId w:val="80"/>
  </w:num>
  <w:num w:numId="9" w16cid:durableId="2009597838">
    <w:abstractNumId w:val="56"/>
  </w:num>
  <w:num w:numId="10" w16cid:durableId="1808862311">
    <w:abstractNumId w:val="66"/>
  </w:num>
  <w:num w:numId="11" w16cid:durableId="1781218048">
    <w:abstractNumId w:val="3"/>
  </w:num>
  <w:num w:numId="12" w16cid:durableId="1598440563">
    <w:abstractNumId w:val="10"/>
  </w:num>
  <w:num w:numId="13" w16cid:durableId="1278638364">
    <w:abstractNumId w:val="73"/>
  </w:num>
  <w:num w:numId="14" w16cid:durableId="279722824">
    <w:abstractNumId w:val="2"/>
  </w:num>
  <w:num w:numId="15" w16cid:durableId="1968580276">
    <w:abstractNumId w:val="64"/>
  </w:num>
  <w:num w:numId="16" w16cid:durableId="1349985610">
    <w:abstractNumId w:val="26"/>
  </w:num>
  <w:num w:numId="17" w16cid:durableId="1548370037">
    <w:abstractNumId w:val="25"/>
  </w:num>
  <w:num w:numId="18" w16cid:durableId="1319765216">
    <w:abstractNumId w:val="23"/>
  </w:num>
  <w:num w:numId="19" w16cid:durableId="1409494504">
    <w:abstractNumId w:val="49"/>
  </w:num>
  <w:num w:numId="20" w16cid:durableId="1637686204">
    <w:abstractNumId w:val="77"/>
  </w:num>
  <w:num w:numId="21" w16cid:durableId="879589575">
    <w:abstractNumId w:val="27"/>
  </w:num>
  <w:num w:numId="22" w16cid:durableId="1771704738">
    <w:abstractNumId w:val="5"/>
  </w:num>
  <w:num w:numId="23" w16cid:durableId="1807819289">
    <w:abstractNumId w:val="31"/>
  </w:num>
  <w:num w:numId="24" w16cid:durableId="464617240">
    <w:abstractNumId w:val="22"/>
  </w:num>
  <w:num w:numId="25" w16cid:durableId="1236160949">
    <w:abstractNumId w:val="52"/>
  </w:num>
  <w:num w:numId="26" w16cid:durableId="1222519192">
    <w:abstractNumId w:val="36"/>
  </w:num>
  <w:num w:numId="27" w16cid:durableId="1903980122">
    <w:abstractNumId w:val="29"/>
  </w:num>
  <w:num w:numId="28" w16cid:durableId="1361471373">
    <w:abstractNumId w:val="21"/>
  </w:num>
  <w:num w:numId="29" w16cid:durableId="620190681">
    <w:abstractNumId w:val="1"/>
  </w:num>
  <w:num w:numId="30" w16cid:durableId="346560710">
    <w:abstractNumId w:val="16"/>
  </w:num>
  <w:num w:numId="31" w16cid:durableId="731467258">
    <w:abstractNumId w:val="63"/>
  </w:num>
  <w:num w:numId="32" w16cid:durableId="921061304">
    <w:abstractNumId w:val="37"/>
  </w:num>
  <w:num w:numId="33" w16cid:durableId="1120881053">
    <w:abstractNumId w:val="69"/>
  </w:num>
  <w:num w:numId="34" w16cid:durableId="1223099079">
    <w:abstractNumId w:val="78"/>
  </w:num>
  <w:num w:numId="35" w16cid:durableId="847063200">
    <w:abstractNumId w:val="46"/>
  </w:num>
  <w:num w:numId="36" w16cid:durableId="686104883">
    <w:abstractNumId w:val="17"/>
  </w:num>
  <w:num w:numId="37" w16cid:durableId="2078239872">
    <w:abstractNumId w:val="75"/>
  </w:num>
  <w:num w:numId="38" w16cid:durableId="5444993">
    <w:abstractNumId w:val="40"/>
  </w:num>
  <w:num w:numId="39" w16cid:durableId="1009405693">
    <w:abstractNumId w:val="4"/>
  </w:num>
  <w:num w:numId="40" w16cid:durableId="2076122823">
    <w:abstractNumId w:val="45"/>
  </w:num>
  <w:num w:numId="41" w16cid:durableId="301275573">
    <w:abstractNumId w:val="70"/>
  </w:num>
  <w:num w:numId="42" w16cid:durableId="311758105">
    <w:abstractNumId w:val="30"/>
  </w:num>
  <w:num w:numId="43" w16cid:durableId="73742486">
    <w:abstractNumId w:val="35"/>
  </w:num>
  <w:num w:numId="44" w16cid:durableId="1704792326">
    <w:abstractNumId w:val="39"/>
  </w:num>
  <w:num w:numId="45" w16cid:durableId="1463692849">
    <w:abstractNumId w:val="32"/>
  </w:num>
  <w:num w:numId="46" w16cid:durableId="2042895899">
    <w:abstractNumId w:val="58"/>
  </w:num>
  <w:num w:numId="47" w16cid:durableId="985888890">
    <w:abstractNumId w:val="15"/>
  </w:num>
  <w:num w:numId="48" w16cid:durableId="235283651">
    <w:abstractNumId w:val="44"/>
  </w:num>
  <w:num w:numId="49" w16cid:durableId="956451581">
    <w:abstractNumId w:val="13"/>
  </w:num>
  <w:num w:numId="50" w16cid:durableId="1622036880">
    <w:abstractNumId w:val="0"/>
  </w:num>
  <w:num w:numId="51" w16cid:durableId="840779092">
    <w:abstractNumId w:val="41"/>
  </w:num>
  <w:num w:numId="52" w16cid:durableId="1286153643">
    <w:abstractNumId w:val="71"/>
  </w:num>
  <w:num w:numId="53" w16cid:durableId="209387743">
    <w:abstractNumId w:val="54"/>
  </w:num>
  <w:num w:numId="54" w16cid:durableId="255872673">
    <w:abstractNumId w:val="24"/>
  </w:num>
  <w:num w:numId="55" w16cid:durableId="2090880446">
    <w:abstractNumId w:val="42"/>
  </w:num>
  <w:num w:numId="56" w16cid:durableId="675351767">
    <w:abstractNumId w:val="33"/>
  </w:num>
  <w:num w:numId="57" w16cid:durableId="1477919129">
    <w:abstractNumId w:val="38"/>
  </w:num>
  <w:num w:numId="58" w16cid:durableId="329413315">
    <w:abstractNumId w:val="62"/>
  </w:num>
  <w:num w:numId="59" w16cid:durableId="555705352">
    <w:abstractNumId w:val="76"/>
  </w:num>
  <w:num w:numId="60" w16cid:durableId="1548183415">
    <w:abstractNumId w:val="9"/>
  </w:num>
  <w:num w:numId="61" w16cid:durableId="2057466191">
    <w:abstractNumId w:val="18"/>
  </w:num>
  <w:num w:numId="62" w16cid:durableId="865681861">
    <w:abstractNumId w:val="43"/>
  </w:num>
  <w:num w:numId="63" w16cid:durableId="760873991">
    <w:abstractNumId w:val="72"/>
  </w:num>
  <w:num w:numId="64" w16cid:durableId="2140026625">
    <w:abstractNumId w:val="28"/>
  </w:num>
  <w:num w:numId="65" w16cid:durableId="1720979783">
    <w:abstractNumId w:val="57"/>
  </w:num>
  <w:num w:numId="66" w16cid:durableId="1431046514">
    <w:abstractNumId w:val="79"/>
  </w:num>
  <w:num w:numId="67" w16cid:durableId="1683120368">
    <w:abstractNumId w:val="14"/>
  </w:num>
  <w:num w:numId="68" w16cid:durableId="259488658">
    <w:abstractNumId w:val="48"/>
  </w:num>
  <w:num w:numId="69" w16cid:durableId="1254629820">
    <w:abstractNumId w:val="67"/>
  </w:num>
  <w:num w:numId="70" w16cid:durableId="178155592">
    <w:abstractNumId w:val="60"/>
  </w:num>
  <w:num w:numId="71" w16cid:durableId="1531870868">
    <w:abstractNumId w:val="47"/>
  </w:num>
  <w:num w:numId="72" w16cid:durableId="1282960975">
    <w:abstractNumId w:val="51"/>
  </w:num>
  <w:num w:numId="73" w16cid:durableId="992878356">
    <w:abstractNumId w:val="8"/>
  </w:num>
  <w:num w:numId="74" w16cid:durableId="1199509018">
    <w:abstractNumId w:val="74"/>
  </w:num>
  <w:num w:numId="75" w16cid:durableId="710568783">
    <w:abstractNumId w:val="19"/>
  </w:num>
  <w:num w:numId="76" w16cid:durableId="2070806886">
    <w:abstractNumId w:val="11"/>
  </w:num>
  <w:num w:numId="77" w16cid:durableId="1763407738">
    <w:abstractNumId w:val="50"/>
  </w:num>
  <w:num w:numId="78" w16cid:durableId="258687322">
    <w:abstractNumId w:val="59"/>
  </w:num>
  <w:num w:numId="79" w16cid:durableId="984311963">
    <w:abstractNumId w:val="53"/>
  </w:num>
  <w:num w:numId="80" w16cid:durableId="802847070">
    <w:abstractNumId w:val="6"/>
  </w:num>
  <w:num w:numId="81" w16cid:durableId="1256328167">
    <w:abstractNumId w:val="6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activeWritingStyle w:appName="MSWord" w:lang="pt-BR" w:vendorID="64" w:dllVersion="6" w:nlCheck="1" w:checkStyle="0"/>
  <w:activeWritingStyle w:appName="MSWord" w:lang="es-ES" w:vendorID="64" w:dllVersion="6" w:nlCheck="1" w:checkStyle="0"/>
  <w:activeWritingStyle w:appName="MSWord" w:lang="es-MX" w:vendorID="64" w:dllVersion="6" w:nlCheck="1" w:checkStyle="1"/>
  <w:activeWritingStyle w:appName="MSWord" w:lang="en-GB" w:vendorID="64" w:dllVersion="6" w:nlCheck="1" w:checkStyle="1"/>
  <w:activeWritingStyle w:appName="MSWord" w:lang="en-US" w:vendorID="64" w:dllVersion="6" w:nlCheck="1" w:checkStyle="1"/>
  <w:activeWritingStyle w:appName="MSWord" w:lang="es-ES" w:vendorID="64" w:dllVersion="4096" w:nlCheck="1" w:checkStyle="0"/>
  <w:activeWritingStyle w:appName="MSWord" w:lang="pt-BR" w:vendorID="64" w:dllVersion="4096" w:nlCheck="1" w:checkStyle="0"/>
  <w:activeWritingStyle w:appName="MSWord" w:lang="fi-FI"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sv-SE" w:vendorID="64" w:dllVersion="4096" w:nlCheck="1" w:checkStyle="0"/>
  <w:activeWritingStyle w:appName="MSWord" w:lang="es-ES_tradnl" w:vendorID="64" w:dllVersion="4096" w:nlCheck="1" w:checkStyle="0"/>
  <w:activeWritingStyle w:appName="MSWord" w:lang="es-ES_tradnl" w:vendorID="64" w:dllVersion="6" w:nlCheck="1" w:checkStyle="0"/>
  <w:activeWritingStyle w:appName="MSWord" w:lang="es-MX" w:vendorID="64" w:dllVersion="4096"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activeWritingStyle w:appName="MSWord" w:lang="en-GB" w:vendorID="64" w:dllVersion="0" w:nlCheck="1" w:checkStyle="0"/>
  <w:activeWritingStyle w:appName="MSWord" w:lang="es-ES_tradnl" w:vendorID="64" w:dllVersion="0" w:nlCheck="1" w:checkStyle="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14"/>
    <w:rsid w:val="00000488"/>
    <w:rsid w:val="00000827"/>
    <w:rsid w:val="0000089B"/>
    <w:rsid w:val="00000B6A"/>
    <w:rsid w:val="00000BD5"/>
    <w:rsid w:val="00000DA4"/>
    <w:rsid w:val="0000224C"/>
    <w:rsid w:val="000022FA"/>
    <w:rsid w:val="0000236C"/>
    <w:rsid w:val="00002615"/>
    <w:rsid w:val="000027DC"/>
    <w:rsid w:val="000027FD"/>
    <w:rsid w:val="000028E1"/>
    <w:rsid w:val="00002DF3"/>
    <w:rsid w:val="0000300D"/>
    <w:rsid w:val="0000352B"/>
    <w:rsid w:val="00003F5C"/>
    <w:rsid w:val="00004286"/>
    <w:rsid w:val="00004677"/>
    <w:rsid w:val="000046FE"/>
    <w:rsid w:val="000049D9"/>
    <w:rsid w:val="00005267"/>
    <w:rsid w:val="000053E9"/>
    <w:rsid w:val="00005A48"/>
    <w:rsid w:val="00005A5C"/>
    <w:rsid w:val="00006B31"/>
    <w:rsid w:val="00006BBA"/>
    <w:rsid w:val="00006CB8"/>
    <w:rsid w:val="00006EC8"/>
    <w:rsid w:val="00006F0B"/>
    <w:rsid w:val="000074AB"/>
    <w:rsid w:val="0000790B"/>
    <w:rsid w:val="00007BF6"/>
    <w:rsid w:val="00010B2A"/>
    <w:rsid w:val="0001156B"/>
    <w:rsid w:val="00011B2A"/>
    <w:rsid w:val="00012639"/>
    <w:rsid w:val="000133C9"/>
    <w:rsid w:val="000136C9"/>
    <w:rsid w:val="000142BA"/>
    <w:rsid w:val="000145ED"/>
    <w:rsid w:val="00015137"/>
    <w:rsid w:val="00015843"/>
    <w:rsid w:val="00015DD1"/>
    <w:rsid w:val="00015F0D"/>
    <w:rsid w:val="0001603B"/>
    <w:rsid w:val="000167D6"/>
    <w:rsid w:val="000169C1"/>
    <w:rsid w:val="00016B27"/>
    <w:rsid w:val="00017187"/>
    <w:rsid w:val="000171F3"/>
    <w:rsid w:val="0001743E"/>
    <w:rsid w:val="00017AE5"/>
    <w:rsid w:val="000202E5"/>
    <w:rsid w:val="000207B6"/>
    <w:rsid w:val="0002128F"/>
    <w:rsid w:val="00021923"/>
    <w:rsid w:val="00021A69"/>
    <w:rsid w:val="00021B3B"/>
    <w:rsid w:val="00021E1A"/>
    <w:rsid w:val="000221AC"/>
    <w:rsid w:val="000224BC"/>
    <w:rsid w:val="00022BF3"/>
    <w:rsid w:val="000231D7"/>
    <w:rsid w:val="00023874"/>
    <w:rsid w:val="00023F2A"/>
    <w:rsid w:val="000241BA"/>
    <w:rsid w:val="00025A0B"/>
    <w:rsid w:val="00025B22"/>
    <w:rsid w:val="000265A7"/>
    <w:rsid w:val="000273BA"/>
    <w:rsid w:val="00027A1F"/>
    <w:rsid w:val="00027A46"/>
    <w:rsid w:val="00030405"/>
    <w:rsid w:val="00031099"/>
    <w:rsid w:val="00031299"/>
    <w:rsid w:val="000314E7"/>
    <w:rsid w:val="0003297A"/>
    <w:rsid w:val="000334EB"/>
    <w:rsid w:val="00034171"/>
    <w:rsid w:val="0003432E"/>
    <w:rsid w:val="00034474"/>
    <w:rsid w:val="0003499A"/>
    <w:rsid w:val="00034ECF"/>
    <w:rsid w:val="00034EDA"/>
    <w:rsid w:val="0003541C"/>
    <w:rsid w:val="000361BD"/>
    <w:rsid w:val="00036434"/>
    <w:rsid w:val="000364F2"/>
    <w:rsid w:val="00036880"/>
    <w:rsid w:val="0003689E"/>
    <w:rsid w:val="000369BA"/>
    <w:rsid w:val="00036A51"/>
    <w:rsid w:val="000371AC"/>
    <w:rsid w:val="0003722C"/>
    <w:rsid w:val="000408CF"/>
    <w:rsid w:val="0004124D"/>
    <w:rsid w:val="00041827"/>
    <w:rsid w:val="0004227C"/>
    <w:rsid w:val="00042F76"/>
    <w:rsid w:val="00043704"/>
    <w:rsid w:val="000437FA"/>
    <w:rsid w:val="00043B8E"/>
    <w:rsid w:val="00043C6A"/>
    <w:rsid w:val="00044746"/>
    <w:rsid w:val="000447F7"/>
    <w:rsid w:val="000449F6"/>
    <w:rsid w:val="00044F6B"/>
    <w:rsid w:val="00044FFF"/>
    <w:rsid w:val="000455C2"/>
    <w:rsid w:val="00046331"/>
    <w:rsid w:val="0004668F"/>
    <w:rsid w:val="00046C40"/>
    <w:rsid w:val="00046CEE"/>
    <w:rsid w:val="00050197"/>
    <w:rsid w:val="00050BFA"/>
    <w:rsid w:val="00050EE6"/>
    <w:rsid w:val="000515E3"/>
    <w:rsid w:val="00051804"/>
    <w:rsid w:val="0005197C"/>
    <w:rsid w:val="00051CA2"/>
    <w:rsid w:val="0005238B"/>
    <w:rsid w:val="00053545"/>
    <w:rsid w:val="00053868"/>
    <w:rsid w:val="0005391B"/>
    <w:rsid w:val="00053A4D"/>
    <w:rsid w:val="00053B3F"/>
    <w:rsid w:val="00054857"/>
    <w:rsid w:val="00055579"/>
    <w:rsid w:val="0005571D"/>
    <w:rsid w:val="00056133"/>
    <w:rsid w:val="00056466"/>
    <w:rsid w:val="00056C9A"/>
    <w:rsid w:val="00056FC3"/>
    <w:rsid w:val="00057225"/>
    <w:rsid w:val="00057278"/>
    <w:rsid w:val="00060F17"/>
    <w:rsid w:val="00061351"/>
    <w:rsid w:val="0006143D"/>
    <w:rsid w:val="000614FD"/>
    <w:rsid w:val="00061945"/>
    <w:rsid w:val="00061F0F"/>
    <w:rsid w:val="000624D4"/>
    <w:rsid w:val="0006271E"/>
    <w:rsid w:val="00062C2B"/>
    <w:rsid w:val="000632E9"/>
    <w:rsid w:val="000633AE"/>
    <w:rsid w:val="00064167"/>
    <w:rsid w:val="000642CC"/>
    <w:rsid w:val="00064BC2"/>
    <w:rsid w:val="00064E34"/>
    <w:rsid w:val="000656B1"/>
    <w:rsid w:val="00065BA4"/>
    <w:rsid w:val="00066169"/>
    <w:rsid w:val="000661BE"/>
    <w:rsid w:val="00066278"/>
    <w:rsid w:val="00066BEF"/>
    <w:rsid w:val="00066C9D"/>
    <w:rsid w:val="00066FD5"/>
    <w:rsid w:val="000671AC"/>
    <w:rsid w:val="00070190"/>
    <w:rsid w:val="00070468"/>
    <w:rsid w:val="0007048D"/>
    <w:rsid w:val="00070681"/>
    <w:rsid w:val="00070AB4"/>
    <w:rsid w:val="00070B18"/>
    <w:rsid w:val="00070D38"/>
    <w:rsid w:val="0007149D"/>
    <w:rsid w:val="00071C2F"/>
    <w:rsid w:val="00071C39"/>
    <w:rsid w:val="00071C83"/>
    <w:rsid w:val="000720EE"/>
    <w:rsid w:val="000723C1"/>
    <w:rsid w:val="00072477"/>
    <w:rsid w:val="000726B9"/>
    <w:rsid w:val="00072FCB"/>
    <w:rsid w:val="000730C8"/>
    <w:rsid w:val="000732F4"/>
    <w:rsid w:val="00073521"/>
    <w:rsid w:val="00073D79"/>
    <w:rsid w:val="00073E31"/>
    <w:rsid w:val="00075C2A"/>
    <w:rsid w:val="000764C2"/>
    <w:rsid w:val="0007681F"/>
    <w:rsid w:val="000768CC"/>
    <w:rsid w:val="000770F8"/>
    <w:rsid w:val="00077464"/>
    <w:rsid w:val="000777EE"/>
    <w:rsid w:val="000803B7"/>
    <w:rsid w:val="000807D8"/>
    <w:rsid w:val="000809BE"/>
    <w:rsid w:val="00080A1D"/>
    <w:rsid w:val="0008112D"/>
    <w:rsid w:val="000819FC"/>
    <w:rsid w:val="00081EF6"/>
    <w:rsid w:val="000824DC"/>
    <w:rsid w:val="000827F3"/>
    <w:rsid w:val="00082C69"/>
    <w:rsid w:val="0008384B"/>
    <w:rsid w:val="00083B7F"/>
    <w:rsid w:val="00083CA9"/>
    <w:rsid w:val="000849F4"/>
    <w:rsid w:val="0008516C"/>
    <w:rsid w:val="000852B7"/>
    <w:rsid w:val="00085CDC"/>
    <w:rsid w:val="00085E63"/>
    <w:rsid w:val="00086E61"/>
    <w:rsid w:val="00087903"/>
    <w:rsid w:val="00087D95"/>
    <w:rsid w:val="00087E5C"/>
    <w:rsid w:val="0009128C"/>
    <w:rsid w:val="00092007"/>
    <w:rsid w:val="00092008"/>
    <w:rsid w:val="000921B9"/>
    <w:rsid w:val="00092562"/>
    <w:rsid w:val="00092C36"/>
    <w:rsid w:val="00093593"/>
    <w:rsid w:val="000939B4"/>
    <w:rsid w:val="000939D5"/>
    <w:rsid w:val="000943F0"/>
    <w:rsid w:val="00094570"/>
    <w:rsid w:val="0009472B"/>
    <w:rsid w:val="00094FA2"/>
    <w:rsid w:val="000958E0"/>
    <w:rsid w:val="00095F86"/>
    <w:rsid w:val="000962FC"/>
    <w:rsid w:val="000963BE"/>
    <w:rsid w:val="0009671E"/>
    <w:rsid w:val="00097A8E"/>
    <w:rsid w:val="000A0D6D"/>
    <w:rsid w:val="000A1483"/>
    <w:rsid w:val="000A1946"/>
    <w:rsid w:val="000A1F70"/>
    <w:rsid w:val="000A23EA"/>
    <w:rsid w:val="000A24D6"/>
    <w:rsid w:val="000A2D79"/>
    <w:rsid w:val="000A37FA"/>
    <w:rsid w:val="000A4D56"/>
    <w:rsid w:val="000A4EE9"/>
    <w:rsid w:val="000A55DD"/>
    <w:rsid w:val="000A58C3"/>
    <w:rsid w:val="000A5DE1"/>
    <w:rsid w:val="000A65E6"/>
    <w:rsid w:val="000A6948"/>
    <w:rsid w:val="000A6C23"/>
    <w:rsid w:val="000A6F08"/>
    <w:rsid w:val="000A75A1"/>
    <w:rsid w:val="000A7C59"/>
    <w:rsid w:val="000B00A9"/>
    <w:rsid w:val="000B030D"/>
    <w:rsid w:val="000B0B60"/>
    <w:rsid w:val="000B107F"/>
    <w:rsid w:val="000B110C"/>
    <w:rsid w:val="000B1329"/>
    <w:rsid w:val="000B149D"/>
    <w:rsid w:val="000B1AF0"/>
    <w:rsid w:val="000B21CA"/>
    <w:rsid w:val="000B23A7"/>
    <w:rsid w:val="000B289B"/>
    <w:rsid w:val="000B3633"/>
    <w:rsid w:val="000B37CC"/>
    <w:rsid w:val="000B3DD9"/>
    <w:rsid w:val="000B46BA"/>
    <w:rsid w:val="000B4ACC"/>
    <w:rsid w:val="000B4E9B"/>
    <w:rsid w:val="000B59B0"/>
    <w:rsid w:val="000B5F34"/>
    <w:rsid w:val="000B6292"/>
    <w:rsid w:val="000B63AB"/>
    <w:rsid w:val="000B68C8"/>
    <w:rsid w:val="000B6CB8"/>
    <w:rsid w:val="000B7068"/>
    <w:rsid w:val="000B71B8"/>
    <w:rsid w:val="000C05C7"/>
    <w:rsid w:val="000C09F7"/>
    <w:rsid w:val="000C0B0F"/>
    <w:rsid w:val="000C0E2B"/>
    <w:rsid w:val="000C1B12"/>
    <w:rsid w:val="000C36F7"/>
    <w:rsid w:val="000C3C2C"/>
    <w:rsid w:val="000C3CA4"/>
    <w:rsid w:val="000C3D2C"/>
    <w:rsid w:val="000C3DB1"/>
    <w:rsid w:val="000C3F4E"/>
    <w:rsid w:val="000C4021"/>
    <w:rsid w:val="000C4060"/>
    <w:rsid w:val="000C5353"/>
    <w:rsid w:val="000C5B5C"/>
    <w:rsid w:val="000C62C7"/>
    <w:rsid w:val="000C73E2"/>
    <w:rsid w:val="000C7AFA"/>
    <w:rsid w:val="000D0B4B"/>
    <w:rsid w:val="000D0CA6"/>
    <w:rsid w:val="000D0D2E"/>
    <w:rsid w:val="000D1491"/>
    <w:rsid w:val="000D152F"/>
    <w:rsid w:val="000D16F6"/>
    <w:rsid w:val="000D193E"/>
    <w:rsid w:val="000D2CCA"/>
    <w:rsid w:val="000D2F3D"/>
    <w:rsid w:val="000D33E0"/>
    <w:rsid w:val="000D3E7B"/>
    <w:rsid w:val="000D4D6D"/>
    <w:rsid w:val="000D50DA"/>
    <w:rsid w:val="000D5C73"/>
    <w:rsid w:val="000D5EFB"/>
    <w:rsid w:val="000D6212"/>
    <w:rsid w:val="000D68CB"/>
    <w:rsid w:val="000D6933"/>
    <w:rsid w:val="000D75FA"/>
    <w:rsid w:val="000D77DD"/>
    <w:rsid w:val="000D7846"/>
    <w:rsid w:val="000D7905"/>
    <w:rsid w:val="000D7C19"/>
    <w:rsid w:val="000E00FE"/>
    <w:rsid w:val="000E06D3"/>
    <w:rsid w:val="000E1C88"/>
    <w:rsid w:val="000E1DC6"/>
    <w:rsid w:val="000E2621"/>
    <w:rsid w:val="000E28CC"/>
    <w:rsid w:val="000E2CB4"/>
    <w:rsid w:val="000E375A"/>
    <w:rsid w:val="000E376E"/>
    <w:rsid w:val="000E40AE"/>
    <w:rsid w:val="000E42D6"/>
    <w:rsid w:val="000E5733"/>
    <w:rsid w:val="000E58F1"/>
    <w:rsid w:val="000E5C2B"/>
    <w:rsid w:val="000E708F"/>
    <w:rsid w:val="000E7B46"/>
    <w:rsid w:val="000E7BDC"/>
    <w:rsid w:val="000E7EFE"/>
    <w:rsid w:val="000F035E"/>
    <w:rsid w:val="000F14B0"/>
    <w:rsid w:val="000F17F7"/>
    <w:rsid w:val="000F18D8"/>
    <w:rsid w:val="000F1EB8"/>
    <w:rsid w:val="000F22A3"/>
    <w:rsid w:val="000F2701"/>
    <w:rsid w:val="000F28D3"/>
    <w:rsid w:val="000F28EE"/>
    <w:rsid w:val="000F2916"/>
    <w:rsid w:val="000F29A9"/>
    <w:rsid w:val="000F2C22"/>
    <w:rsid w:val="000F2E59"/>
    <w:rsid w:val="000F4492"/>
    <w:rsid w:val="000F491D"/>
    <w:rsid w:val="000F4B73"/>
    <w:rsid w:val="000F643E"/>
    <w:rsid w:val="000F7490"/>
    <w:rsid w:val="000F7CCA"/>
    <w:rsid w:val="000F7DEE"/>
    <w:rsid w:val="001001D4"/>
    <w:rsid w:val="0010027A"/>
    <w:rsid w:val="001017D0"/>
    <w:rsid w:val="001022CB"/>
    <w:rsid w:val="00102430"/>
    <w:rsid w:val="00102589"/>
    <w:rsid w:val="0010265C"/>
    <w:rsid w:val="00102DC1"/>
    <w:rsid w:val="00103501"/>
    <w:rsid w:val="00103F0C"/>
    <w:rsid w:val="001044AD"/>
    <w:rsid w:val="00104583"/>
    <w:rsid w:val="001048FE"/>
    <w:rsid w:val="001049D4"/>
    <w:rsid w:val="00104FF4"/>
    <w:rsid w:val="00105641"/>
    <w:rsid w:val="00105F25"/>
    <w:rsid w:val="0010644B"/>
    <w:rsid w:val="00107F97"/>
    <w:rsid w:val="00110132"/>
    <w:rsid w:val="0011022D"/>
    <w:rsid w:val="00110525"/>
    <w:rsid w:val="00110B96"/>
    <w:rsid w:val="0011181A"/>
    <w:rsid w:val="001118A3"/>
    <w:rsid w:val="00111D6C"/>
    <w:rsid w:val="0011310E"/>
    <w:rsid w:val="00113B00"/>
    <w:rsid w:val="00113B0A"/>
    <w:rsid w:val="0011400E"/>
    <w:rsid w:val="00115445"/>
    <w:rsid w:val="0011556E"/>
    <w:rsid w:val="00116CC6"/>
    <w:rsid w:val="00117B3D"/>
    <w:rsid w:val="00117B8A"/>
    <w:rsid w:val="0012079F"/>
    <w:rsid w:val="0012085B"/>
    <w:rsid w:val="00121644"/>
    <w:rsid w:val="001220BF"/>
    <w:rsid w:val="00122A65"/>
    <w:rsid w:val="00123F04"/>
    <w:rsid w:val="00123FBC"/>
    <w:rsid w:val="00124246"/>
    <w:rsid w:val="0012474C"/>
    <w:rsid w:val="0012486F"/>
    <w:rsid w:val="00124981"/>
    <w:rsid w:val="00124D18"/>
    <w:rsid w:val="00125285"/>
    <w:rsid w:val="001257E2"/>
    <w:rsid w:val="001259C8"/>
    <w:rsid w:val="00126832"/>
    <w:rsid w:val="00126EC4"/>
    <w:rsid w:val="001278F4"/>
    <w:rsid w:val="00130267"/>
    <w:rsid w:val="001315F3"/>
    <w:rsid w:val="00131B28"/>
    <w:rsid w:val="00131E1A"/>
    <w:rsid w:val="0013219D"/>
    <w:rsid w:val="001328B5"/>
    <w:rsid w:val="00132E01"/>
    <w:rsid w:val="00132FBD"/>
    <w:rsid w:val="00133518"/>
    <w:rsid w:val="001348D6"/>
    <w:rsid w:val="00134930"/>
    <w:rsid w:val="0013499A"/>
    <w:rsid w:val="00135289"/>
    <w:rsid w:val="00135F06"/>
    <w:rsid w:val="00136237"/>
    <w:rsid w:val="001366D1"/>
    <w:rsid w:val="00136BC9"/>
    <w:rsid w:val="00136DDA"/>
    <w:rsid w:val="00136EE9"/>
    <w:rsid w:val="00137070"/>
    <w:rsid w:val="001375C5"/>
    <w:rsid w:val="00137786"/>
    <w:rsid w:val="00137A9E"/>
    <w:rsid w:val="00137C30"/>
    <w:rsid w:val="00140668"/>
    <w:rsid w:val="001407DA"/>
    <w:rsid w:val="00140C72"/>
    <w:rsid w:val="001410C8"/>
    <w:rsid w:val="00141206"/>
    <w:rsid w:val="001412D9"/>
    <w:rsid w:val="00141418"/>
    <w:rsid w:val="00141919"/>
    <w:rsid w:val="00141FCF"/>
    <w:rsid w:val="001420D8"/>
    <w:rsid w:val="00142554"/>
    <w:rsid w:val="00142813"/>
    <w:rsid w:val="0014288B"/>
    <w:rsid w:val="001429AB"/>
    <w:rsid w:val="00143AB5"/>
    <w:rsid w:val="00143E38"/>
    <w:rsid w:val="001448AA"/>
    <w:rsid w:val="00144E9A"/>
    <w:rsid w:val="00145430"/>
    <w:rsid w:val="00145896"/>
    <w:rsid w:val="00147016"/>
    <w:rsid w:val="0014747B"/>
    <w:rsid w:val="0014756C"/>
    <w:rsid w:val="00147658"/>
    <w:rsid w:val="001476D6"/>
    <w:rsid w:val="00147B3D"/>
    <w:rsid w:val="00147BEF"/>
    <w:rsid w:val="00147D31"/>
    <w:rsid w:val="00150524"/>
    <w:rsid w:val="0015147D"/>
    <w:rsid w:val="00151906"/>
    <w:rsid w:val="00151A2F"/>
    <w:rsid w:val="00151B7B"/>
    <w:rsid w:val="00151CA0"/>
    <w:rsid w:val="00151D3D"/>
    <w:rsid w:val="00151F52"/>
    <w:rsid w:val="001534EC"/>
    <w:rsid w:val="0015369D"/>
    <w:rsid w:val="00153AD2"/>
    <w:rsid w:val="001547A7"/>
    <w:rsid w:val="001551B0"/>
    <w:rsid w:val="00155270"/>
    <w:rsid w:val="00155688"/>
    <w:rsid w:val="001557DB"/>
    <w:rsid w:val="00155C0A"/>
    <w:rsid w:val="001564F6"/>
    <w:rsid w:val="00156692"/>
    <w:rsid w:val="0015697A"/>
    <w:rsid w:val="0015717A"/>
    <w:rsid w:val="001572A7"/>
    <w:rsid w:val="00157E32"/>
    <w:rsid w:val="00161771"/>
    <w:rsid w:val="001633D6"/>
    <w:rsid w:val="00164519"/>
    <w:rsid w:val="0016469E"/>
    <w:rsid w:val="00164BB0"/>
    <w:rsid w:val="0016557B"/>
    <w:rsid w:val="00165BC0"/>
    <w:rsid w:val="00166964"/>
    <w:rsid w:val="00166C7D"/>
    <w:rsid w:val="001706E5"/>
    <w:rsid w:val="0017084D"/>
    <w:rsid w:val="0017125E"/>
    <w:rsid w:val="001713AB"/>
    <w:rsid w:val="001715E8"/>
    <w:rsid w:val="00171A75"/>
    <w:rsid w:val="00171D51"/>
    <w:rsid w:val="00172118"/>
    <w:rsid w:val="001724C1"/>
    <w:rsid w:val="0017264D"/>
    <w:rsid w:val="001727F7"/>
    <w:rsid w:val="00172C62"/>
    <w:rsid w:val="0017305F"/>
    <w:rsid w:val="001730F3"/>
    <w:rsid w:val="00173616"/>
    <w:rsid w:val="00173CBA"/>
    <w:rsid w:val="00173F37"/>
    <w:rsid w:val="0017414E"/>
    <w:rsid w:val="0017442C"/>
    <w:rsid w:val="001744D7"/>
    <w:rsid w:val="00175089"/>
    <w:rsid w:val="0017621E"/>
    <w:rsid w:val="00176399"/>
    <w:rsid w:val="00176BF9"/>
    <w:rsid w:val="00176D09"/>
    <w:rsid w:val="0017778D"/>
    <w:rsid w:val="00177EDE"/>
    <w:rsid w:val="00180E4B"/>
    <w:rsid w:val="001819DF"/>
    <w:rsid w:val="00181BC6"/>
    <w:rsid w:val="0018206A"/>
    <w:rsid w:val="001822CE"/>
    <w:rsid w:val="00183577"/>
    <w:rsid w:val="00183B7E"/>
    <w:rsid w:val="00183D95"/>
    <w:rsid w:val="001844EB"/>
    <w:rsid w:val="001844ED"/>
    <w:rsid w:val="001846D7"/>
    <w:rsid w:val="00184D30"/>
    <w:rsid w:val="001854EF"/>
    <w:rsid w:val="00185534"/>
    <w:rsid w:val="00185544"/>
    <w:rsid w:val="00185A95"/>
    <w:rsid w:val="00185A99"/>
    <w:rsid w:val="00186BAD"/>
    <w:rsid w:val="001871B9"/>
    <w:rsid w:val="00187C20"/>
    <w:rsid w:val="001909DE"/>
    <w:rsid w:val="00190D73"/>
    <w:rsid w:val="00191150"/>
    <w:rsid w:val="00191AC6"/>
    <w:rsid w:val="0019208F"/>
    <w:rsid w:val="0019222C"/>
    <w:rsid w:val="0019245B"/>
    <w:rsid w:val="00192B91"/>
    <w:rsid w:val="00192BEE"/>
    <w:rsid w:val="00192FB7"/>
    <w:rsid w:val="00193268"/>
    <w:rsid w:val="0019335B"/>
    <w:rsid w:val="001939DD"/>
    <w:rsid w:val="001944CC"/>
    <w:rsid w:val="001944E7"/>
    <w:rsid w:val="00194C46"/>
    <w:rsid w:val="00195107"/>
    <w:rsid w:val="001958C9"/>
    <w:rsid w:val="0019596F"/>
    <w:rsid w:val="00195B38"/>
    <w:rsid w:val="001961AF"/>
    <w:rsid w:val="001964C2"/>
    <w:rsid w:val="001965F0"/>
    <w:rsid w:val="00196C24"/>
    <w:rsid w:val="00197901"/>
    <w:rsid w:val="00197B96"/>
    <w:rsid w:val="00197CBB"/>
    <w:rsid w:val="00197F68"/>
    <w:rsid w:val="00197F74"/>
    <w:rsid w:val="001A0440"/>
    <w:rsid w:val="001A04EC"/>
    <w:rsid w:val="001A06E7"/>
    <w:rsid w:val="001A07F5"/>
    <w:rsid w:val="001A08A3"/>
    <w:rsid w:val="001A1007"/>
    <w:rsid w:val="001A1143"/>
    <w:rsid w:val="001A1274"/>
    <w:rsid w:val="001A1A4B"/>
    <w:rsid w:val="001A1D5A"/>
    <w:rsid w:val="001A23C1"/>
    <w:rsid w:val="001A29CD"/>
    <w:rsid w:val="001A2BBB"/>
    <w:rsid w:val="001A2E33"/>
    <w:rsid w:val="001A30B2"/>
    <w:rsid w:val="001A345D"/>
    <w:rsid w:val="001A3928"/>
    <w:rsid w:val="001A4FC6"/>
    <w:rsid w:val="001A5C12"/>
    <w:rsid w:val="001A618B"/>
    <w:rsid w:val="001A6A69"/>
    <w:rsid w:val="001A6BAE"/>
    <w:rsid w:val="001A6D15"/>
    <w:rsid w:val="001A6F6A"/>
    <w:rsid w:val="001A7471"/>
    <w:rsid w:val="001A75FB"/>
    <w:rsid w:val="001B0739"/>
    <w:rsid w:val="001B159A"/>
    <w:rsid w:val="001B1C7F"/>
    <w:rsid w:val="001B358B"/>
    <w:rsid w:val="001B4AB8"/>
    <w:rsid w:val="001B5354"/>
    <w:rsid w:val="001B6006"/>
    <w:rsid w:val="001B62AC"/>
    <w:rsid w:val="001B641B"/>
    <w:rsid w:val="001B70A9"/>
    <w:rsid w:val="001B737C"/>
    <w:rsid w:val="001B780C"/>
    <w:rsid w:val="001C0D11"/>
    <w:rsid w:val="001C12FD"/>
    <w:rsid w:val="001C148C"/>
    <w:rsid w:val="001C1601"/>
    <w:rsid w:val="001C1C28"/>
    <w:rsid w:val="001C29A6"/>
    <w:rsid w:val="001C2B8D"/>
    <w:rsid w:val="001C2E78"/>
    <w:rsid w:val="001C2EF5"/>
    <w:rsid w:val="001C2F45"/>
    <w:rsid w:val="001C3414"/>
    <w:rsid w:val="001C35A8"/>
    <w:rsid w:val="001C3F1E"/>
    <w:rsid w:val="001C4468"/>
    <w:rsid w:val="001C4DC3"/>
    <w:rsid w:val="001C4E46"/>
    <w:rsid w:val="001C5268"/>
    <w:rsid w:val="001C5612"/>
    <w:rsid w:val="001C603A"/>
    <w:rsid w:val="001C6616"/>
    <w:rsid w:val="001C66AB"/>
    <w:rsid w:val="001C75FD"/>
    <w:rsid w:val="001C7A73"/>
    <w:rsid w:val="001C7FD0"/>
    <w:rsid w:val="001D090B"/>
    <w:rsid w:val="001D180B"/>
    <w:rsid w:val="001D1B74"/>
    <w:rsid w:val="001D23EB"/>
    <w:rsid w:val="001D241B"/>
    <w:rsid w:val="001D31A8"/>
    <w:rsid w:val="001D38E8"/>
    <w:rsid w:val="001D3DC4"/>
    <w:rsid w:val="001D432E"/>
    <w:rsid w:val="001D5008"/>
    <w:rsid w:val="001D5459"/>
    <w:rsid w:val="001D5B24"/>
    <w:rsid w:val="001D637B"/>
    <w:rsid w:val="001D640D"/>
    <w:rsid w:val="001D683B"/>
    <w:rsid w:val="001D771C"/>
    <w:rsid w:val="001E0F94"/>
    <w:rsid w:val="001E13C2"/>
    <w:rsid w:val="001E17C6"/>
    <w:rsid w:val="001E1C7C"/>
    <w:rsid w:val="001E22E1"/>
    <w:rsid w:val="001E28C1"/>
    <w:rsid w:val="001E3237"/>
    <w:rsid w:val="001E3800"/>
    <w:rsid w:val="001E42B9"/>
    <w:rsid w:val="001E4567"/>
    <w:rsid w:val="001E5B51"/>
    <w:rsid w:val="001E5BA7"/>
    <w:rsid w:val="001E6536"/>
    <w:rsid w:val="001E679A"/>
    <w:rsid w:val="001E6D52"/>
    <w:rsid w:val="001E6DA9"/>
    <w:rsid w:val="001E74B7"/>
    <w:rsid w:val="001E7F29"/>
    <w:rsid w:val="001F00E2"/>
    <w:rsid w:val="001F1076"/>
    <w:rsid w:val="001F109D"/>
    <w:rsid w:val="001F1A15"/>
    <w:rsid w:val="001F2246"/>
    <w:rsid w:val="001F246C"/>
    <w:rsid w:val="001F251F"/>
    <w:rsid w:val="001F3CA5"/>
    <w:rsid w:val="001F3E80"/>
    <w:rsid w:val="001F4457"/>
    <w:rsid w:val="001F493D"/>
    <w:rsid w:val="001F49F4"/>
    <w:rsid w:val="001F4E33"/>
    <w:rsid w:val="001F4F88"/>
    <w:rsid w:val="001F59FF"/>
    <w:rsid w:val="001F5E76"/>
    <w:rsid w:val="001F68B2"/>
    <w:rsid w:val="001F6F3F"/>
    <w:rsid w:val="001F7054"/>
    <w:rsid w:val="001F7355"/>
    <w:rsid w:val="001F77F3"/>
    <w:rsid w:val="001F7BA1"/>
    <w:rsid w:val="00200429"/>
    <w:rsid w:val="00200606"/>
    <w:rsid w:val="002006AC"/>
    <w:rsid w:val="00202446"/>
    <w:rsid w:val="002025B3"/>
    <w:rsid w:val="00202BF4"/>
    <w:rsid w:val="00203301"/>
    <w:rsid w:val="0020395B"/>
    <w:rsid w:val="00203B19"/>
    <w:rsid w:val="00203ED2"/>
    <w:rsid w:val="00204545"/>
    <w:rsid w:val="00204617"/>
    <w:rsid w:val="00204649"/>
    <w:rsid w:val="0020466B"/>
    <w:rsid w:val="00204679"/>
    <w:rsid w:val="00204A3E"/>
    <w:rsid w:val="00204D8D"/>
    <w:rsid w:val="002053A4"/>
    <w:rsid w:val="00205C4B"/>
    <w:rsid w:val="00205D62"/>
    <w:rsid w:val="002067C8"/>
    <w:rsid w:val="00206C3B"/>
    <w:rsid w:val="00206E17"/>
    <w:rsid w:val="002101D7"/>
    <w:rsid w:val="00210210"/>
    <w:rsid w:val="00210317"/>
    <w:rsid w:val="00210A90"/>
    <w:rsid w:val="00210CF6"/>
    <w:rsid w:val="0021171E"/>
    <w:rsid w:val="002120D0"/>
    <w:rsid w:val="00212687"/>
    <w:rsid w:val="00212AB9"/>
    <w:rsid w:val="00212B53"/>
    <w:rsid w:val="002135DB"/>
    <w:rsid w:val="002141E5"/>
    <w:rsid w:val="00214335"/>
    <w:rsid w:val="00214C85"/>
    <w:rsid w:val="00214EEA"/>
    <w:rsid w:val="00215298"/>
    <w:rsid w:val="0021559F"/>
    <w:rsid w:val="00215D07"/>
    <w:rsid w:val="00216282"/>
    <w:rsid w:val="0021654B"/>
    <w:rsid w:val="00216D97"/>
    <w:rsid w:val="002174F5"/>
    <w:rsid w:val="0021750C"/>
    <w:rsid w:val="002179CF"/>
    <w:rsid w:val="00220006"/>
    <w:rsid w:val="00221190"/>
    <w:rsid w:val="00221AE7"/>
    <w:rsid w:val="00221F78"/>
    <w:rsid w:val="00221FAF"/>
    <w:rsid w:val="0022235D"/>
    <w:rsid w:val="00222931"/>
    <w:rsid w:val="00222B49"/>
    <w:rsid w:val="00222D06"/>
    <w:rsid w:val="00222E78"/>
    <w:rsid w:val="002234C8"/>
    <w:rsid w:val="00223E1A"/>
    <w:rsid w:val="002240CF"/>
    <w:rsid w:val="002243C4"/>
    <w:rsid w:val="002244CD"/>
    <w:rsid w:val="00224AC2"/>
    <w:rsid w:val="00225120"/>
    <w:rsid w:val="0022594A"/>
    <w:rsid w:val="00225E38"/>
    <w:rsid w:val="00226555"/>
    <w:rsid w:val="0022671A"/>
    <w:rsid w:val="0022680E"/>
    <w:rsid w:val="00226E58"/>
    <w:rsid w:val="0022754B"/>
    <w:rsid w:val="0022788A"/>
    <w:rsid w:val="00227E65"/>
    <w:rsid w:val="00230535"/>
    <w:rsid w:val="00230FE3"/>
    <w:rsid w:val="002315D4"/>
    <w:rsid w:val="0023264B"/>
    <w:rsid w:val="00232729"/>
    <w:rsid w:val="00232D48"/>
    <w:rsid w:val="00233466"/>
    <w:rsid w:val="002341B1"/>
    <w:rsid w:val="0023458B"/>
    <w:rsid w:val="00234F2A"/>
    <w:rsid w:val="00235E26"/>
    <w:rsid w:val="00236B5C"/>
    <w:rsid w:val="0023759B"/>
    <w:rsid w:val="002378AB"/>
    <w:rsid w:val="002378B7"/>
    <w:rsid w:val="002379A3"/>
    <w:rsid w:val="00237C68"/>
    <w:rsid w:val="002404C1"/>
    <w:rsid w:val="002409A9"/>
    <w:rsid w:val="002417CA"/>
    <w:rsid w:val="00244A6D"/>
    <w:rsid w:val="0024561A"/>
    <w:rsid w:val="00245BF0"/>
    <w:rsid w:val="002461B6"/>
    <w:rsid w:val="002463D9"/>
    <w:rsid w:val="00246AC6"/>
    <w:rsid w:val="00247032"/>
    <w:rsid w:val="00247123"/>
    <w:rsid w:val="00247265"/>
    <w:rsid w:val="00247508"/>
    <w:rsid w:val="00247759"/>
    <w:rsid w:val="00247F80"/>
    <w:rsid w:val="0025011A"/>
    <w:rsid w:val="002506CA"/>
    <w:rsid w:val="00250A2A"/>
    <w:rsid w:val="00250C58"/>
    <w:rsid w:val="00250C8F"/>
    <w:rsid w:val="00250D09"/>
    <w:rsid w:val="00251004"/>
    <w:rsid w:val="00251925"/>
    <w:rsid w:val="00251E9E"/>
    <w:rsid w:val="00252055"/>
    <w:rsid w:val="0025207B"/>
    <w:rsid w:val="0025291B"/>
    <w:rsid w:val="0025292E"/>
    <w:rsid w:val="0025293E"/>
    <w:rsid w:val="00252CE3"/>
    <w:rsid w:val="00252FC1"/>
    <w:rsid w:val="00253020"/>
    <w:rsid w:val="002532BE"/>
    <w:rsid w:val="002533E2"/>
    <w:rsid w:val="00253DF4"/>
    <w:rsid w:val="002541AF"/>
    <w:rsid w:val="00254545"/>
    <w:rsid w:val="0025472C"/>
    <w:rsid w:val="00255F11"/>
    <w:rsid w:val="00255F51"/>
    <w:rsid w:val="002563DB"/>
    <w:rsid w:val="00256D29"/>
    <w:rsid w:val="002607F7"/>
    <w:rsid w:val="00260B0E"/>
    <w:rsid w:val="00260BD4"/>
    <w:rsid w:val="002610ED"/>
    <w:rsid w:val="00261A33"/>
    <w:rsid w:val="00261B86"/>
    <w:rsid w:val="002637AB"/>
    <w:rsid w:val="00263FC2"/>
    <w:rsid w:val="00264646"/>
    <w:rsid w:val="00264D43"/>
    <w:rsid w:val="00265461"/>
    <w:rsid w:val="002654AF"/>
    <w:rsid w:val="00265B68"/>
    <w:rsid w:val="0026622F"/>
    <w:rsid w:val="0026684C"/>
    <w:rsid w:val="0026757B"/>
    <w:rsid w:val="0026772B"/>
    <w:rsid w:val="0027028C"/>
    <w:rsid w:val="00270CD4"/>
    <w:rsid w:val="00270D50"/>
    <w:rsid w:val="00270FEE"/>
    <w:rsid w:val="00271132"/>
    <w:rsid w:val="002715E4"/>
    <w:rsid w:val="00272295"/>
    <w:rsid w:val="002727AB"/>
    <w:rsid w:val="002727E4"/>
    <w:rsid w:val="00272998"/>
    <w:rsid w:val="0027324D"/>
    <w:rsid w:val="00273555"/>
    <w:rsid w:val="0027371F"/>
    <w:rsid w:val="0027401E"/>
    <w:rsid w:val="0027422D"/>
    <w:rsid w:val="00274A74"/>
    <w:rsid w:val="00274F19"/>
    <w:rsid w:val="0027580D"/>
    <w:rsid w:val="00275932"/>
    <w:rsid w:val="00276573"/>
    <w:rsid w:val="00276A69"/>
    <w:rsid w:val="00276E40"/>
    <w:rsid w:val="002770B3"/>
    <w:rsid w:val="00277166"/>
    <w:rsid w:val="00277496"/>
    <w:rsid w:val="0027759B"/>
    <w:rsid w:val="00280336"/>
    <w:rsid w:val="002804DD"/>
    <w:rsid w:val="00280748"/>
    <w:rsid w:val="00281008"/>
    <w:rsid w:val="002829D6"/>
    <w:rsid w:val="00282B9F"/>
    <w:rsid w:val="0028405F"/>
    <w:rsid w:val="0028429F"/>
    <w:rsid w:val="00284AE3"/>
    <w:rsid w:val="00284B61"/>
    <w:rsid w:val="00284CAA"/>
    <w:rsid w:val="002860C0"/>
    <w:rsid w:val="002863A5"/>
    <w:rsid w:val="00286E1D"/>
    <w:rsid w:val="00287AD6"/>
    <w:rsid w:val="00287EF4"/>
    <w:rsid w:val="002901C1"/>
    <w:rsid w:val="00290221"/>
    <w:rsid w:val="00290D91"/>
    <w:rsid w:val="00290FA9"/>
    <w:rsid w:val="002913F3"/>
    <w:rsid w:val="0029167A"/>
    <w:rsid w:val="00291699"/>
    <w:rsid w:val="00292B34"/>
    <w:rsid w:val="00294185"/>
    <w:rsid w:val="002946A6"/>
    <w:rsid w:val="002948A1"/>
    <w:rsid w:val="00295DFA"/>
    <w:rsid w:val="002964A9"/>
    <w:rsid w:val="0029659D"/>
    <w:rsid w:val="00296BF2"/>
    <w:rsid w:val="00296C87"/>
    <w:rsid w:val="00297819"/>
    <w:rsid w:val="00297C96"/>
    <w:rsid w:val="002A0146"/>
    <w:rsid w:val="002A075C"/>
    <w:rsid w:val="002A08F4"/>
    <w:rsid w:val="002A1677"/>
    <w:rsid w:val="002A16BA"/>
    <w:rsid w:val="002A1ED8"/>
    <w:rsid w:val="002A1FFC"/>
    <w:rsid w:val="002A2650"/>
    <w:rsid w:val="002A27AA"/>
    <w:rsid w:val="002A2978"/>
    <w:rsid w:val="002A2A69"/>
    <w:rsid w:val="002A2CF7"/>
    <w:rsid w:val="002A2DFF"/>
    <w:rsid w:val="002A3C5C"/>
    <w:rsid w:val="002A48A4"/>
    <w:rsid w:val="002A49EC"/>
    <w:rsid w:val="002A635F"/>
    <w:rsid w:val="002A68ED"/>
    <w:rsid w:val="002A6B66"/>
    <w:rsid w:val="002A78AB"/>
    <w:rsid w:val="002A7BAB"/>
    <w:rsid w:val="002A7BC1"/>
    <w:rsid w:val="002A7FEB"/>
    <w:rsid w:val="002B01A8"/>
    <w:rsid w:val="002B0525"/>
    <w:rsid w:val="002B16FF"/>
    <w:rsid w:val="002B1C18"/>
    <w:rsid w:val="002B28D5"/>
    <w:rsid w:val="002B2DE7"/>
    <w:rsid w:val="002B37B5"/>
    <w:rsid w:val="002B435B"/>
    <w:rsid w:val="002B498C"/>
    <w:rsid w:val="002B4EE1"/>
    <w:rsid w:val="002B5756"/>
    <w:rsid w:val="002B5A04"/>
    <w:rsid w:val="002B5D42"/>
    <w:rsid w:val="002B6080"/>
    <w:rsid w:val="002B64B4"/>
    <w:rsid w:val="002B66A5"/>
    <w:rsid w:val="002B6F3F"/>
    <w:rsid w:val="002B75CE"/>
    <w:rsid w:val="002B78DB"/>
    <w:rsid w:val="002B790A"/>
    <w:rsid w:val="002C02DB"/>
    <w:rsid w:val="002C04F4"/>
    <w:rsid w:val="002C06F4"/>
    <w:rsid w:val="002C07BB"/>
    <w:rsid w:val="002C0831"/>
    <w:rsid w:val="002C097B"/>
    <w:rsid w:val="002C0AB2"/>
    <w:rsid w:val="002C1222"/>
    <w:rsid w:val="002C12A9"/>
    <w:rsid w:val="002C1683"/>
    <w:rsid w:val="002C19AC"/>
    <w:rsid w:val="002C2389"/>
    <w:rsid w:val="002C29AA"/>
    <w:rsid w:val="002C2A11"/>
    <w:rsid w:val="002C2B51"/>
    <w:rsid w:val="002C30A1"/>
    <w:rsid w:val="002C3364"/>
    <w:rsid w:val="002C3896"/>
    <w:rsid w:val="002C38D3"/>
    <w:rsid w:val="002C4432"/>
    <w:rsid w:val="002C4443"/>
    <w:rsid w:val="002C4F0F"/>
    <w:rsid w:val="002C5144"/>
    <w:rsid w:val="002C5696"/>
    <w:rsid w:val="002C5888"/>
    <w:rsid w:val="002C5EBE"/>
    <w:rsid w:val="002C5FD4"/>
    <w:rsid w:val="002C642F"/>
    <w:rsid w:val="002C6579"/>
    <w:rsid w:val="002C69F0"/>
    <w:rsid w:val="002C71B0"/>
    <w:rsid w:val="002C789C"/>
    <w:rsid w:val="002D0114"/>
    <w:rsid w:val="002D0961"/>
    <w:rsid w:val="002D1FE1"/>
    <w:rsid w:val="002D2847"/>
    <w:rsid w:val="002D29D0"/>
    <w:rsid w:val="002D2A2E"/>
    <w:rsid w:val="002D2B5C"/>
    <w:rsid w:val="002D2FE1"/>
    <w:rsid w:val="002D34A0"/>
    <w:rsid w:val="002D35FA"/>
    <w:rsid w:val="002D383F"/>
    <w:rsid w:val="002D4811"/>
    <w:rsid w:val="002D51FF"/>
    <w:rsid w:val="002D546F"/>
    <w:rsid w:val="002D54CE"/>
    <w:rsid w:val="002D553F"/>
    <w:rsid w:val="002D5899"/>
    <w:rsid w:val="002D5C24"/>
    <w:rsid w:val="002D5F58"/>
    <w:rsid w:val="002D7ABB"/>
    <w:rsid w:val="002D7ADF"/>
    <w:rsid w:val="002D7B01"/>
    <w:rsid w:val="002D7FB9"/>
    <w:rsid w:val="002E1391"/>
    <w:rsid w:val="002E19B1"/>
    <w:rsid w:val="002E2A84"/>
    <w:rsid w:val="002E2BAB"/>
    <w:rsid w:val="002E2D78"/>
    <w:rsid w:val="002E3A74"/>
    <w:rsid w:val="002E3F5C"/>
    <w:rsid w:val="002E4293"/>
    <w:rsid w:val="002E4794"/>
    <w:rsid w:val="002E4A42"/>
    <w:rsid w:val="002E4B4F"/>
    <w:rsid w:val="002E4FEC"/>
    <w:rsid w:val="002E58C3"/>
    <w:rsid w:val="002E59FA"/>
    <w:rsid w:val="002E5C5E"/>
    <w:rsid w:val="002E6006"/>
    <w:rsid w:val="002E607F"/>
    <w:rsid w:val="002E67F7"/>
    <w:rsid w:val="002E6F6D"/>
    <w:rsid w:val="002E73FA"/>
    <w:rsid w:val="002F06F2"/>
    <w:rsid w:val="002F1F00"/>
    <w:rsid w:val="002F21BF"/>
    <w:rsid w:val="002F3709"/>
    <w:rsid w:val="002F381D"/>
    <w:rsid w:val="002F3823"/>
    <w:rsid w:val="002F4DB0"/>
    <w:rsid w:val="002F563F"/>
    <w:rsid w:val="002F58E8"/>
    <w:rsid w:val="002F622B"/>
    <w:rsid w:val="002F650C"/>
    <w:rsid w:val="002F6C41"/>
    <w:rsid w:val="002F6E06"/>
    <w:rsid w:val="002F716B"/>
    <w:rsid w:val="0030000B"/>
    <w:rsid w:val="0030004E"/>
    <w:rsid w:val="00300333"/>
    <w:rsid w:val="0030053D"/>
    <w:rsid w:val="00300739"/>
    <w:rsid w:val="00300BD9"/>
    <w:rsid w:val="003017D2"/>
    <w:rsid w:val="00301EA5"/>
    <w:rsid w:val="0030256C"/>
    <w:rsid w:val="00302791"/>
    <w:rsid w:val="00302CC7"/>
    <w:rsid w:val="0030307E"/>
    <w:rsid w:val="00304EFA"/>
    <w:rsid w:val="00305168"/>
    <w:rsid w:val="003059B9"/>
    <w:rsid w:val="0030656B"/>
    <w:rsid w:val="00306A96"/>
    <w:rsid w:val="00306B8E"/>
    <w:rsid w:val="00306C82"/>
    <w:rsid w:val="00306CCF"/>
    <w:rsid w:val="00306EC7"/>
    <w:rsid w:val="00307B99"/>
    <w:rsid w:val="00310519"/>
    <w:rsid w:val="00310A2C"/>
    <w:rsid w:val="00310A82"/>
    <w:rsid w:val="003110DE"/>
    <w:rsid w:val="003115E7"/>
    <w:rsid w:val="00311D14"/>
    <w:rsid w:val="0031250C"/>
    <w:rsid w:val="00312857"/>
    <w:rsid w:val="00312B47"/>
    <w:rsid w:val="00312C74"/>
    <w:rsid w:val="003135B5"/>
    <w:rsid w:val="00313B05"/>
    <w:rsid w:val="00314095"/>
    <w:rsid w:val="00314D75"/>
    <w:rsid w:val="00315875"/>
    <w:rsid w:val="00316425"/>
    <w:rsid w:val="0031687A"/>
    <w:rsid w:val="00317499"/>
    <w:rsid w:val="00317657"/>
    <w:rsid w:val="003178D3"/>
    <w:rsid w:val="00317DAF"/>
    <w:rsid w:val="0032092D"/>
    <w:rsid w:val="00320F31"/>
    <w:rsid w:val="003210AE"/>
    <w:rsid w:val="003218BB"/>
    <w:rsid w:val="00321FD0"/>
    <w:rsid w:val="003226D0"/>
    <w:rsid w:val="003228CA"/>
    <w:rsid w:val="00323E90"/>
    <w:rsid w:val="00324713"/>
    <w:rsid w:val="0032482C"/>
    <w:rsid w:val="003249CC"/>
    <w:rsid w:val="003257A0"/>
    <w:rsid w:val="00325D85"/>
    <w:rsid w:val="00326016"/>
    <w:rsid w:val="0032610B"/>
    <w:rsid w:val="003262DF"/>
    <w:rsid w:val="003263F7"/>
    <w:rsid w:val="00326F34"/>
    <w:rsid w:val="003270C9"/>
    <w:rsid w:val="00327800"/>
    <w:rsid w:val="00327964"/>
    <w:rsid w:val="00330BE3"/>
    <w:rsid w:val="00330CEF"/>
    <w:rsid w:val="00331485"/>
    <w:rsid w:val="00331D70"/>
    <w:rsid w:val="00332150"/>
    <w:rsid w:val="00332EFF"/>
    <w:rsid w:val="00332FDD"/>
    <w:rsid w:val="003336D8"/>
    <w:rsid w:val="00333964"/>
    <w:rsid w:val="00333DE5"/>
    <w:rsid w:val="00334115"/>
    <w:rsid w:val="00334FE9"/>
    <w:rsid w:val="0033525E"/>
    <w:rsid w:val="003353D9"/>
    <w:rsid w:val="0033548F"/>
    <w:rsid w:val="003357F8"/>
    <w:rsid w:val="00340064"/>
    <w:rsid w:val="00340195"/>
    <w:rsid w:val="003402A1"/>
    <w:rsid w:val="003406E9"/>
    <w:rsid w:val="00341277"/>
    <w:rsid w:val="003418B2"/>
    <w:rsid w:val="00341AE2"/>
    <w:rsid w:val="003427C9"/>
    <w:rsid w:val="003428A7"/>
    <w:rsid w:val="003428BB"/>
    <w:rsid w:val="00342B6B"/>
    <w:rsid w:val="00343395"/>
    <w:rsid w:val="003438BB"/>
    <w:rsid w:val="00343B4E"/>
    <w:rsid w:val="00343E9E"/>
    <w:rsid w:val="003441AE"/>
    <w:rsid w:val="003442F7"/>
    <w:rsid w:val="00344342"/>
    <w:rsid w:val="00344399"/>
    <w:rsid w:val="003448C6"/>
    <w:rsid w:val="00344A1A"/>
    <w:rsid w:val="0034573D"/>
    <w:rsid w:val="00346159"/>
    <w:rsid w:val="00346A0B"/>
    <w:rsid w:val="00346D01"/>
    <w:rsid w:val="00346E2B"/>
    <w:rsid w:val="00346F87"/>
    <w:rsid w:val="00347826"/>
    <w:rsid w:val="00347A50"/>
    <w:rsid w:val="00350CC8"/>
    <w:rsid w:val="0035166F"/>
    <w:rsid w:val="003519F0"/>
    <w:rsid w:val="003521C8"/>
    <w:rsid w:val="00352211"/>
    <w:rsid w:val="00352483"/>
    <w:rsid w:val="00352580"/>
    <w:rsid w:val="00352721"/>
    <w:rsid w:val="00353124"/>
    <w:rsid w:val="0035326C"/>
    <w:rsid w:val="003534B5"/>
    <w:rsid w:val="003538E9"/>
    <w:rsid w:val="0035426A"/>
    <w:rsid w:val="00354431"/>
    <w:rsid w:val="0035523E"/>
    <w:rsid w:val="0035625E"/>
    <w:rsid w:val="00356AC1"/>
    <w:rsid w:val="00356ED7"/>
    <w:rsid w:val="003573B9"/>
    <w:rsid w:val="00357D53"/>
    <w:rsid w:val="00361A80"/>
    <w:rsid w:val="003620FC"/>
    <w:rsid w:val="003621B9"/>
    <w:rsid w:val="003628A0"/>
    <w:rsid w:val="003630BD"/>
    <w:rsid w:val="003649CA"/>
    <w:rsid w:val="00364A45"/>
    <w:rsid w:val="00365041"/>
    <w:rsid w:val="003652AD"/>
    <w:rsid w:val="003657AE"/>
    <w:rsid w:val="00365AD5"/>
    <w:rsid w:val="00365BE8"/>
    <w:rsid w:val="00366748"/>
    <w:rsid w:val="00366C21"/>
    <w:rsid w:val="00366C5A"/>
    <w:rsid w:val="003671FD"/>
    <w:rsid w:val="00367C6A"/>
    <w:rsid w:val="00370141"/>
    <w:rsid w:val="00370DC8"/>
    <w:rsid w:val="00370EE0"/>
    <w:rsid w:val="00371006"/>
    <w:rsid w:val="003712BA"/>
    <w:rsid w:val="00372059"/>
    <w:rsid w:val="003721C5"/>
    <w:rsid w:val="003725FA"/>
    <w:rsid w:val="003729B6"/>
    <w:rsid w:val="00372A90"/>
    <w:rsid w:val="00372CE1"/>
    <w:rsid w:val="00372F91"/>
    <w:rsid w:val="00373951"/>
    <w:rsid w:val="00373AB8"/>
    <w:rsid w:val="0037529A"/>
    <w:rsid w:val="00375338"/>
    <w:rsid w:val="003756CB"/>
    <w:rsid w:val="00375CEA"/>
    <w:rsid w:val="00375FF3"/>
    <w:rsid w:val="00376740"/>
    <w:rsid w:val="003770B5"/>
    <w:rsid w:val="0037738B"/>
    <w:rsid w:val="00380559"/>
    <w:rsid w:val="0038091A"/>
    <w:rsid w:val="00380921"/>
    <w:rsid w:val="00381039"/>
    <w:rsid w:val="00381A31"/>
    <w:rsid w:val="00381BC1"/>
    <w:rsid w:val="00382CA2"/>
    <w:rsid w:val="00382D72"/>
    <w:rsid w:val="0038351F"/>
    <w:rsid w:val="00383785"/>
    <w:rsid w:val="0038442A"/>
    <w:rsid w:val="00384581"/>
    <w:rsid w:val="0038482E"/>
    <w:rsid w:val="00384EE3"/>
    <w:rsid w:val="00384F41"/>
    <w:rsid w:val="00385F67"/>
    <w:rsid w:val="00386352"/>
    <w:rsid w:val="00386364"/>
    <w:rsid w:val="0038678F"/>
    <w:rsid w:val="00386F66"/>
    <w:rsid w:val="0038731A"/>
    <w:rsid w:val="003901B4"/>
    <w:rsid w:val="003907EB"/>
    <w:rsid w:val="00390882"/>
    <w:rsid w:val="00390AD0"/>
    <w:rsid w:val="00390ADA"/>
    <w:rsid w:val="00390E0A"/>
    <w:rsid w:val="003911AA"/>
    <w:rsid w:val="0039129C"/>
    <w:rsid w:val="00391532"/>
    <w:rsid w:val="003919CE"/>
    <w:rsid w:val="003919FB"/>
    <w:rsid w:val="00392179"/>
    <w:rsid w:val="00392510"/>
    <w:rsid w:val="00392A46"/>
    <w:rsid w:val="003938A4"/>
    <w:rsid w:val="003947D3"/>
    <w:rsid w:val="00394D35"/>
    <w:rsid w:val="003957C3"/>
    <w:rsid w:val="00395B7D"/>
    <w:rsid w:val="00395CED"/>
    <w:rsid w:val="00395D44"/>
    <w:rsid w:val="003969A7"/>
    <w:rsid w:val="00396C03"/>
    <w:rsid w:val="00396DB1"/>
    <w:rsid w:val="0039709F"/>
    <w:rsid w:val="003977B8"/>
    <w:rsid w:val="003A062C"/>
    <w:rsid w:val="003A1063"/>
    <w:rsid w:val="003A124A"/>
    <w:rsid w:val="003A19D3"/>
    <w:rsid w:val="003A22A4"/>
    <w:rsid w:val="003A22E2"/>
    <w:rsid w:val="003A23A5"/>
    <w:rsid w:val="003A3010"/>
    <w:rsid w:val="003A3B81"/>
    <w:rsid w:val="003A423F"/>
    <w:rsid w:val="003A43B6"/>
    <w:rsid w:val="003A43F2"/>
    <w:rsid w:val="003A4888"/>
    <w:rsid w:val="003A4AE8"/>
    <w:rsid w:val="003A4EC7"/>
    <w:rsid w:val="003A571F"/>
    <w:rsid w:val="003A5A71"/>
    <w:rsid w:val="003A614A"/>
    <w:rsid w:val="003A634D"/>
    <w:rsid w:val="003A6382"/>
    <w:rsid w:val="003A6FA8"/>
    <w:rsid w:val="003A782C"/>
    <w:rsid w:val="003A7CD7"/>
    <w:rsid w:val="003B0229"/>
    <w:rsid w:val="003B2496"/>
    <w:rsid w:val="003B2A8E"/>
    <w:rsid w:val="003B2C94"/>
    <w:rsid w:val="003B30DC"/>
    <w:rsid w:val="003B3C2F"/>
    <w:rsid w:val="003B48BD"/>
    <w:rsid w:val="003B49A3"/>
    <w:rsid w:val="003B4A40"/>
    <w:rsid w:val="003B4DB0"/>
    <w:rsid w:val="003B4DF4"/>
    <w:rsid w:val="003B535D"/>
    <w:rsid w:val="003B5AD7"/>
    <w:rsid w:val="003B6D93"/>
    <w:rsid w:val="003B6FEE"/>
    <w:rsid w:val="003B7165"/>
    <w:rsid w:val="003B72A1"/>
    <w:rsid w:val="003B79CB"/>
    <w:rsid w:val="003B7A50"/>
    <w:rsid w:val="003C0075"/>
    <w:rsid w:val="003C0145"/>
    <w:rsid w:val="003C0898"/>
    <w:rsid w:val="003C0D5A"/>
    <w:rsid w:val="003C18E1"/>
    <w:rsid w:val="003C1A51"/>
    <w:rsid w:val="003C1DD0"/>
    <w:rsid w:val="003C2094"/>
    <w:rsid w:val="003C2449"/>
    <w:rsid w:val="003C2547"/>
    <w:rsid w:val="003C2F2F"/>
    <w:rsid w:val="003C3BD6"/>
    <w:rsid w:val="003C3FBE"/>
    <w:rsid w:val="003C427C"/>
    <w:rsid w:val="003C4B8D"/>
    <w:rsid w:val="003C51FD"/>
    <w:rsid w:val="003C5544"/>
    <w:rsid w:val="003C56EB"/>
    <w:rsid w:val="003C5D46"/>
    <w:rsid w:val="003C5F5C"/>
    <w:rsid w:val="003C647A"/>
    <w:rsid w:val="003C73B6"/>
    <w:rsid w:val="003C76FF"/>
    <w:rsid w:val="003C7711"/>
    <w:rsid w:val="003C77C9"/>
    <w:rsid w:val="003C78C5"/>
    <w:rsid w:val="003C78F4"/>
    <w:rsid w:val="003C7C95"/>
    <w:rsid w:val="003C7D99"/>
    <w:rsid w:val="003C7FEA"/>
    <w:rsid w:val="003D0EBF"/>
    <w:rsid w:val="003D1242"/>
    <w:rsid w:val="003D21B9"/>
    <w:rsid w:val="003D22C2"/>
    <w:rsid w:val="003D296B"/>
    <w:rsid w:val="003D2991"/>
    <w:rsid w:val="003D2F80"/>
    <w:rsid w:val="003D32FC"/>
    <w:rsid w:val="003D3333"/>
    <w:rsid w:val="003D34B4"/>
    <w:rsid w:val="003D3621"/>
    <w:rsid w:val="003D3743"/>
    <w:rsid w:val="003D39DA"/>
    <w:rsid w:val="003D4342"/>
    <w:rsid w:val="003D4653"/>
    <w:rsid w:val="003D490F"/>
    <w:rsid w:val="003D4A3C"/>
    <w:rsid w:val="003D4B53"/>
    <w:rsid w:val="003D506A"/>
    <w:rsid w:val="003D5B23"/>
    <w:rsid w:val="003D5B4C"/>
    <w:rsid w:val="003D6327"/>
    <w:rsid w:val="003D6B5C"/>
    <w:rsid w:val="003D7784"/>
    <w:rsid w:val="003D7CC3"/>
    <w:rsid w:val="003E0122"/>
    <w:rsid w:val="003E0291"/>
    <w:rsid w:val="003E0619"/>
    <w:rsid w:val="003E06DC"/>
    <w:rsid w:val="003E10BE"/>
    <w:rsid w:val="003E1CB7"/>
    <w:rsid w:val="003E219F"/>
    <w:rsid w:val="003E2345"/>
    <w:rsid w:val="003E2546"/>
    <w:rsid w:val="003E25FB"/>
    <w:rsid w:val="003E2712"/>
    <w:rsid w:val="003E381F"/>
    <w:rsid w:val="003E3966"/>
    <w:rsid w:val="003E3D5A"/>
    <w:rsid w:val="003E4548"/>
    <w:rsid w:val="003E4AC6"/>
    <w:rsid w:val="003E4BAB"/>
    <w:rsid w:val="003E5020"/>
    <w:rsid w:val="003E514D"/>
    <w:rsid w:val="003E5E6B"/>
    <w:rsid w:val="003E659C"/>
    <w:rsid w:val="003E66A3"/>
    <w:rsid w:val="003E77A3"/>
    <w:rsid w:val="003E7B81"/>
    <w:rsid w:val="003E7FFB"/>
    <w:rsid w:val="003F055F"/>
    <w:rsid w:val="003F08EE"/>
    <w:rsid w:val="003F11D3"/>
    <w:rsid w:val="003F13ED"/>
    <w:rsid w:val="003F1472"/>
    <w:rsid w:val="003F155C"/>
    <w:rsid w:val="003F1B67"/>
    <w:rsid w:val="003F2585"/>
    <w:rsid w:val="003F29F7"/>
    <w:rsid w:val="003F2EE3"/>
    <w:rsid w:val="003F318D"/>
    <w:rsid w:val="003F3C6E"/>
    <w:rsid w:val="003F42CD"/>
    <w:rsid w:val="003F47E7"/>
    <w:rsid w:val="003F4A0F"/>
    <w:rsid w:val="003F4D3B"/>
    <w:rsid w:val="003F4F20"/>
    <w:rsid w:val="003F5604"/>
    <w:rsid w:val="003F776B"/>
    <w:rsid w:val="003F7E72"/>
    <w:rsid w:val="004005A5"/>
    <w:rsid w:val="004005D1"/>
    <w:rsid w:val="0040060D"/>
    <w:rsid w:val="00400675"/>
    <w:rsid w:val="00400805"/>
    <w:rsid w:val="00400D7B"/>
    <w:rsid w:val="00400ED9"/>
    <w:rsid w:val="00402FE5"/>
    <w:rsid w:val="00403635"/>
    <w:rsid w:val="004041E0"/>
    <w:rsid w:val="00404510"/>
    <w:rsid w:val="004046B1"/>
    <w:rsid w:val="0040486D"/>
    <w:rsid w:val="0040527D"/>
    <w:rsid w:val="00405DA3"/>
    <w:rsid w:val="00405E7B"/>
    <w:rsid w:val="004066EC"/>
    <w:rsid w:val="00406738"/>
    <w:rsid w:val="00407472"/>
    <w:rsid w:val="00407763"/>
    <w:rsid w:val="00407787"/>
    <w:rsid w:val="004103D8"/>
    <w:rsid w:val="00410420"/>
    <w:rsid w:val="004105BB"/>
    <w:rsid w:val="004106EF"/>
    <w:rsid w:val="00410713"/>
    <w:rsid w:val="00410940"/>
    <w:rsid w:val="00410A7A"/>
    <w:rsid w:val="00410D09"/>
    <w:rsid w:val="00410DB2"/>
    <w:rsid w:val="00410E69"/>
    <w:rsid w:val="004112AA"/>
    <w:rsid w:val="004114B4"/>
    <w:rsid w:val="004116BD"/>
    <w:rsid w:val="004126D6"/>
    <w:rsid w:val="00412E25"/>
    <w:rsid w:val="00413185"/>
    <w:rsid w:val="00413BA6"/>
    <w:rsid w:val="0041437D"/>
    <w:rsid w:val="004147A8"/>
    <w:rsid w:val="00414EE0"/>
    <w:rsid w:val="00414F08"/>
    <w:rsid w:val="00414F7E"/>
    <w:rsid w:val="00415359"/>
    <w:rsid w:val="00415B47"/>
    <w:rsid w:val="00416687"/>
    <w:rsid w:val="004167FB"/>
    <w:rsid w:val="00417AB0"/>
    <w:rsid w:val="00417CC8"/>
    <w:rsid w:val="00420006"/>
    <w:rsid w:val="00420448"/>
    <w:rsid w:val="004208F0"/>
    <w:rsid w:val="00420FB3"/>
    <w:rsid w:val="00421124"/>
    <w:rsid w:val="00421D95"/>
    <w:rsid w:val="0042234A"/>
    <w:rsid w:val="00422399"/>
    <w:rsid w:val="00422687"/>
    <w:rsid w:val="004229AF"/>
    <w:rsid w:val="00422B3E"/>
    <w:rsid w:val="00423505"/>
    <w:rsid w:val="00423999"/>
    <w:rsid w:val="00424279"/>
    <w:rsid w:val="004243F0"/>
    <w:rsid w:val="0042441D"/>
    <w:rsid w:val="004246DE"/>
    <w:rsid w:val="0042495E"/>
    <w:rsid w:val="004249D7"/>
    <w:rsid w:val="00424AAD"/>
    <w:rsid w:val="0042526E"/>
    <w:rsid w:val="00425B8A"/>
    <w:rsid w:val="00425CE1"/>
    <w:rsid w:val="00426C01"/>
    <w:rsid w:val="00426F00"/>
    <w:rsid w:val="004279D5"/>
    <w:rsid w:val="00427FF6"/>
    <w:rsid w:val="00430605"/>
    <w:rsid w:val="00430608"/>
    <w:rsid w:val="00431402"/>
    <w:rsid w:val="00431994"/>
    <w:rsid w:val="004326C8"/>
    <w:rsid w:val="004327DE"/>
    <w:rsid w:val="00433786"/>
    <w:rsid w:val="00433D15"/>
    <w:rsid w:val="0043412B"/>
    <w:rsid w:val="0043495F"/>
    <w:rsid w:val="00434D10"/>
    <w:rsid w:val="00434E9B"/>
    <w:rsid w:val="00435516"/>
    <w:rsid w:val="004357E6"/>
    <w:rsid w:val="004360D8"/>
    <w:rsid w:val="004362CF"/>
    <w:rsid w:val="00436638"/>
    <w:rsid w:val="00437517"/>
    <w:rsid w:val="00437A5A"/>
    <w:rsid w:val="00437C87"/>
    <w:rsid w:val="0044060F"/>
    <w:rsid w:val="00440AA6"/>
    <w:rsid w:val="00441719"/>
    <w:rsid w:val="00441B63"/>
    <w:rsid w:val="004421E0"/>
    <w:rsid w:val="004429D9"/>
    <w:rsid w:val="00442DEB"/>
    <w:rsid w:val="00442E4E"/>
    <w:rsid w:val="00442EC3"/>
    <w:rsid w:val="00442FC9"/>
    <w:rsid w:val="004440B4"/>
    <w:rsid w:val="00444145"/>
    <w:rsid w:val="0044598D"/>
    <w:rsid w:val="00445EDE"/>
    <w:rsid w:val="004460B4"/>
    <w:rsid w:val="0044634B"/>
    <w:rsid w:val="00446620"/>
    <w:rsid w:val="00446623"/>
    <w:rsid w:val="00446960"/>
    <w:rsid w:val="0045028C"/>
    <w:rsid w:val="0045045E"/>
    <w:rsid w:val="0045078D"/>
    <w:rsid w:val="00450C86"/>
    <w:rsid w:val="0045100D"/>
    <w:rsid w:val="004510F4"/>
    <w:rsid w:val="00451138"/>
    <w:rsid w:val="0045163A"/>
    <w:rsid w:val="00451668"/>
    <w:rsid w:val="00451704"/>
    <w:rsid w:val="00451FF6"/>
    <w:rsid w:val="00452690"/>
    <w:rsid w:val="00452EAA"/>
    <w:rsid w:val="0045340A"/>
    <w:rsid w:val="00453BF4"/>
    <w:rsid w:val="00453F01"/>
    <w:rsid w:val="00453F90"/>
    <w:rsid w:val="00454EFF"/>
    <w:rsid w:val="004552B0"/>
    <w:rsid w:val="00455334"/>
    <w:rsid w:val="004557E1"/>
    <w:rsid w:val="00455F1F"/>
    <w:rsid w:val="0045797C"/>
    <w:rsid w:val="004601BF"/>
    <w:rsid w:val="00460399"/>
    <w:rsid w:val="0046048F"/>
    <w:rsid w:val="0046130F"/>
    <w:rsid w:val="004616A7"/>
    <w:rsid w:val="00461C3B"/>
    <w:rsid w:val="004622C7"/>
    <w:rsid w:val="00462418"/>
    <w:rsid w:val="004625FF"/>
    <w:rsid w:val="00462D7D"/>
    <w:rsid w:val="0046374F"/>
    <w:rsid w:val="00465011"/>
    <w:rsid w:val="0046504D"/>
    <w:rsid w:val="004652D6"/>
    <w:rsid w:val="00465AF8"/>
    <w:rsid w:val="0046689F"/>
    <w:rsid w:val="0046728D"/>
    <w:rsid w:val="00467519"/>
    <w:rsid w:val="00467856"/>
    <w:rsid w:val="00467A86"/>
    <w:rsid w:val="00467CB6"/>
    <w:rsid w:val="00470E0D"/>
    <w:rsid w:val="00471181"/>
    <w:rsid w:val="0047137B"/>
    <w:rsid w:val="0047142A"/>
    <w:rsid w:val="00471EAB"/>
    <w:rsid w:val="004729BA"/>
    <w:rsid w:val="00472C61"/>
    <w:rsid w:val="004731D4"/>
    <w:rsid w:val="004732C8"/>
    <w:rsid w:val="00473CE4"/>
    <w:rsid w:val="00474159"/>
    <w:rsid w:val="004746F1"/>
    <w:rsid w:val="0047489A"/>
    <w:rsid w:val="0047499C"/>
    <w:rsid w:val="00474E02"/>
    <w:rsid w:val="00476248"/>
    <w:rsid w:val="00476925"/>
    <w:rsid w:val="00476E0D"/>
    <w:rsid w:val="004805CB"/>
    <w:rsid w:val="00480C2B"/>
    <w:rsid w:val="00480FE9"/>
    <w:rsid w:val="004810CA"/>
    <w:rsid w:val="0048136F"/>
    <w:rsid w:val="004819D4"/>
    <w:rsid w:val="00481DD9"/>
    <w:rsid w:val="004829B9"/>
    <w:rsid w:val="004834CD"/>
    <w:rsid w:val="004836F0"/>
    <w:rsid w:val="0048445D"/>
    <w:rsid w:val="0048492A"/>
    <w:rsid w:val="004849B3"/>
    <w:rsid w:val="0048518D"/>
    <w:rsid w:val="004866DB"/>
    <w:rsid w:val="00487F9E"/>
    <w:rsid w:val="0049056E"/>
    <w:rsid w:val="00490A5E"/>
    <w:rsid w:val="00490FAE"/>
    <w:rsid w:val="00491393"/>
    <w:rsid w:val="004917FF"/>
    <w:rsid w:val="00491BC9"/>
    <w:rsid w:val="00491E20"/>
    <w:rsid w:val="00491EC4"/>
    <w:rsid w:val="00492142"/>
    <w:rsid w:val="004922C4"/>
    <w:rsid w:val="004924D2"/>
    <w:rsid w:val="004925CB"/>
    <w:rsid w:val="00492709"/>
    <w:rsid w:val="00492AB7"/>
    <w:rsid w:val="00493384"/>
    <w:rsid w:val="004934FE"/>
    <w:rsid w:val="00493F52"/>
    <w:rsid w:val="00494652"/>
    <w:rsid w:val="00494AA6"/>
    <w:rsid w:val="00494DA4"/>
    <w:rsid w:val="00495214"/>
    <w:rsid w:val="00495BEA"/>
    <w:rsid w:val="00495C60"/>
    <w:rsid w:val="004961DF"/>
    <w:rsid w:val="00496632"/>
    <w:rsid w:val="00496764"/>
    <w:rsid w:val="00496EF6"/>
    <w:rsid w:val="00496FD2"/>
    <w:rsid w:val="00497143"/>
    <w:rsid w:val="00497B0E"/>
    <w:rsid w:val="00497C05"/>
    <w:rsid w:val="004A03DC"/>
    <w:rsid w:val="004A08E5"/>
    <w:rsid w:val="004A0B4E"/>
    <w:rsid w:val="004A1575"/>
    <w:rsid w:val="004A1C84"/>
    <w:rsid w:val="004A1F9A"/>
    <w:rsid w:val="004A2F13"/>
    <w:rsid w:val="004A39B4"/>
    <w:rsid w:val="004A3D2B"/>
    <w:rsid w:val="004A476A"/>
    <w:rsid w:val="004A4EE1"/>
    <w:rsid w:val="004A700C"/>
    <w:rsid w:val="004A7A17"/>
    <w:rsid w:val="004B05B1"/>
    <w:rsid w:val="004B07C3"/>
    <w:rsid w:val="004B0818"/>
    <w:rsid w:val="004B0BC9"/>
    <w:rsid w:val="004B0DFF"/>
    <w:rsid w:val="004B1007"/>
    <w:rsid w:val="004B1457"/>
    <w:rsid w:val="004B1F74"/>
    <w:rsid w:val="004B1FC7"/>
    <w:rsid w:val="004B206D"/>
    <w:rsid w:val="004B28D1"/>
    <w:rsid w:val="004B2B8C"/>
    <w:rsid w:val="004B2DDE"/>
    <w:rsid w:val="004B2F7F"/>
    <w:rsid w:val="004B33C0"/>
    <w:rsid w:val="004B376E"/>
    <w:rsid w:val="004B491A"/>
    <w:rsid w:val="004B5A10"/>
    <w:rsid w:val="004B5C06"/>
    <w:rsid w:val="004B7910"/>
    <w:rsid w:val="004B7B42"/>
    <w:rsid w:val="004B7E1A"/>
    <w:rsid w:val="004C02E8"/>
    <w:rsid w:val="004C03B9"/>
    <w:rsid w:val="004C0434"/>
    <w:rsid w:val="004C048C"/>
    <w:rsid w:val="004C058C"/>
    <w:rsid w:val="004C0688"/>
    <w:rsid w:val="004C0DA4"/>
    <w:rsid w:val="004C0F6D"/>
    <w:rsid w:val="004C1223"/>
    <w:rsid w:val="004C12D6"/>
    <w:rsid w:val="004C1A00"/>
    <w:rsid w:val="004C1DC9"/>
    <w:rsid w:val="004C2451"/>
    <w:rsid w:val="004C269A"/>
    <w:rsid w:val="004C30CE"/>
    <w:rsid w:val="004C3F21"/>
    <w:rsid w:val="004C4008"/>
    <w:rsid w:val="004C41B0"/>
    <w:rsid w:val="004C4511"/>
    <w:rsid w:val="004C4BA9"/>
    <w:rsid w:val="004C53A4"/>
    <w:rsid w:val="004C5788"/>
    <w:rsid w:val="004C5D0B"/>
    <w:rsid w:val="004C6081"/>
    <w:rsid w:val="004C69DB"/>
    <w:rsid w:val="004C6B60"/>
    <w:rsid w:val="004C6EDC"/>
    <w:rsid w:val="004C7477"/>
    <w:rsid w:val="004C79DA"/>
    <w:rsid w:val="004C7DB1"/>
    <w:rsid w:val="004C7E03"/>
    <w:rsid w:val="004C7F2E"/>
    <w:rsid w:val="004D0485"/>
    <w:rsid w:val="004D09A0"/>
    <w:rsid w:val="004D1454"/>
    <w:rsid w:val="004D1F4C"/>
    <w:rsid w:val="004D2245"/>
    <w:rsid w:val="004D2314"/>
    <w:rsid w:val="004D3C33"/>
    <w:rsid w:val="004D3D64"/>
    <w:rsid w:val="004D3F94"/>
    <w:rsid w:val="004D40E3"/>
    <w:rsid w:val="004D4432"/>
    <w:rsid w:val="004D4647"/>
    <w:rsid w:val="004D495E"/>
    <w:rsid w:val="004D509C"/>
    <w:rsid w:val="004D5400"/>
    <w:rsid w:val="004D5527"/>
    <w:rsid w:val="004D614D"/>
    <w:rsid w:val="004D646C"/>
    <w:rsid w:val="004D65B2"/>
    <w:rsid w:val="004D686E"/>
    <w:rsid w:val="004D7DAE"/>
    <w:rsid w:val="004E02F0"/>
    <w:rsid w:val="004E0C40"/>
    <w:rsid w:val="004E0E59"/>
    <w:rsid w:val="004E1674"/>
    <w:rsid w:val="004E181A"/>
    <w:rsid w:val="004E270A"/>
    <w:rsid w:val="004E2922"/>
    <w:rsid w:val="004E33F9"/>
    <w:rsid w:val="004E3D5C"/>
    <w:rsid w:val="004E404E"/>
    <w:rsid w:val="004E57C2"/>
    <w:rsid w:val="004E5BCC"/>
    <w:rsid w:val="004E6183"/>
    <w:rsid w:val="004E6475"/>
    <w:rsid w:val="004E64BB"/>
    <w:rsid w:val="004E66F4"/>
    <w:rsid w:val="004E680D"/>
    <w:rsid w:val="004F0AE2"/>
    <w:rsid w:val="004F1540"/>
    <w:rsid w:val="004F1776"/>
    <w:rsid w:val="004F1CED"/>
    <w:rsid w:val="004F2730"/>
    <w:rsid w:val="004F2DC6"/>
    <w:rsid w:val="004F334A"/>
    <w:rsid w:val="004F33A1"/>
    <w:rsid w:val="004F37DC"/>
    <w:rsid w:val="004F4AA1"/>
    <w:rsid w:val="004F611D"/>
    <w:rsid w:val="004F6406"/>
    <w:rsid w:val="004F6997"/>
    <w:rsid w:val="004F6B23"/>
    <w:rsid w:val="004F6CE0"/>
    <w:rsid w:val="004F6DDD"/>
    <w:rsid w:val="004F704E"/>
    <w:rsid w:val="004F7497"/>
    <w:rsid w:val="004F7C35"/>
    <w:rsid w:val="004F7D77"/>
    <w:rsid w:val="00500411"/>
    <w:rsid w:val="0050094E"/>
    <w:rsid w:val="00500E0C"/>
    <w:rsid w:val="00500F10"/>
    <w:rsid w:val="0050162D"/>
    <w:rsid w:val="00501C84"/>
    <w:rsid w:val="005034CC"/>
    <w:rsid w:val="005037DC"/>
    <w:rsid w:val="0050407E"/>
    <w:rsid w:val="005044DD"/>
    <w:rsid w:val="00504ACB"/>
    <w:rsid w:val="00504D18"/>
    <w:rsid w:val="0050571A"/>
    <w:rsid w:val="00505A7A"/>
    <w:rsid w:val="00505D31"/>
    <w:rsid w:val="00506281"/>
    <w:rsid w:val="005072B4"/>
    <w:rsid w:val="0050771B"/>
    <w:rsid w:val="00507863"/>
    <w:rsid w:val="0050793A"/>
    <w:rsid w:val="00510C7B"/>
    <w:rsid w:val="005112B8"/>
    <w:rsid w:val="00511B38"/>
    <w:rsid w:val="005125D1"/>
    <w:rsid w:val="00513636"/>
    <w:rsid w:val="00513ABA"/>
    <w:rsid w:val="00513D9F"/>
    <w:rsid w:val="0051424A"/>
    <w:rsid w:val="00514396"/>
    <w:rsid w:val="00514D8E"/>
    <w:rsid w:val="00515A74"/>
    <w:rsid w:val="005165B0"/>
    <w:rsid w:val="005166E8"/>
    <w:rsid w:val="00516A47"/>
    <w:rsid w:val="00517062"/>
    <w:rsid w:val="0051743E"/>
    <w:rsid w:val="00517470"/>
    <w:rsid w:val="00517E4D"/>
    <w:rsid w:val="005208C3"/>
    <w:rsid w:val="005208EA"/>
    <w:rsid w:val="00521182"/>
    <w:rsid w:val="00521346"/>
    <w:rsid w:val="00522635"/>
    <w:rsid w:val="00523788"/>
    <w:rsid w:val="00523792"/>
    <w:rsid w:val="005237CC"/>
    <w:rsid w:val="005238E9"/>
    <w:rsid w:val="00523B06"/>
    <w:rsid w:val="0052440B"/>
    <w:rsid w:val="005245F6"/>
    <w:rsid w:val="00524712"/>
    <w:rsid w:val="005248B1"/>
    <w:rsid w:val="0052497F"/>
    <w:rsid w:val="00524B82"/>
    <w:rsid w:val="00524CFE"/>
    <w:rsid w:val="0052539B"/>
    <w:rsid w:val="00525A06"/>
    <w:rsid w:val="00525AD2"/>
    <w:rsid w:val="00526401"/>
    <w:rsid w:val="00527415"/>
    <w:rsid w:val="00527A12"/>
    <w:rsid w:val="00527A62"/>
    <w:rsid w:val="00527DBE"/>
    <w:rsid w:val="00527DC3"/>
    <w:rsid w:val="005302E7"/>
    <w:rsid w:val="00530D07"/>
    <w:rsid w:val="0053155B"/>
    <w:rsid w:val="0053175A"/>
    <w:rsid w:val="00531CC0"/>
    <w:rsid w:val="00531CE7"/>
    <w:rsid w:val="00531EAE"/>
    <w:rsid w:val="00534B11"/>
    <w:rsid w:val="00535915"/>
    <w:rsid w:val="00535D10"/>
    <w:rsid w:val="0053637A"/>
    <w:rsid w:val="005363AC"/>
    <w:rsid w:val="005365AB"/>
    <w:rsid w:val="00540142"/>
    <w:rsid w:val="00540C19"/>
    <w:rsid w:val="00541105"/>
    <w:rsid w:val="005412DC"/>
    <w:rsid w:val="00541757"/>
    <w:rsid w:val="005418C0"/>
    <w:rsid w:val="00541BE2"/>
    <w:rsid w:val="00541C01"/>
    <w:rsid w:val="0054324C"/>
    <w:rsid w:val="00543569"/>
    <w:rsid w:val="00544270"/>
    <w:rsid w:val="0054446D"/>
    <w:rsid w:val="00544844"/>
    <w:rsid w:val="005448DF"/>
    <w:rsid w:val="0054494D"/>
    <w:rsid w:val="00544954"/>
    <w:rsid w:val="005449C6"/>
    <w:rsid w:val="00544AFB"/>
    <w:rsid w:val="00544E5D"/>
    <w:rsid w:val="00544F3C"/>
    <w:rsid w:val="005451B1"/>
    <w:rsid w:val="00545341"/>
    <w:rsid w:val="0054599E"/>
    <w:rsid w:val="00546455"/>
    <w:rsid w:val="00546463"/>
    <w:rsid w:val="005466F0"/>
    <w:rsid w:val="0054774C"/>
    <w:rsid w:val="00547876"/>
    <w:rsid w:val="00547F57"/>
    <w:rsid w:val="00550071"/>
    <w:rsid w:val="0055009D"/>
    <w:rsid w:val="005502E4"/>
    <w:rsid w:val="0055037F"/>
    <w:rsid w:val="00550468"/>
    <w:rsid w:val="005505CD"/>
    <w:rsid w:val="00550DD1"/>
    <w:rsid w:val="00550EF9"/>
    <w:rsid w:val="00551049"/>
    <w:rsid w:val="0055160A"/>
    <w:rsid w:val="00551690"/>
    <w:rsid w:val="005516AE"/>
    <w:rsid w:val="00551CF9"/>
    <w:rsid w:val="00553410"/>
    <w:rsid w:val="00553683"/>
    <w:rsid w:val="00553C2A"/>
    <w:rsid w:val="0055400E"/>
    <w:rsid w:val="005545FE"/>
    <w:rsid w:val="00554824"/>
    <w:rsid w:val="00554EB5"/>
    <w:rsid w:val="00554ECB"/>
    <w:rsid w:val="00555228"/>
    <w:rsid w:val="005552DD"/>
    <w:rsid w:val="005553A8"/>
    <w:rsid w:val="00555DD7"/>
    <w:rsid w:val="00555F44"/>
    <w:rsid w:val="00556101"/>
    <w:rsid w:val="00556DAB"/>
    <w:rsid w:val="00556DEA"/>
    <w:rsid w:val="00556F85"/>
    <w:rsid w:val="005574D1"/>
    <w:rsid w:val="00557E63"/>
    <w:rsid w:val="0056059C"/>
    <w:rsid w:val="00561153"/>
    <w:rsid w:val="00562AE3"/>
    <w:rsid w:val="00562D33"/>
    <w:rsid w:val="00562F99"/>
    <w:rsid w:val="0056327D"/>
    <w:rsid w:val="0056402C"/>
    <w:rsid w:val="00565FC0"/>
    <w:rsid w:val="00566037"/>
    <w:rsid w:val="00566286"/>
    <w:rsid w:val="005668BB"/>
    <w:rsid w:val="0056712E"/>
    <w:rsid w:val="0056726D"/>
    <w:rsid w:val="005672FB"/>
    <w:rsid w:val="005701E6"/>
    <w:rsid w:val="005702E2"/>
    <w:rsid w:val="0057078E"/>
    <w:rsid w:val="00571B3C"/>
    <w:rsid w:val="00571B72"/>
    <w:rsid w:val="00571D68"/>
    <w:rsid w:val="00571D6A"/>
    <w:rsid w:val="00571F50"/>
    <w:rsid w:val="0057213C"/>
    <w:rsid w:val="005721B6"/>
    <w:rsid w:val="005722E4"/>
    <w:rsid w:val="005726DD"/>
    <w:rsid w:val="00572EE5"/>
    <w:rsid w:val="005732FA"/>
    <w:rsid w:val="0057374A"/>
    <w:rsid w:val="00573AEB"/>
    <w:rsid w:val="00573E12"/>
    <w:rsid w:val="00573FAA"/>
    <w:rsid w:val="005746A8"/>
    <w:rsid w:val="0057485B"/>
    <w:rsid w:val="005751D0"/>
    <w:rsid w:val="00576D6D"/>
    <w:rsid w:val="005777D5"/>
    <w:rsid w:val="00581517"/>
    <w:rsid w:val="005815DD"/>
    <w:rsid w:val="005825FA"/>
    <w:rsid w:val="005840AB"/>
    <w:rsid w:val="00584C7A"/>
    <w:rsid w:val="00585423"/>
    <w:rsid w:val="00585842"/>
    <w:rsid w:val="00585D9E"/>
    <w:rsid w:val="0058624C"/>
    <w:rsid w:val="0058695C"/>
    <w:rsid w:val="00586BFD"/>
    <w:rsid w:val="00586CD6"/>
    <w:rsid w:val="00586D6F"/>
    <w:rsid w:val="005872A5"/>
    <w:rsid w:val="0059003D"/>
    <w:rsid w:val="00590FBD"/>
    <w:rsid w:val="005914E5"/>
    <w:rsid w:val="005914F7"/>
    <w:rsid w:val="005915D9"/>
    <w:rsid w:val="00591E98"/>
    <w:rsid w:val="00591FD8"/>
    <w:rsid w:val="0059253E"/>
    <w:rsid w:val="00592913"/>
    <w:rsid w:val="00592BCA"/>
    <w:rsid w:val="005935CB"/>
    <w:rsid w:val="00593774"/>
    <w:rsid w:val="00594507"/>
    <w:rsid w:val="00595079"/>
    <w:rsid w:val="005954FA"/>
    <w:rsid w:val="00595634"/>
    <w:rsid w:val="00595646"/>
    <w:rsid w:val="00595F6E"/>
    <w:rsid w:val="00596038"/>
    <w:rsid w:val="0059703D"/>
    <w:rsid w:val="005973A3"/>
    <w:rsid w:val="00597DA3"/>
    <w:rsid w:val="00597EE9"/>
    <w:rsid w:val="005A0A15"/>
    <w:rsid w:val="005A15BA"/>
    <w:rsid w:val="005A1D24"/>
    <w:rsid w:val="005A1DE3"/>
    <w:rsid w:val="005A29D0"/>
    <w:rsid w:val="005A36CC"/>
    <w:rsid w:val="005A3918"/>
    <w:rsid w:val="005A40F4"/>
    <w:rsid w:val="005A41FC"/>
    <w:rsid w:val="005A4316"/>
    <w:rsid w:val="005A4B73"/>
    <w:rsid w:val="005A4C8D"/>
    <w:rsid w:val="005A567E"/>
    <w:rsid w:val="005A5FEA"/>
    <w:rsid w:val="005A60AF"/>
    <w:rsid w:val="005A60DF"/>
    <w:rsid w:val="005A61AB"/>
    <w:rsid w:val="005A625C"/>
    <w:rsid w:val="005A6E36"/>
    <w:rsid w:val="005A6FF3"/>
    <w:rsid w:val="005A70E3"/>
    <w:rsid w:val="005A7549"/>
    <w:rsid w:val="005A77B3"/>
    <w:rsid w:val="005A7E38"/>
    <w:rsid w:val="005B0C2A"/>
    <w:rsid w:val="005B0D2C"/>
    <w:rsid w:val="005B0FAE"/>
    <w:rsid w:val="005B1606"/>
    <w:rsid w:val="005B1821"/>
    <w:rsid w:val="005B22D5"/>
    <w:rsid w:val="005B28FF"/>
    <w:rsid w:val="005B290B"/>
    <w:rsid w:val="005B2BA2"/>
    <w:rsid w:val="005B301C"/>
    <w:rsid w:val="005B309F"/>
    <w:rsid w:val="005B439F"/>
    <w:rsid w:val="005B4978"/>
    <w:rsid w:val="005B4C79"/>
    <w:rsid w:val="005B4C9C"/>
    <w:rsid w:val="005B4D0F"/>
    <w:rsid w:val="005B582A"/>
    <w:rsid w:val="005B5DBA"/>
    <w:rsid w:val="005B7395"/>
    <w:rsid w:val="005C01EC"/>
    <w:rsid w:val="005C07D3"/>
    <w:rsid w:val="005C0E54"/>
    <w:rsid w:val="005C11A8"/>
    <w:rsid w:val="005C2D23"/>
    <w:rsid w:val="005C2E8C"/>
    <w:rsid w:val="005C45E9"/>
    <w:rsid w:val="005C4711"/>
    <w:rsid w:val="005C532B"/>
    <w:rsid w:val="005C6D6D"/>
    <w:rsid w:val="005C6EBE"/>
    <w:rsid w:val="005C7205"/>
    <w:rsid w:val="005C7471"/>
    <w:rsid w:val="005C7631"/>
    <w:rsid w:val="005C7652"/>
    <w:rsid w:val="005C7E1C"/>
    <w:rsid w:val="005C7FB2"/>
    <w:rsid w:val="005C7FF0"/>
    <w:rsid w:val="005D0E11"/>
    <w:rsid w:val="005D0EED"/>
    <w:rsid w:val="005D0F35"/>
    <w:rsid w:val="005D103F"/>
    <w:rsid w:val="005D13C8"/>
    <w:rsid w:val="005D1910"/>
    <w:rsid w:val="005D1FDD"/>
    <w:rsid w:val="005D2ABE"/>
    <w:rsid w:val="005D31FA"/>
    <w:rsid w:val="005D33AC"/>
    <w:rsid w:val="005D404E"/>
    <w:rsid w:val="005D4518"/>
    <w:rsid w:val="005D45BE"/>
    <w:rsid w:val="005D4AE8"/>
    <w:rsid w:val="005D565E"/>
    <w:rsid w:val="005D60F7"/>
    <w:rsid w:val="005D6711"/>
    <w:rsid w:val="005D6E5E"/>
    <w:rsid w:val="005D738E"/>
    <w:rsid w:val="005D7577"/>
    <w:rsid w:val="005D7E70"/>
    <w:rsid w:val="005D7FC6"/>
    <w:rsid w:val="005E034C"/>
    <w:rsid w:val="005E0566"/>
    <w:rsid w:val="005E1075"/>
    <w:rsid w:val="005E18C0"/>
    <w:rsid w:val="005E1931"/>
    <w:rsid w:val="005E3130"/>
    <w:rsid w:val="005E31DB"/>
    <w:rsid w:val="005E35EA"/>
    <w:rsid w:val="005E3846"/>
    <w:rsid w:val="005E3A08"/>
    <w:rsid w:val="005E3CE0"/>
    <w:rsid w:val="005E3EAF"/>
    <w:rsid w:val="005E4254"/>
    <w:rsid w:val="005E49DE"/>
    <w:rsid w:val="005E4A67"/>
    <w:rsid w:val="005E4DA4"/>
    <w:rsid w:val="005E5111"/>
    <w:rsid w:val="005E5119"/>
    <w:rsid w:val="005E5172"/>
    <w:rsid w:val="005E57EE"/>
    <w:rsid w:val="005E5FAB"/>
    <w:rsid w:val="005E6941"/>
    <w:rsid w:val="005E7D5F"/>
    <w:rsid w:val="005E7D94"/>
    <w:rsid w:val="005E7F82"/>
    <w:rsid w:val="005F033D"/>
    <w:rsid w:val="005F1236"/>
    <w:rsid w:val="005F1EC5"/>
    <w:rsid w:val="005F27D5"/>
    <w:rsid w:val="005F340B"/>
    <w:rsid w:val="005F35B6"/>
    <w:rsid w:val="005F436C"/>
    <w:rsid w:val="005F4990"/>
    <w:rsid w:val="005F4D60"/>
    <w:rsid w:val="005F5464"/>
    <w:rsid w:val="005F5B99"/>
    <w:rsid w:val="005F6207"/>
    <w:rsid w:val="005F6E44"/>
    <w:rsid w:val="005F7FD5"/>
    <w:rsid w:val="00600149"/>
    <w:rsid w:val="006005F6"/>
    <w:rsid w:val="0060068E"/>
    <w:rsid w:val="00600AAE"/>
    <w:rsid w:val="00600E1C"/>
    <w:rsid w:val="00601D14"/>
    <w:rsid w:val="00601D7F"/>
    <w:rsid w:val="00601D8D"/>
    <w:rsid w:val="00601DCC"/>
    <w:rsid w:val="00602479"/>
    <w:rsid w:val="00602513"/>
    <w:rsid w:val="00602560"/>
    <w:rsid w:val="00603D27"/>
    <w:rsid w:val="00603DFB"/>
    <w:rsid w:val="006040F7"/>
    <w:rsid w:val="006048CD"/>
    <w:rsid w:val="00604DC1"/>
    <w:rsid w:val="00604E39"/>
    <w:rsid w:val="00605555"/>
    <w:rsid w:val="00605C8C"/>
    <w:rsid w:val="006067DB"/>
    <w:rsid w:val="00606CFE"/>
    <w:rsid w:val="006074CF"/>
    <w:rsid w:val="006074DC"/>
    <w:rsid w:val="006078F2"/>
    <w:rsid w:val="0061004C"/>
    <w:rsid w:val="006103B5"/>
    <w:rsid w:val="006106FE"/>
    <w:rsid w:val="006108A0"/>
    <w:rsid w:val="00610996"/>
    <w:rsid w:val="00610C6C"/>
    <w:rsid w:val="0061178D"/>
    <w:rsid w:val="00611D9B"/>
    <w:rsid w:val="0061219A"/>
    <w:rsid w:val="00612739"/>
    <w:rsid w:val="006127B2"/>
    <w:rsid w:val="00612821"/>
    <w:rsid w:val="00612BC3"/>
    <w:rsid w:val="00612D49"/>
    <w:rsid w:val="00612F90"/>
    <w:rsid w:val="00612F9B"/>
    <w:rsid w:val="006130B7"/>
    <w:rsid w:val="00613AC0"/>
    <w:rsid w:val="006144BA"/>
    <w:rsid w:val="0061464D"/>
    <w:rsid w:val="00615873"/>
    <w:rsid w:val="00616180"/>
    <w:rsid w:val="00617B93"/>
    <w:rsid w:val="00620B35"/>
    <w:rsid w:val="00620BFD"/>
    <w:rsid w:val="00621224"/>
    <w:rsid w:val="0062175D"/>
    <w:rsid w:val="00621898"/>
    <w:rsid w:val="006219AF"/>
    <w:rsid w:val="00622512"/>
    <w:rsid w:val="00622F1C"/>
    <w:rsid w:val="00623049"/>
    <w:rsid w:val="006237C6"/>
    <w:rsid w:val="00623D3A"/>
    <w:rsid w:val="006251CA"/>
    <w:rsid w:val="00625492"/>
    <w:rsid w:val="006255C5"/>
    <w:rsid w:val="006259C2"/>
    <w:rsid w:val="00625ACE"/>
    <w:rsid w:val="00625BA7"/>
    <w:rsid w:val="00625C77"/>
    <w:rsid w:val="00626659"/>
    <w:rsid w:val="0062687E"/>
    <w:rsid w:val="00626CB9"/>
    <w:rsid w:val="00626E00"/>
    <w:rsid w:val="00627E20"/>
    <w:rsid w:val="006300A0"/>
    <w:rsid w:val="00630463"/>
    <w:rsid w:val="00630648"/>
    <w:rsid w:val="00630B47"/>
    <w:rsid w:val="00631616"/>
    <w:rsid w:val="00631A32"/>
    <w:rsid w:val="00631B69"/>
    <w:rsid w:val="00631F2F"/>
    <w:rsid w:val="00632140"/>
    <w:rsid w:val="0063235A"/>
    <w:rsid w:val="00632509"/>
    <w:rsid w:val="00632788"/>
    <w:rsid w:val="00632F40"/>
    <w:rsid w:val="0063358B"/>
    <w:rsid w:val="00633B88"/>
    <w:rsid w:val="00633BED"/>
    <w:rsid w:val="00633F1B"/>
    <w:rsid w:val="00634107"/>
    <w:rsid w:val="006347DE"/>
    <w:rsid w:val="00634EE1"/>
    <w:rsid w:val="00635032"/>
    <w:rsid w:val="00635EF3"/>
    <w:rsid w:val="006362D8"/>
    <w:rsid w:val="006365FC"/>
    <w:rsid w:val="006369FD"/>
    <w:rsid w:val="00636A65"/>
    <w:rsid w:val="00637B91"/>
    <w:rsid w:val="00637DE6"/>
    <w:rsid w:val="00637F87"/>
    <w:rsid w:val="006400CA"/>
    <w:rsid w:val="006409A2"/>
    <w:rsid w:val="00640A79"/>
    <w:rsid w:val="006410B6"/>
    <w:rsid w:val="006412ED"/>
    <w:rsid w:val="00641B77"/>
    <w:rsid w:val="00641FD9"/>
    <w:rsid w:val="0064253D"/>
    <w:rsid w:val="006427EE"/>
    <w:rsid w:val="00642BF4"/>
    <w:rsid w:val="0064324A"/>
    <w:rsid w:val="006440DC"/>
    <w:rsid w:val="00644324"/>
    <w:rsid w:val="006443D7"/>
    <w:rsid w:val="00644C24"/>
    <w:rsid w:val="00645395"/>
    <w:rsid w:val="00645CEE"/>
    <w:rsid w:val="0064641A"/>
    <w:rsid w:val="0064723D"/>
    <w:rsid w:val="00647671"/>
    <w:rsid w:val="006477EF"/>
    <w:rsid w:val="00647D12"/>
    <w:rsid w:val="00650390"/>
    <w:rsid w:val="00650AF6"/>
    <w:rsid w:val="006512CE"/>
    <w:rsid w:val="0065142C"/>
    <w:rsid w:val="006515BE"/>
    <w:rsid w:val="006519D1"/>
    <w:rsid w:val="00651EDC"/>
    <w:rsid w:val="00651F9F"/>
    <w:rsid w:val="00653205"/>
    <w:rsid w:val="00654123"/>
    <w:rsid w:val="00654C5B"/>
    <w:rsid w:val="00655810"/>
    <w:rsid w:val="00655BFB"/>
    <w:rsid w:val="00655D77"/>
    <w:rsid w:val="00656116"/>
    <w:rsid w:val="006569D7"/>
    <w:rsid w:val="00657B22"/>
    <w:rsid w:val="00657D65"/>
    <w:rsid w:val="0066018B"/>
    <w:rsid w:val="0066053D"/>
    <w:rsid w:val="00660860"/>
    <w:rsid w:val="00660ADF"/>
    <w:rsid w:val="00661709"/>
    <w:rsid w:val="006624A1"/>
    <w:rsid w:val="006625E9"/>
    <w:rsid w:val="00662607"/>
    <w:rsid w:val="00663189"/>
    <w:rsid w:val="0066356F"/>
    <w:rsid w:val="00663615"/>
    <w:rsid w:val="00663B55"/>
    <w:rsid w:val="00663F32"/>
    <w:rsid w:val="006641BF"/>
    <w:rsid w:val="0066436A"/>
    <w:rsid w:val="0066462B"/>
    <w:rsid w:val="006651F2"/>
    <w:rsid w:val="0066590E"/>
    <w:rsid w:val="006659D3"/>
    <w:rsid w:val="00665EAB"/>
    <w:rsid w:val="00665FB6"/>
    <w:rsid w:val="00666228"/>
    <w:rsid w:val="00666530"/>
    <w:rsid w:val="00666B98"/>
    <w:rsid w:val="00666BE5"/>
    <w:rsid w:val="00666D16"/>
    <w:rsid w:val="00667084"/>
    <w:rsid w:val="00667315"/>
    <w:rsid w:val="006677BB"/>
    <w:rsid w:val="0066795A"/>
    <w:rsid w:val="00667CDF"/>
    <w:rsid w:val="00667E1A"/>
    <w:rsid w:val="00667F8F"/>
    <w:rsid w:val="0067042E"/>
    <w:rsid w:val="00670706"/>
    <w:rsid w:val="00670983"/>
    <w:rsid w:val="006710DC"/>
    <w:rsid w:val="006712E3"/>
    <w:rsid w:val="006715AC"/>
    <w:rsid w:val="00671A98"/>
    <w:rsid w:val="00671E65"/>
    <w:rsid w:val="00671F3D"/>
    <w:rsid w:val="006721AE"/>
    <w:rsid w:val="0067346C"/>
    <w:rsid w:val="00673DE8"/>
    <w:rsid w:val="00673E86"/>
    <w:rsid w:val="006742EA"/>
    <w:rsid w:val="006744B5"/>
    <w:rsid w:val="00674A6C"/>
    <w:rsid w:val="006761CC"/>
    <w:rsid w:val="00676508"/>
    <w:rsid w:val="0067686C"/>
    <w:rsid w:val="006768E0"/>
    <w:rsid w:val="00676A66"/>
    <w:rsid w:val="00676AB8"/>
    <w:rsid w:val="00676FCF"/>
    <w:rsid w:val="006773C7"/>
    <w:rsid w:val="00677571"/>
    <w:rsid w:val="0067764F"/>
    <w:rsid w:val="00680921"/>
    <w:rsid w:val="00680F83"/>
    <w:rsid w:val="00681262"/>
    <w:rsid w:val="0068225D"/>
    <w:rsid w:val="006822DE"/>
    <w:rsid w:val="00682615"/>
    <w:rsid w:val="006836B6"/>
    <w:rsid w:val="0068434A"/>
    <w:rsid w:val="006843FB"/>
    <w:rsid w:val="00685272"/>
    <w:rsid w:val="00685683"/>
    <w:rsid w:val="006861EC"/>
    <w:rsid w:val="00686458"/>
    <w:rsid w:val="006865FF"/>
    <w:rsid w:val="006868C1"/>
    <w:rsid w:val="00686B8E"/>
    <w:rsid w:val="00686B8F"/>
    <w:rsid w:val="00687D54"/>
    <w:rsid w:val="00690459"/>
    <w:rsid w:val="006904B5"/>
    <w:rsid w:val="00690A43"/>
    <w:rsid w:val="00690BCF"/>
    <w:rsid w:val="006913D5"/>
    <w:rsid w:val="00691617"/>
    <w:rsid w:val="0069179E"/>
    <w:rsid w:val="00691F06"/>
    <w:rsid w:val="006920E4"/>
    <w:rsid w:val="006922FB"/>
    <w:rsid w:val="0069285F"/>
    <w:rsid w:val="00692A4A"/>
    <w:rsid w:val="00693FC8"/>
    <w:rsid w:val="0069407E"/>
    <w:rsid w:val="0069470D"/>
    <w:rsid w:val="00694CC8"/>
    <w:rsid w:val="00696BCF"/>
    <w:rsid w:val="006977BE"/>
    <w:rsid w:val="00697B60"/>
    <w:rsid w:val="00697CD7"/>
    <w:rsid w:val="00697D61"/>
    <w:rsid w:val="00697DB4"/>
    <w:rsid w:val="00697EAA"/>
    <w:rsid w:val="006A00E0"/>
    <w:rsid w:val="006A0868"/>
    <w:rsid w:val="006A091D"/>
    <w:rsid w:val="006A0A14"/>
    <w:rsid w:val="006A0AE1"/>
    <w:rsid w:val="006A1398"/>
    <w:rsid w:val="006A2600"/>
    <w:rsid w:val="006A3252"/>
    <w:rsid w:val="006A3353"/>
    <w:rsid w:val="006A3686"/>
    <w:rsid w:val="006A3749"/>
    <w:rsid w:val="006A375F"/>
    <w:rsid w:val="006A3C72"/>
    <w:rsid w:val="006A42FD"/>
    <w:rsid w:val="006A457E"/>
    <w:rsid w:val="006A4C08"/>
    <w:rsid w:val="006A4C31"/>
    <w:rsid w:val="006A4F82"/>
    <w:rsid w:val="006A514C"/>
    <w:rsid w:val="006A54BF"/>
    <w:rsid w:val="006A5CAE"/>
    <w:rsid w:val="006A7527"/>
    <w:rsid w:val="006B0173"/>
    <w:rsid w:val="006B0BFC"/>
    <w:rsid w:val="006B0ECD"/>
    <w:rsid w:val="006B1159"/>
    <w:rsid w:val="006B119D"/>
    <w:rsid w:val="006B143B"/>
    <w:rsid w:val="006B175B"/>
    <w:rsid w:val="006B1857"/>
    <w:rsid w:val="006B1998"/>
    <w:rsid w:val="006B1A11"/>
    <w:rsid w:val="006B1D1B"/>
    <w:rsid w:val="006B1ED4"/>
    <w:rsid w:val="006B20B0"/>
    <w:rsid w:val="006B32F5"/>
    <w:rsid w:val="006B41C6"/>
    <w:rsid w:val="006B4BE5"/>
    <w:rsid w:val="006B4E19"/>
    <w:rsid w:val="006B50CB"/>
    <w:rsid w:val="006B5A01"/>
    <w:rsid w:val="006B6702"/>
    <w:rsid w:val="006B6D70"/>
    <w:rsid w:val="006B6F11"/>
    <w:rsid w:val="006B7057"/>
    <w:rsid w:val="006B723A"/>
    <w:rsid w:val="006B7528"/>
    <w:rsid w:val="006C0DDD"/>
    <w:rsid w:val="006C0FC1"/>
    <w:rsid w:val="006C1C30"/>
    <w:rsid w:val="006C1EBF"/>
    <w:rsid w:val="006C26D8"/>
    <w:rsid w:val="006C2926"/>
    <w:rsid w:val="006C364A"/>
    <w:rsid w:val="006C39AF"/>
    <w:rsid w:val="006C4454"/>
    <w:rsid w:val="006C4AED"/>
    <w:rsid w:val="006C5E43"/>
    <w:rsid w:val="006C6869"/>
    <w:rsid w:val="006C7192"/>
    <w:rsid w:val="006C723C"/>
    <w:rsid w:val="006C72E5"/>
    <w:rsid w:val="006C737F"/>
    <w:rsid w:val="006C748D"/>
    <w:rsid w:val="006C771A"/>
    <w:rsid w:val="006C7EC8"/>
    <w:rsid w:val="006C7F5B"/>
    <w:rsid w:val="006D054B"/>
    <w:rsid w:val="006D14C6"/>
    <w:rsid w:val="006D178D"/>
    <w:rsid w:val="006D1968"/>
    <w:rsid w:val="006D196D"/>
    <w:rsid w:val="006D2545"/>
    <w:rsid w:val="006D287C"/>
    <w:rsid w:val="006D2B96"/>
    <w:rsid w:val="006D3A02"/>
    <w:rsid w:val="006D4647"/>
    <w:rsid w:val="006D470B"/>
    <w:rsid w:val="006D509A"/>
    <w:rsid w:val="006D57AE"/>
    <w:rsid w:val="006D674C"/>
    <w:rsid w:val="006D6894"/>
    <w:rsid w:val="006D6A39"/>
    <w:rsid w:val="006D74FB"/>
    <w:rsid w:val="006D7564"/>
    <w:rsid w:val="006D79E0"/>
    <w:rsid w:val="006E0A11"/>
    <w:rsid w:val="006E0E1D"/>
    <w:rsid w:val="006E0E7A"/>
    <w:rsid w:val="006E0F00"/>
    <w:rsid w:val="006E202A"/>
    <w:rsid w:val="006E245C"/>
    <w:rsid w:val="006E2F98"/>
    <w:rsid w:val="006E3437"/>
    <w:rsid w:val="006E349F"/>
    <w:rsid w:val="006E41DC"/>
    <w:rsid w:val="006E45A0"/>
    <w:rsid w:val="006E465D"/>
    <w:rsid w:val="006E4F9A"/>
    <w:rsid w:val="006E52AF"/>
    <w:rsid w:val="006E547C"/>
    <w:rsid w:val="006E5A26"/>
    <w:rsid w:val="006E6258"/>
    <w:rsid w:val="006E69B5"/>
    <w:rsid w:val="006F006B"/>
    <w:rsid w:val="006F0F4B"/>
    <w:rsid w:val="006F14A6"/>
    <w:rsid w:val="006F1AEA"/>
    <w:rsid w:val="006F1EF5"/>
    <w:rsid w:val="006F32AB"/>
    <w:rsid w:val="006F362E"/>
    <w:rsid w:val="006F3A28"/>
    <w:rsid w:val="006F4306"/>
    <w:rsid w:val="006F4450"/>
    <w:rsid w:val="006F46F6"/>
    <w:rsid w:val="006F4778"/>
    <w:rsid w:val="006F4FF5"/>
    <w:rsid w:val="006F62A6"/>
    <w:rsid w:val="006F69D7"/>
    <w:rsid w:val="007001C2"/>
    <w:rsid w:val="007001E2"/>
    <w:rsid w:val="007004F5"/>
    <w:rsid w:val="00700776"/>
    <w:rsid w:val="0070094D"/>
    <w:rsid w:val="00700B05"/>
    <w:rsid w:val="00700E91"/>
    <w:rsid w:val="00700EE0"/>
    <w:rsid w:val="00701B64"/>
    <w:rsid w:val="00702044"/>
    <w:rsid w:val="00703C49"/>
    <w:rsid w:val="007040DF"/>
    <w:rsid w:val="00704807"/>
    <w:rsid w:val="00704923"/>
    <w:rsid w:val="00704EC8"/>
    <w:rsid w:val="0070550B"/>
    <w:rsid w:val="0070613B"/>
    <w:rsid w:val="0070692E"/>
    <w:rsid w:val="007071AC"/>
    <w:rsid w:val="00707203"/>
    <w:rsid w:val="00707EE0"/>
    <w:rsid w:val="0071020C"/>
    <w:rsid w:val="007103EA"/>
    <w:rsid w:val="00711575"/>
    <w:rsid w:val="0071174B"/>
    <w:rsid w:val="007118A5"/>
    <w:rsid w:val="00711C2A"/>
    <w:rsid w:val="00711E8C"/>
    <w:rsid w:val="0071314A"/>
    <w:rsid w:val="00714402"/>
    <w:rsid w:val="0071492C"/>
    <w:rsid w:val="00714F3C"/>
    <w:rsid w:val="00716375"/>
    <w:rsid w:val="0071689C"/>
    <w:rsid w:val="00716DF0"/>
    <w:rsid w:val="00716E37"/>
    <w:rsid w:val="00717225"/>
    <w:rsid w:val="0071739D"/>
    <w:rsid w:val="007174BB"/>
    <w:rsid w:val="007205EC"/>
    <w:rsid w:val="00720DD9"/>
    <w:rsid w:val="00721029"/>
    <w:rsid w:val="00721DA5"/>
    <w:rsid w:val="00721EC6"/>
    <w:rsid w:val="00721F33"/>
    <w:rsid w:val="00722F70"/>
    <w:rsid w:val="007232A1"/>
    <w:rsid w:val="00725F86"/>
    <w:rsid w:val="007269BC"/>
    <w:rsid w:val="00727F14"/>
    <w:rsid w:val="007307E0"/>
    <w:rsid w:val="00731196"/>
    <w:rsid w:val="00731BBC"/>
    <w:rsid w:val="0073224C"/>
    <w:rsid w:val="007325D3"/>
    <w:rsid w:val="0073288C"/>
    <w:rsid w:val="00732A8B"/>
    <w:rsid w:val="00733822"/>
    <w:rsid w:val="00733D83"/>
    <w:rsid w:val="00734DA1"/>
    <w:rsid w:val="00736769"/>
    <w:rsid w:val="00736ADC"/>
    <w:rsid w:val="00736C15"/>
    <w:rsid w:val="00737BAB"/>
    <w:rsid w:val="0074045E"/>
    <w:rsid w:val="0074055F"/>
    <w:rsid w:val="00740BF5"/>
    <w:rsid w:val="00741155"/>
    <w:rsid w:val="007415E7"/>
    <w:rsid w:val="00741E18"/>
    <w:rsid w:val="00742780"/>
    <w:rsid w:val="00742C8A"/>
    <w:rsid w:val="00742FB4"/>
    <w:rsid w:val="00743355"/>
    <w:rsid w:val="007435D5"/>
    <w:rsid w:val="00743608"/>
    <w:rsid w:val="00743A14"/>
    <w:rsid w:val="00743F74"/>
    <w:rsid w:val="007441CE"/>
    <w:rsid w:val="0074487D"/>
    <w:rsid w:val="0074544A"/>
    <w:rsid w:val="007465C1"/>
    <w:rsid w:val="007468D9"/>
    <w:rsid w:val="00747C5B"/>
    <w:rsid w:val="00747F57"/>
    <w:rsid w:val="00750007"/>
    <w:rsid w:val="007503FA"/>
    <w:rsid w:val="007505CF"/>
    <w:rsid w:val="007506DA"/>
    <w:rsid w:val="00750AB0"/>
    <w:rsid w:val="00750B71"/>
    <w:rsid w:val="00750C5C"/>
    <w:rsid w:val="00750D31"/>
    <w:rsid w:val="00750D7B"/>
    <w:rsid w:val="007512B2"/>
    <w:rsid w:val="00751A33"/>
    <w:rsid w:val="00751BF9"/>
    <w:rsid w:val="00752F7D"/>
    <w:rsid w:val="007533E5"/>
    <w:rsid w:val="007536BA"/>
    <w:rsid w:val="007538D8"/>
    <w:rsid w:val="00753E8B"/>
    <w:rsid w:val="00754420"/>
    <w:rsid w:val="00754B76"/>
    <w:rsid w:val="00755995"/>
    <w:rsid w:val="00755E13"/>
    <w:rsid w:val="00755EC5"/>
    <w:rsid w:val="007563FA"/>
    <w:rsid w:val="007569C6"/>
    <w:rsid w:val="00757057"/>
    <w:rsid w:val="007570FD"/>
    <w:rsid w:val="007579A5"/>
    <w:rsid w:val="00757B0F"/>
    <w:rsid w:val="007600AA"/>
    <w:rsid w:val="007602D2"/>
    <w:rsid w:val="00760573"/>
    <w:rsid w:val="007612B8"/>
    <w:rsid w:val="00761563"/>
    <w:rsid w:val="0076188F"/>
    <w:rsid w:val="007619FF"/>
    <w:rsid w:val="00761DA9"/>
    <w:rsid w:val="00761FA8"/>
    <w:rsid w:val="0076331B"/>
    <w:rsid w:val="0076369A"/>
    <w:rsid w:val="007640A0"/>
    <w:rsid w:val="007645CA"/>
    <w:rsid w:val="0076496C"/>
    <w:rsid w:val="00765177"/>
    <w:rsid w:val="0076557F"/>
    <w:rsid w:val="00765C71"/>
    <w:rsid w:val="007666CB"/>
    <w:rsid w:val="007678ED"/>
    <w:rsid w:val="007679F1"/>
    <w:rsid w:val="00767E08"/>
    <w:rsid w:val="0077011E"/>
    <w:rsid w:val="007707A9"/>
    <w:rsid w:val="007708CD"/>
    <w:rsid w:val="00770E64"/>
    <w:rsid w:val="00770EE6"/>
    <w:rsid w:val="00770F79"/>
    <w:rsid w:val="00771417"/>
    <w:rsid w:val="0077165B"/>
    <w:rsid w:val="0077183B"/>
    <w:rsid w:val="007719C5"/>
    <w:rsid w:val="00771C32"/>
    <w:rsid w:val="00771DC4"/>
    <w:rsid w:val="00772F4C"/>
    <w:rsid w:val="00773462"/>
    <w:rsid w:val="00773AB1"/>
    <w:rsid w:val="00773B99"/>
    <w:rsid w:val="00774724"/>
    <w:rsid w:val="00774E3F"/>
    <w:rsid w:val="00774FFE"/>
    <w:rsid w:val="007754D5"/>
    <w:rsid w:val="00775778"/>
    <w:rsid w:val="00775817"/>
    <w:rsid w:val="0077602C"/>
    <w:rsid w:val="00776586"/>
    <w:rsid w:val="0077688D"/>
    <w:rsid w:val="007803A3"/>
    <w:rsid w:val="00780BFB"/>
    <w:rsid w:val="00780C18"/>
    <w:rsid w:val="00781548"/>
    <w:rsid w:val="00781576"/>
    <w:rsid w:val="00781B5C"/>
    <w:rsid w:val="007823D8"/>
    <w:rsid w:val="00782BC5"/>
    <w:rsid w:val="00783156"/>
    <w:rsid w:val="007832DB"/>
    <w:rsid w:val="00783757"/>
    <w:rsid w:val="00783F82"/>
    <w:rsid w:val="00784A97"/>
    <w:rsid w:val="00784BE2"/>
    <w:rsid w:val="00785344"/>
    <w:rsid w:val="007860A8"/>
    <w:rsid w:val="00786394"/>
    <w:rsid w:val="007867B0"/>
    <w:rsid w:val="007867E9"/>
    <w:rsid w:val="00787175"/>
    <w:rsid w:val="00787E62"/>
    <w:rsid w:val="00790ADB"/>
    <w:rsid w:val="00791F88"/>
    <w:rsid w:val="00792015"/>
    <w:rsid w:val="0079314B"/>
    <w:rsid w:val="00793644"/>
    <w:rsid w:val="00795E68"/>
    <w:rsid w:val="007968AF"/>
    <w:rsid w:val="00796E46"/>
    <w:rsid w:val="00796EE3"/>
    <w:rsid w:val="00797193"/>
    <w:rsid w:val="0079730E"/>
    <w:rsid w:val="00797649"/>
    <w:rsid w:val="00797748"/>
    <w:rsid w:val="00797CEB"/>
    <w:rsid w:val="007A059A"/>
    <w:rsid w:val="007A1AFB"/>
    <w:rsid w:val="007A1D12"/>
    <w:rsid w:val="007A1EB5"/>
    <w:rsid w:val="007A3D1B"/>
    <w:rsid w:val="007A4147"/>
    <w:rsid w:val="007A4495"/>
    <w:rsid w:val="007A4924"/>
    <w:rsid w:val="007A500C"/>
    <w:rsid w:val="007A5194"/>
    <w:rsid w:val="007A58D8"/>
    <w:rsid w:val="007A61E0"/>
    <w:rsid w:val="007A64B0"/>
    <w:rsid w:val="007A7E75"/>
    <w:rsid w:val="007B0C43"/>
    <w:rsid w:val="007B146E"/>
    <w:rsid w:val="007B14EF"/>
    <w:rsid w:val="007B1843"/>
    <w:rsid w:val="007B1876"/>
    <w:rsid w:val="007B1B8D"/>
    <w:rsid w:val="007B2ADE"/>
    <w:rsid w:val="007B2B17"/>
    <w:rsid w:val="007B2D4C"/>
    <w:rsid w:val="007B2FDF"/>
    <w:rsid w:val="007B37DD"/>
    <w:rsid w:val="007B381A"/>
    <w:rsid w:val="007B4033"/>
    <w:rsid w:val="007B46DF"/>
    <w:rsid w:val="007B4F85"/>
    <w:rsid w:val="007B574D"/>
    <w:rsid w:val="007B58D5"/>
    <w:rsid w:val="007B5B67"/>
    <w:rsid w:val="007B61B0"/>
    <w:rsid w:val="007B6661"/>
    <w:rsid w:val="007B66B1"/>
    <w:rsid w:val="007B6E1F"/>
    <w:rsid w:val="007B7A44"/>
    <w:rsid w:val="007C022A"/>
    <w:rsid w:val="007C0869"/>
    <w:rsid w:val="007C1188"/>
    <w:rsid w:val="007C168A"/>
    <w:rsid w:val="007C1AB7"/>
    <w:rsid w:val="007C22A4"/>
    <w:rsid w:val="007C23AA"/>
    <w:rsid w:val="007C2D53"/>
    <w:rsid w:val="007C300C"/>
    <w:rsid w:val="007C3399"/>
    <w:rsid w:val="007C3C29"/>
    <w:rsid w:val="007C4858"/>
    <w:rsid w:val="007C4A68"/>
    <w:rsid w:val="007C4F18"/>
    <w:rsid w:val="007C7EFB"/>
    <w:rsid w:val="007D0309"/>
    <w:rsid w:val="007D08FE"/>
    <w:rsid w:val="007D0F91"/>
    <w:rsid w:val="007D21FA"/>
    <w:rsid w:val="007D22AB"/>
    <w:rsid w:val="007D26E0"/>
    <w:rsid w:val="007D3529"/>
    <w:rsid w:val="007D3979"/>
    <w:rsid w:val="007D3E84"/>
    <w:rsid w:val="007D4970"/>
    <w:rsid w:val="007D5215"/>
    <w:rsid w:val="007D5C22"/>
    <w:rsid w:val="007D5D1D"/>
    <w:rsid w:val="007D63B9"/>
    <w:rsid w:val="007D660E"/>
    <w:rsid w:val="007D6793"/>
    <w:rsid w:val="007D6A0C"/>
    <w:rsid w:val="007D7022"/>
    <w:rsid w:val="007D7027"/>
    <w:rsid w:val="007D738F"/>
    <w:rsid w:val="007D73B4"/>
    <w:rsid w:val="007D7868"/>
    <w:rsid w:val="007D7C80"/>
    <w:rsid w:val="007E0379"/>
    <w:rsid w:val="007E1C75"/>
    <w:rsid w:val="007E1EB0"/>
    <w:rsid w:val="007E217E"/>
    <w:rsid w:val="007E24E2"/>
    <w:rsid w:val="007E2D8E"/>
    <w:rsid w:val="007E306F"/>
    <w:rsid w:val="007E31DB"/>
    <w:rsid w:val="007E39B0"/>
    <w:rsid w:val="007E3ACA"/>
    <w:rsid w:val="007E3F34"/>
    <w:rsid w:val="007E4B02"/>
    <w:rsid w:val="007E4C8A"/>
    <w:rsid w:val="007E4D7D"/>
    <w:rsid w:val="007E501F"/>
    <w:rsid w:val="007E5773"/>
    <w:rsid w:val="007E5A1B"/>
    <w:rsid w:val="007E5CDB"/>
    <w:rsid w:val="007E5DC0"/>
    <w:rsid w:val="007E5ED3"/>
    <w:rsid w:val="007E71A2"/>
    <w:rsid w:val="007E7E49"/>
    <w:rsid w:val="007F01C4"/>
    <w:rsid w:val="007F0287"/>
    <w:rsid w:val="007F0D80"/>
    <w:rsid w:val="007F10FE"/>
    <w:rsid w:val="007F1370"/>
    <w:rsid w:val="007F1537"/>
    <w:rsid w:val="007F1B49"/>
    <w:rsid w:val="007F2083"/>
    <w:rsid w:val="007F2246"/>
    <w:rsid w:val="007F232A"/>
    <w:rsid w:val="007F2B18"/>
    <w:rsid w:val="007F2F97"/>
    <w:rsid w:val="007F346F"/>
    <w:rsid w:val="007F37BD"/>
    <w:rsid w:val="007F4233"/>
    <w:rsid w:val="007F457C"/>
    <w:rsid w:val="007F4A11"/>
    <w:rsid w:val="007F4E36"/>
    <w:rsid w:val="007F4E49"/>
    <w:rsid w:val="007F66C6"/>
    <w:rsid w:val="007F679E"/>
    <w:rsid w:val="007F6A00"/>
    <w:rsid w:val="007F72ED"/>
    <w:rsid w:val="007F74D4"/>
    <w:rsid w:val="007F753E"/>
    <w:rsid w:val="007F7707"/>
    <w:rsid w:val="007F784B"/>
    <w:rsid w:val="007F7E22"/>
    <w:rsid w:val="00800182"/>
    <w:rsid w:val="00800A81"/>
    <w:rsid w:val="0080188A"/>
    <w:rsid w:val="00801E35"/>
    <w:rsid w:val="00803724"/>
    <w:rsid w:val="008048E9"/>
    <w:rsid w:val="00804A5D"/>
    <w:rsid w:val="008059C1"/>
    <w:rsid w:val="008061E2"/>
    <w:rsid w:val="0080645C"/>
    <w:rsid w:val="00806B24"/>
    <w:rsid w:val="0080703B"/>
    <w:rsid w:val="0080713A"/>
    <w:rsid w:val="00807860"/>
    <w:rsid w:val="00807DC0"/>
    <w:rsid w:val="008100C1"/>
    <w:rsid w:val="008102B2"/>
    <w:rsid w:val="00810675"/>
    <w:rsid w:val="00810A52"/>
    <w:rsid w:val="00810D79"/>
    <w:rsid w:val="00811040"/>
    <w:rsid w:val="0081111B"/>
    <w:rsid w:val="00811FA4"/>
    <w:rsid w:val="008121DA"/>
    <w:rsid w:val="00812564"/>
    <w:rsid w:val="00812B19"/>
    <w:rsid w:val="00812F62"/>
    <w:rsid w:val="00813704"/>
    <w:rsid w:val="008141D4"/>
    <w:rsid w:val="00814D35"/>
    <w:rsid w:val="00814DAB"/>
    <w:rsid w:val="0081508C"/>
    <w:rsid w:val="00815332"/>
    <w:rsid w:val="00815389"/>
    <w:rsid w:val="008158F5"/>
    <w:rsid w:val="008168D1"/>
    <w:rsid w:val="00816EED"/>
    <w:rsid w:val="008179E7"/>
    <w:rsid w:val="00821493"/>
    <w:rsid w:val="008215FE"/>
    <w:rsid w:val="008220B6"/>
    <w:rsid w:val="0082228B"/>
    <w:rsid w:val="0082262A"/>
    <w:rsid w:val="00822A4A"/>
    <w:rsid w:val="00823434"/>
    <w:rsid w:val="00823DAD"/>
    <w:rsid w:val="0082461D"/>
    <w:rsid w:val="00824736"/>
    <w:rsid w:val="0082507A"/>
    <w:rsid w:val="00825234"/>
    <w:rsid w:val="008261C5"/>
    <w:rsid w:val="0082626C"/>
    <w:rsid w:val="008264EA"/>
    <w:rsid w:val="008265CD"/>
    <w:rsid w:val="00826B7F"/>
    <w:rsid w:val="00826CDD"/>
    <w:rsid w:val="0082778C"/>
    <w:rsid w:val="0083061A"/>
    <w:rsid w:val="00830CF4"/>
    <w:rsid w:val="00831A02"/>
    <w:rsid w:val="00832635"/>
    <w:rsid w:val="008326B4"/>
    <w:rsid w:val="0083307B"/>
    <w:rsid w:val="00833B60"/>
    <w:rsid w:val="008351AA"/>
    <w:rsid w:val="008351F3"/>
    <w:rsid w:val="00835E60"/>
    <w:rsid w:val="00835FEC"/>
    <w:rsid w:val="00836928"/>
    <w:rsid w:val="00836F75"/>
    <w:rsid w:val="00836FBF"/>
    <w:rsid w:val="0084052D"/>
    <w:rsid w:val="00840949"/>
    <w:rsid w:val="00840CDB"/>
    <w:rsid w:val="00840EFF"/>
    <w:rsid w:val="008412DA"/>
    <w:rsid w:val="00841CAA"/>
    <w:rsid w:val="00843D14"/>
    <w:rsid w:val="008449CB"/>
    <w:rsid w:val="00845415"/>
    <w:rsid w:val="008460D1"/>
    <w:rsid w:val="00846168"/>
    <w:rsid w:val="008479F7"/>
    <w:rsid w:val="00847E45"/>
    <w:rsid w:val="008504C3"/>
    <w:rsid w:val="00850FB7"/>
    <w:rsid w:val="00851F02"/>
    <w:rsid w:val="00852522"/>
    <w:rsid w:val="008525F2"/>
    <w:rsid w:val="00852855"/>
    <w:rsid w:val="00852BED"/>
    <w:rsid w:val="008531AB"/>
    <w:rsid w:val="00853395"/>
    <w:rsid w:val="00853744"/>
    <w:rsid w:val="00853E06"/>
    <w:rsid w:val="008549AB"/>
    <w:rsid w:val="00854A69"/>
    <w:rsid w:val="00856188"/>
    <w:rsid w:val="008564CC"/>
    <w:rsid w:val="00856826"/>
    <w:rsid w:val="00856997"/>
    <w:rsid w:val="008569D2"/>
    <w:rsid w:val="00856C0E"/>
    <w:rsid w:val="008571FF"/>
    <w:rsid w:val="00857341"/>
    <w:rsid w:val="00857472"/>
    <w:rsid w:val="008574AB"/>
    <w:rsid w:val="0085751C"/>
    <w:rsid w:val="008602BA"/>
    <w:rsid w:val="00860531"/>
    <w:rsid w:val="00860575"/>
    <w:rsid w:val="00860BEC"/>
    <w:rsid w:val="00860C33"/>
    <w:rsid w:val="00860C5C"/>
    <w:rsid w:val="00860F9A"/>
    <w:rsid w:val="00861302"/>
    <w:rsid w:val="0086135F"/>
    <w:rsid w:val="0086182F"/>
    <w:rsid w:val="008626DF"/>
    <w:rsid w:val="008627A2"/>
    <w:rsid w:val="00862FCA"/>
    <w:rsid w:val="00863385"/>
    <w:rsid w:val="008635A6"/>
    <w:rsid w:val="008635D8"/>
    <w:rsid w:val="008648E6"/>
    <w:rsid w:val="00864C79"/>
    <w:rsid w:val="00865015"/>
    <w:rsid w:val="00865A10"/>
    <w:rsid w:val="00865B40"/>
    <w:rsid w:val="00865C29"/>
    <w:rsid w:val="00866382"/>
    <w:rsid w:val="00866742"/>
    <w:rsid w:val="00866A37"/>
    <w:rsid w:val="00866B63"/>
    <w:rsid w:val="00867CA8"/>
    <w:rsid w:val="00870483"/>
    <w:rsid w:val="00870703"/>
    <w:rsid w:val="00870DA7"/>
    <w:rsid w:val="00870E77"/>
    <w:rsid w:val="00870EA0"/>
    <w:rsid w:val="00871077"/>
    <w:rsid w:val="00871101"/>
    <w:rsid w:val="008711A3"/>
    <w:rsid w:val="008713FC"/>
    <w:rsid w:val="00871411"/>
    <w:rsid w:val="0087165D"/>
    <w:rsid w:val="00871FD8"/>
    <w:rsid w:val="00872529"/>
    <w:rsid w:val="008733CF"/>
    <w:rsid w:val="00873440"/>
    <w:rsid w:val="008738BD"/>
    <w:rsid w:val="0087423D"/>
    <w:rsid w:val="008752E7"/>
    <w:rsid w:val="00875953"/>
    <w:rsid w:val="00875A9A"/>
    <w:rsid w:val="00875F52"/>
    <w:rsid w:val="008763FB"/>
    <w:rsid w:val="00877745"/>
    <w:rsid w:val="00877C94"/>
    <w:rsid w:val="00877D63"/>
    <w:rsid w:val="00877E4C"/>
    <w:rsid w:val="00880C99"/>
    <w:rsid w:val="00880F97"/>
    <w:rsid w:val="00881FD6"/>
    <w:rsid w:val="00882849"/>
    <w:rsid w:val="00882AFD"/>
    <w:rsid w:val="008831BA"/>
    <w:rsid w:val="00883704"/>
    <w:rsid w:val="00883922"/>
    <w:rsid w:val="00884794"/>
    <w:rsid w:val="008847C3"/>
    <w:rsid w:val="00884868"/>
    <w:rsid w:val="00885636"/>
    <w:rsid w:val="00885BE5"/>
    <w:rsid w:val="00886118"/>
    <w:rsid w:val="008861EA"/>
    <w:rsid w:val="008864D4"/>
    <w:rsid w:val="00886708"/>
    <w:rsid w:val="008867D3"/>
    <w:rsid w:val="008870DD"/>
    <w:rsid w:val="008907B4"/>
    <w:rsid w:val="008908D4"/>
    <w:rsid w:val="008911DB"/>
    <w:rsid w:val="0089138C"/>
    <w:rsid w:val="008913AF"/>
    <w:rsid w:val="00891CBB"/>
    <w:rsid w:val="0089217A"/>
    <w:rsid w:val="008922C2"/>
    <w:rsid w:val="00892659"/>
    <w:rsid w:val="00892A89"/>
    <w:rsid w:val="00893332"/>
    <w:rsid w:val="008933BF"/>
    <w:rsid w:val="0089374B"/>
    <w:rsid w:val="00893F27"/>
    <w:rsid w:val="00894122"/>
    <w:rsid w:val="0089452E"/>
    <w:rsid w:val="0089587D"/>
    <w:rsid w:val="00895EF2"/>
    <w:rsid w:val="00896891"/>
    <w:rsid w:val="00896BB2"/>
    <w:rsid w:val="008A02D4"/>
    <w:rsid w:val="008A0507"/>
    <w:rsid w:val="008A1670"/>
    <w:rsid w:val="008A1B4A"/>
    <w:rsid w:val="008A2407"/>
    <w:rsid w:val="008A254D"/>
    <w:rsid w:val="008A25BC"/>
    <w:rsid w:val="008A26C2"/>
    <w:rsid w:val="008A29F0"/>
    <w:rsid w:val="008A2BE5"/>
    <w:rsid w:val="008A2DBA"/>
    <w:rsid w:val="008A35F7"/>
    <w:rsid w:val="008A3790"/>
    <w:rsid w:val="008A3E5E"/>
    <w:rsid w:val="008A40EC"/>
    <w:rsid w:val="008A4422"/>
    <w:rsid w:val="008A4489"/>
    <w:rsid w:val="008A4668"/>
    <w:rsid w:val="008A487C"/>
    <w:rsid w:val="008A4B55"/>
    <w:rsid w:val="008A4D32"/>
    <w:rsid w:val="008A59D3"/>
    <w:rsid w:val="008A6A9B"/>
    <w:rsid w:val="008A6C7B"/>
    <w:rsid w:val="008A71B8"/>
    <w:rsid w:val="008A78A6"/>
    <w:rsid w:val="008B00F2"/>
    <w:rsid w:val="008B05F5"/>
    <w:rsid w:val="008B069A"/>
    <w:rsid w:val="008B15EA"/>
    <w:rsid w:val="008B2734"/>
    <w:rsid w:val="008B3541"/>
    <w:rsid w:val="008B3D20"/>
    <w:rsid w:val="008B41B9"/>
    <w:rsid w:val="008B55AB"/>
    <w:rsid w:val="008B5759"/>
    <w:rsid w:val="008B61B6"/>
    <w:rsid w:val="008B6B13"/>
    <w:rsid w:val="008B7232"/>
    <w:rsid w:val="008B7532"/>
    <w:rsid w:val="008B7FC6"/>
    <w:rsid w:val="008C05D6"/>
    <w:rsid w:val="008C06D5"/>
    <w:rsid w:val="008C0EB7"/>
    <w:rsid w:val="008C1CF6"/>
    <w:rsid w:val="008C24D9"/>
    <w:rsid w:val="008C2B0C"/>
    <w:rsid w:val="008C2CA4"/>
    <w:rsid w:val="008C2FDB"/>
    <w:rsid w:val="008C3784"/>
    <w:rsid w:val="008C3A52"/>
    <w:rsid w:val="008C43BF"/>
    <w:rsid w:val="008C4527"/>
    <w:rsid w:val="008C4538"/>
    <w:rsid w:val="008C4CE8"/>
    <w:rsid w:val="008C4DC0"/>
    <w:rsid w:val="008C5021"/>
    <w:rsid w:val="008C5199"/>
    <w:rsid w:val="008C5864"/>
    <w:rsid w:val="008C5E2A"/>
    <w:rsid w:val="008C6513"/>
    <w:rsid w:val="008C671C"/>
    <w:rsid w:val="008C6786"/>
    <w:rsid w:val="008C68D4"/>
    <w:rsid w:val="008C6E2C"/>
    <w:rsid w:val="008C6EE8"/>
    <w:rsid w:val="008C7710"/>
    <w:rsid w:val="008C7946"/>
    <w:rsid w:val="008C7A0D"/>
    <w:rsid w:val="008C7A75"/>
    <w:rsid w:val="008C7CF8"/>
    <w:rsid w:val="008D06EB"/>
    <w:rsid w:val="008D0D8D"/>
    <w:rsid w:val="008D0DB7"/>
    <w:rsid w:val="008D1A30"/>
    <w:rsid w:val="008D215A"/>
    <w:rsid w:val="008D2729"/>
    <w:rsid w:val="008D27C1"/>
    <w:rsid w:val="008D2B47"/>
    <w:rsid w:val="008D2C57"/>
    <w:rsid w:val="008D3A52"/>
    <w:rsid w:val="008D3E71"/>
    <w:rsid w:val="008D4A06"/>
    <w:rsid w:val="008D4DAC"/>
    <w:rsid w:val="008D50CD"/>
    <w:rsid w:val="008D51C9"/>
    <w:rsid w:val="008D5294"/>
    <w:rsid w:val="008D5348"/>
    <w:rsid w:val="008D53A2"/>
    <w:rsid w:val="008D5775"/>
    <w:rsid w:val="008D5D3D"/>
    <w:rsid w:val="008D65B4"/>
    <w:rsid w:val="008D756C"/>
    <w:rsid w:val="008D7E40"/>
    <w:rsid w:val="008E0272"/>
    <w:rsid w:val="008E0817"/>
    <w:rsid w:val="008E11A4"/>
    <w:rsid w:val="008E199F"/>
    <w:rsid w:val="008E1A86"/>
    <w:rsid w:val="008E2B31"/>
    <w:rsid w:val="008E319F"/>
    <w:rsid w:val="008E3F1B"/>
    <w:rsid w:val="008E43A5"/>
    <w:rsid w:val="008E4439"/>
    <w:rsid w:val="008E4725"/>
    <w:rsid w:val="008E483E"/>
    <w:rsid w:val="008E48D9"/>
    <w:rsid w:val="008E586C"/>
    <w:rsid w:val="008E5908"/>
    <w:rsid w:val="008E5B83"/>
    <w:rsid w:val="008E5C98"/>
    <w:rsid w:val="008E6518"/>
    <w:rsid w:val="008E6C49"/>
    <w:rsid w:val="008F087D"/>
    <w:rsid w:val="008F13C9"/>
    <w:rsid w:val="008F16CE"/>
    <w:rsid w:val="008F1992"/>
    <w:rsid w:val="008F1DCD"/>
    <w:rsid w:val="008F1FEE"/>
    <w:rsid w:val="008F2028"/>
    <w:rsid w:val="008F2401"/>
    <w:rsid w:val="008F25D7"/>
    <w:rsid w:val="008F2952"/>
    <w:rsid w:val="008F3783"/>
    <w:rsid w:val="008F47E7"/>
    <w:rsid w:val="008F4828"/>
    <w:rsid w:val="008F49C1"/>
    <w:rsid w:val="008F4AFA"/>
    <w:rsid w:val="008F4BAB"/>
    <w:rsid w:val="008F5F11"/>
    <w:rsid w:val="008F614D"/>
    <w:rsid w:val="008F760A"/>
    <w:rsid w:val="008F7F94"/>
    <w:rsid w:val="009003EE"/>
    <w:rsid w:val="00900639"/>
    <w:rsid w:val="0090068D"/>
    <w:rsid w:val="00900E5C"/>
    <w:rsid w:val="00901081"/>
    <w:rsid w:val="009016F5"/>
    <w:rsid w:val="00902D6F"/>
    <w:rsid w:val="00902EB0"/>
    <w:rsid w:val="009030D1"/>
    <w:rsid w:val="009037E7"/>
    <w:rsid w:val="009039F0"/>
    <w:rsid w:val="00903D5A"/>
    <w:rsid w:val="0090415E"/>
    <w:rsid w:val="00904603"/>
    <w:rsid w:val="00904FA9"/>
    <w:rsid w:val="0090548F"/>
    <w:rsid w:val="0090591B"/>
    <w:rsid w:val="00905D13"/>
    <w:rsid w:val="0090628E"/>
    <w:rsid w:val="00906CDB"/>
    <w:rsid w:val="0090738C"/>
    <w:rsid w:val="00907B33"/>
    <w:rsid w:val="00907C2A"/>
    <w:rsid w:val="00907DE7"/>
    <w:rsid w:val="0091011C"/>
    <w:rsid w:val="00910853"/>
    <w:rsid w:val="009112D6"/>
    <w:rsid w:val="0091157E"/>
    <w:rsid w:val="00911DF7"/>
    <w:rsid w:val="009121C0"/>
    <w:rsid w:val="0091295F"/>
    <w:rsid w:val="0091314E"/>
    <w:rsid w:val="009131F0"/>
    <w:rsid w:val="009135DA"/>
    <w:rsid w:val="00913666"/>
    <w:rsid w:val="00913732"/>
    <w:rsid w:val="00914E2B"/>
    <w:rsid w:val="009151F7"/>
    <w:rsid w:val="0091560E"/>
    <w:rsid w:val="009157E6"/>
    <w:rsid w:val="00915B07"/>
    <w:rsid w:val="009160C4"/>
    <w:rsid w:val="00916876"/>
    <w:rsid w:val="00916E03"/>
    <w:rsid w:val="00916E63"/>
    <w:rsid w:val="00917593"/>
    <w:rsid w:val="00917B72"/>
    <w:rsid w:val="0092028F"/>
    <w:rsid w:val="00920330"/>
    <w:rsid w:val="00920854"/>
    <w:rsid w:val="00921967"/>
    <w:rsid w:val="00921CC3"/>
    <w:rsid w:val="00921E22"/>
    <w:rsid w:val="00921E9A"/>
    <w:rsid w:val="009227B6"/>
    <w:rsid w:val="00923B67"/>
    <w:rsid w:val="00923D51"/>
    <w:rsid w:val="009241DA"/>
    <w:rsid w:val="00924D74"/>
    <w:rsid w:val="00925CC9"/>
    <w:rsid w:val="00926638"/>
    <w:rsid w:val="0092685F"/>
    <w:rsid w:val="00926BC7"/>
    <w:rsid w:val="009270A3"/>
    <w:rsid w:val="009272E4"/>
    <w:rsid w:val="00927402"/>
    <w:rsid w:val="00927A63"/>
    <w:rsid w:val="00927EBB"/>
    <w:rsid w:val="00930396"/>
    <w:rsid w:val="009306DA"/>
    <w:rsid w:val="009307FD"/>
    <w:rsid w:val="009311F6"/>
    <w:rsid w:val="00931A11"/>
    <w:rsid w:val="00931E47"/>
    <w:rsid w:val="009320EE"/>
    <w:rsid w:val="00932C6A"/>
    <w:rsid w:val="00932D23"/>
    <w:rsid w:val="0093308D"/>
    <w:rsid w:val="00933452"/>
    <w:rsid w:val="00933644"/>
    <w:rsid w:val="00933CCF"/>
    <w:rsid w:val="009342B0"/>
    <w:rsid w:val="00934300"/>
    <w:rsid w:val="0093487A"/>
    <w:rsid w:val="009349FE"/>
    <w:rsid w:val="0093546B"/>
    <w:rsid w:val="009370F9"/>
    <w:rsid w:val="0093736C"/>
    <w:rsid w:val="009403BE"/>
    <w:rsid w:val="00940504"/>
    <w:rsid w:val="0094098A"/>
    <w:rsid w:val="0094127C"/>
    <w:rsid w:val="00941484"/>
    <w:rsid w:val="00941890"/>
    <w:rsid w:val="00942605"/>
    <w:rsid w:val="00942FB3"/>
    <w:rsid w:val="00943087"/>
    <w:rsid w:val="009437FC"/>
    <w:rsid w:val="00943AE0"/>
    <w:rsid w:val="00944E25"/>
    <w:rsid w:val="00944F4D"/>
    <w:rsid w:val="0094520D"/>
    <w:rsid w:val="00945A05"/>
    <w:rsid w:val="00945F7F"/>
    <w:rsid w:val="00945FAD"/>
    <w:rsid w:val="00946174"/>
    <w:rsid w:val="009462B3"/>
    <w:rsid w:val="00946B80"/>
    <w:rsid w:val="00946B8D"/>
    <w:rsid w:val="00946C49"/>
    <w:rsid w:val="009472F3"/>
    <w:rsid w:val="0094780C"/>
    <w:rsid w:val="009478E7"/>
    <w:rsid w:val="00947AD0"/>
    <w:rsid w:val="00947E77"/>
    <w:rsid w:val="009501F4"/>
    <w:rsid w:val="00950233"/>
    <w:rsid w:val="00950B07"/>
    <w:rsid w:val="009515AE"/>
    <w:rsid w:val="00951C93"/>
    <w:rsid w:val="0095230D"/>
    <w:rsid w:val="00952577"/>
    <w:rsid w:val="00952801"/>
    <w:rsid w:val="00952817"/>
    <w:rsid w:val="00952B2A"/>
    <w:rsid w:val="00953692"/>
    <w:rsid w:val="009536D5"/>
    <w:rsid w:val="00954492"/>
    <w:rsid w:val="00954681"/>
    <w:rsid w:val="009549A0"/>
    <w:rsid w:val="00955387"/>
    <w:rsid w:val="00955F67"/>
    <w:rsid w:val="0095681F"/>
    <w:rsid w:val="00957117"/>
    <w:rsid w:val="00957E7E"/>
    <w:rsid w:val="009606D4"/>
    <w:rsid w:val="0096082B"/>
    <w:rsid w:val="00960B1C"/>
    <w:rsid w:val="00960B71"/>
    <w:rsid w:val="00960F2F"/>
    <w:rsid w:val="0096115F"/>
    <w:rsid w:val="009613B0"/>
    <w:rsid w:val="009620C0"/>
    <w:rsid w:val="00962119"/>
    <w:rsid w:val="0096251E"/>
    <w:rsid w:val="00962982"/>
    <w:rsid w:val="00962B43"/>
    <w:rsid w:val="00962DDA"/>
    <w:rsid w:val="00963B8D"/>
    <w:rsid w:val="00963DCC"/>
    <w:rsid w:val="0096452A"/>
    <w:rsid w:val="00964679"/>
    <w:rsid w:val="00965592"/>
    <w:rsid w:val="009656D6"/>
    <w:rsid w:val="00966678"/>
    <w:rsid w:val="00966ABA"/>
    <w:rsid w:val="00966B75"/>
    <w:rsid w:val="00967252"/>
    <w:rsid w:val="0096747D"/>
    <w:rsid w:val="009677A2"/>
    <w:rsid w:val="009679FC"/>
    <w:rsid w:val="00967D7E"/>
    <w:rsid w:val="00967F13"/>
    <w:rsid w:val="00970350"/>
    <w:rsid w:val="009706C1"/>
    <w:rsid w:val="00970714"/>
    <w:rsid w:val="00970748"/>
    <w:rsid w:val="00971213"/>
    <w:rsid w:val="00972242"/>
    <w:rsid w:val="00972783"/>
    <w:rsid w:val="009727AC"/>
    <w:rsid w:val="00972A9D"/>
    <w:rsid w:val="00972DDC"/>
    <w:rsid w:val="00972E44"/>
    <w:rsid w:val="00973912"/>
    <w:rsid w:val="00973E46"/>
    <w:rsid w:val="00974027"/>
    <w:rsid w:val="00975C6E"/>
    <w:rsid w:val="00976757"/>
    <w:rsid w:val="00976FF5"/>
    <w:rsid w:val="00977708"/>
    <w:rsid w:val="0097781A"/>
    <w:rsid w:val="00980479"/>
    <w:rsid w:val="00980A1F"/>
    <w:rsid w:val="00980D4B"/>
    <w:rsid w:val="00980DCB"/>
    <w:rsid w:val="009815E0"/>
    <w:rsid w:val="00981D60"/>
    <w:rsid w:val="00981DA8"/>
    <w:rsid w:val="00981FEB"/>
    <w:rsid w:val="00982D86"/>
    <w:rsid w:val="00984116"/>
    <w:rsid w:val="00984BE1"/>
    <w:rsid w:val="00984C1B"/>
    <w:rsid w:val="009855ED"/>
    <w:rsid w:val="0098654C"/>
    <w:rsid w:val="00987521"/>
    <w:rsid w:val="00990842"/>
    <w:rsid w:val="00990A8C"/>
    <w:rsid w:val="0099107C"/>
    <w:rsid w:val="0099134C"/>
    <w:rsid w:val="00991B53"/>
    <w:rsid w:val="0099283F"/>
    <w:rsid w:val="00993458"/>
    <w:rsid w:val="009935EC"/>
    <w:rsid w:val="00993BFE"/>
    <w:rsid w:val="0099424A"/>
    <w:rsid w:val="009943D5"/>
    <w:rsid w:val="00994980"/>
    <w:rsid w:val="00994BF5"/>
    <w:rsid w:val="00994C75"/>
    <w:rsid w:val="00996303"/>
    <w:rsid w:val="009964AF"/>
    <w:rsid w:val="00996807"/>
    <w:rsid w:val="00996F8A"/>
    <w:rsid w:val="0099752C"/>
    <w:rsid w:val="00997BF7"/>
    <w:rsid w:val="00997D7A"/>
    <w:rsid w:val="009A002B"/>
    <w:rsid w:val="009A0228"/>
    <w:rsid w:val="009A0230"/>
    <w:rsid w:val="009A0506"/>
    <w:rsid w:val="009A1202"/>
    <w:rsid w:val="009A154F"/>
    <w:rsid w:val="009A1B75"/>
    <w:rsid w:val="009A25B9"/>
    <w:rsid w:val="009A2808"/>
    <w:rsid w:val="009A2A60"/>
    <w:rsid w:val="009A2C96"/>
    <w:rsid w:val="009A2E1C"/>
    <w:rsid w:val="009A383B"/>
    <w:rsid w:val="009A3A0A"/>
    <w:rsid w:val="009A3AB6"/>
    <w:rsid w:val="009A3B3D"/>
    <w:rsid w:val="009A3B49"/>
    <w:rsid w:val="009A4E2D"/>
    <w:rsid w:val="009A51A4"/>
    <w:rsid w:val="009A51DE"/>
    <w:rsid w:val="009A51ED"/>
    <w:rsid w:val="009A5714"/>
    <w:rsid w:val="009A6C77"/>
    <w:rsid w:val="009A6E9B"/>
    <w:rsid w:val="009A6EA4"/>
    <w:rsid w:val="009B057A"/>
    <w:rsid w:val="009B0CFD"/>
    <w:rsid w:val="009B102B"/>
    <w:rsid w:val="009B13C4"/>
    <w:rsid w:val="009B147B"/>
    <w:rsid w:val="009B17D9"/>
    <w:rsid w:val="009B1B7B"/>
    <w:rsid w:val="009B1BB7"/>
    <w:rsid w:val="009B2554"/>
    <w:rsid w:val="009B27ED"/>
    <w:rsid w:val="009B29EB"/>
    <w:rsid w:val="009B36CB"/>
    <w:rsid w:val="009B3CB8"/>
    <w:rsid w:val="009B3FDF"/>
    <w:rsid w:val="009B47C6"/>
    <w:rsid w:val="009B49BE"/>
    <w:rsid w:val="009B4D09"/>
    <w:rsid w:val="009B50C7"/>
    <w:rsid w:val="009B5521"/>
    <w:rsid w:val="009B5BC0"/>
    <w:rsid w:val="009B6230"/>
    <w:rsid w:val="009B64B7"/>
    <w:rsid w:val="009B70E1"/>
    <w:rsid w:val="009B7164"/>
    <w:rsid w:val="009B75E3"/>
    <w:rsid w:val="009C1148"/>
    <w:rsid w:val="009C1198"/>
    <w:rsid w:val="009C13E0"/>
    <w:rsid w:val="009C1CC3"/>
    <w:rsid w:val="009C23CF"/>
    <w:rsid w:val="009C29C6"/>
    <w:rsid w:val="009C2E36"/>
    <w:rsid w:val="009C351B"/>
    <w:rsid w:val="009C359E"/>
    <w:rsid w:val="009C38EF"/>
    <w:rsid w:val="009C42CC"/>
    <w:rsid w:val="009C456E"/>
    <w:rsid w:val="009C4674"/>
    <w:rsid w:val="009C46B6"/>
    <w:rsid w:val="009C5754"/>
    <w:rsid w:val="009C7F0F"/>
    <w:rsid w:val="009D052B"/>
    <w:rsid w:val="009D0612"/>
    <w:rsid w:val="009D0C1D"/>
    <w:rsid w:val="009D0DF7"/>
    <w:rsid w:val="009D1BAD"/>
    <w:rsid w:val="009D1C64"/>
    <w:rsid w:val="009D235A"/>
    <w:rsid w:val="009D264F"/>
    <w:rsid w:val="009D2F6A"/>
    <w:rsid w:val="009D3418"/>
    <w:rsid w:val="009D35D8"/>
    <w:rsid w:val="009D36CF"/>
    <w:rsid w:val="009D3C2A"/>
    <w:rsid w:val="009D40B6"/>
    <w:rsid w:val="009D40CF"/>
    <w:rsid w:val="009D4260"/>
    <w:rsid w:val="009D4345"/>
    <w:rsid w:val="009D4A43"/>
    <w:rsid w:val="009D4BDA"/>
    <w:rsid w:val="009D54B7"/>
    <w:rsid w:val="009D6382"/>
    <w:rsid w:val="009E0039"/>
    <w:rsid w:val="009E0074"/>
    <w:rsid w:val="009E07CA"/>
    <w:rsid w:val="009E0BDB"/>
    <w:rsid w:val="009E12A5"/>
    <w:rsid w:val="009E289E"/>
    <w:rsid w:val="009E2B07"/>
    <w:rsid w:val="009E3DC3"/>
    <w:rsid w:val="009E4321"/>
    <w:rsid w:val="009E4413"/>
    <w:rsid w:val="009E4442"/>
    <w:rsid w:val="009E4552"/>
    <w:rsid w:val="009E4CE8"/>
    <w:rsid w:val="009E50CF"/>
    <w:rsid w:val="009E5464"/>
    <w:rsid w:val="009E55F5"/>
    <w:rsid w:val="009E564C"/>
    <w:rsid w:val="009E5CEA"/>
    <w:rsid w:val="009E6132"/>
    <w:rsid w:val="009E635C"/>
    <w:rsid w:val="009E6514"/>
    <w:rsid w:val="009E67AE"/>
    <w:rsid w:val="009E6817"/>
    <w:rsid w:val="009E6BBA"/>
    <w:rsid w:val="009E6CDE"/>
    <w:rsid w:val="009E767E"/>
    <w:rsid w:val="009F0C6F"/>
    <w:rsid w:val="009F1526"/>
    <w:rsid w:val="009F3925"/>
    <w:rsid w:val="009F4309"/>
    <w:rsid w:val="009F4313"/>
    <w:rsid w:val="009F454A"/>
    <w:rsid w:val="009F4576"/>
    <w:rsid w:val="009F493E"/>
    <w:rsid w:val="009F5EC6"/>
    <w:rsid w:val="009F7726"/>
    <w:rsid w:val="009F7752"/>
    <w:rsid w:val="009F7D9B"/>
    <w:rsid w:val="00A005C0"/>
    <w:rsid w:val="00A007AA"/>
    <w:rsid w:val="00A009B2"/>
    <w:rsid w:val="00A01922"/>
    <w:rsid w:val="00A01E68"/>
    <w:rsid w:val="00A020CE"/>
    <w:rsid w:val="00A03241"/>
    <w:rsid w:val="00A03243"/>
    <w:rsid w:val="00A03BA9"/>
    <w:rsid w:val="00A03EF2"/>
    <w:rsid w:val="00A040D8"/>
    <w:rsid w:val="00A041B8"/>
    <w:rsid w:val="00A04600"/>
    <w:rsid w:val="00A04ADB"/>
    <w:rsid w:val="00A05C75"/>
    <w:rsid w:val="00A05D70"/>
    <w:rsid w:val="00A06648"/>
    <w:rsid w:val="00A069F7"/>
    <w:rsid w:val="00A07B5F"/>
    <w:rsid w:val="00A07BA1"/>
    <w:rsid w:val="00A07C60"/>
    <w:rsid w:val="00A1009F"/>
    <w:rsid w:val="00A1019E"/>
    <w:rsid w:val="00A112B1"/>
    <w:rsid w:val="00A12C87"/>
    <w:rsid w:val="00A13345"/>
    <w:rsid w:val="00A13ADF"/>
    <w:rsid w:val="00A142B9"/>
    <w:rsid w:val="00A15858"/>
    <w:rsid w:val="00A15A3A"/>
    <w:rsid w:val="00A15ED5"/>
    <w:rsid w:val="00A16670"/>
    <w:rsid w:val="00A16FB9"/>
    <w:rsid w:val="00A1731D"/>
    <w:rsid w:val="00A17B31"/>
    <w:rsid w:val="00A20715"/>
    <w:rsid w:val="00A21B7E"/>
    <w:rsid w:val="00A220C9"/>
    <w:rsid w:val="00A23030"/>
    <w:rsid w:val="00A2493B"/>
    <w:rsid w:val="00A249B0"/>
    <w:rsid w:val="00A2566F"/>
    <w:rsid w:val="00A25773"/>
    <w:rsid w:val="00A2580A"/>
    <w:rsid w:val="00A25DDB"/>
    <w:rsid w:val="00A261DF"/>
    <w:rsid w:val="00A271A7"/>
    <w:rsid w:val="00A2726A"/>
    <w:rsid w:val="00A2745D"/>
    <w:rsid w:val="00A303DD"/>
    <w:rsid w:val="00A30425"/>
    <w:rsid w:val="00A30615"/>
    <w:rsid w:val="00A3070A"/>
    <w:rsid w:val="00A30A1E"/>
    <w:rsid w:val="00A30DCB"/>
    <w:rsid w:val="00A311BE"/>
    <w:rsid w:val="00A31865"/>
    <w:rsid w:val="00A31B83"/>
    <w:rsid w:val="00A31FA2"/>
    <w:rsid w:val="00A321F0"/>
    <w:rsid w:val="00A32548"/>
    <w:rsid w:val="00A327D0"/>
    <w:rsid w:val="00A3340C"/>
    <w:rsid w:val="00A338A2"/>
    <w:rsid w:val="00A34B15"/>
    <w:rsid w:val="00A35945"/>
    <w:rsid w:val="00A359FA"/>
    <w:rsid w:val="00A35BC8"/>
    <w:rsid w:val="00A360ED"/>
    <w:rsid w:val="00A364FF"/>
    <w:rsid w:val="00A3748C"/>
    <w:rsid w:val="00A378D2"/>
    <w:rsid w:val="00A37950"/>
    <w:rsid w:val="00A37974"/>
    <w:rsid w:val="00A37B9C"/>
    <w:rsid w:val="00A40266"/>
    <w:rsid w:val="00A40D48"/>
    <w:rsid w:val="00A417E1"/>
    <w:rsid w:val="00A41B60"/>
    <w:rsid w:val="00A41B75"/>
    <w:rsid w:val="00A42193"/>
    <w:rsid w:val="00A42463"/>
    <w:rsid w:val="00A4260F"/>
    <w:rsid w:val="00A4334D"/>
    <w:rsid w:val="00A44D0B"/>
    <w:rsid w:val="00A4502D"/>
    <w:rsid w:val="00A45664"/>
    <w:rsid w:val="00A4589A"/>
    <w:rsid w:val="00A45D21"/>
    <w:rsid w:val="00A4645F"/>
    <w:rsid w:val="00A46ED6"/>
    <w:rsid w:val="00A47607"/>
    <w:rsid w:val="00A47BEE"/>
    <w:rsid w:val="00A518BE"/>
    <w:rsid w:val="00A51FBC"/>
    <w:rsid w:val="00A527B4"/>
    <w:rsid w:val="00A52860"/>
    <w:rsid w:val="00A536F4"/>
    <w:rsid w:val="00A53DE7"/>
    <w:rsid w:val="00A544B7"/>
    <w:rsid w:val="00A547B1"/>
    <w:rsid w:val="00A5486D"/>
    <w:rsid w:val="00A54AD9"/>
    <w:rsid w:val="00A552E9"/>
    <w:rsid w:val="00A55302"/>
    <w:rsid w:val="00A559C4"/>
    <w:rsid w:val="00A564E7"/>
    <w:rsid w:val="00A5669B"/>
    <w:rsid w:val="00A56711"/>
    <w:rsid w:val="00A56E57"/>
    <w:rsid w:val="00A57D65"/>
    <w:rsid w:val="00A60035"/>
    <w:rsid w:val="00A602C7"/>
    <w:rsid w:val="00A60751"/>
    <w:rsid w:val="00A60926"/>
    <w:rsid w:val="00A6094E"/>
    <w:rsid w:val="00A609B2"/>
    <w:rsid w:val="00A61823"/>
    <w:rsid w:val="00A621AD"/>
    <w:rsid w:val="00A62F6D"/>
    <w:rsid w:val="00A63003"/>
    <w:rsid w:val="00A63AE7"/>
    <w:rsid w:val="00A63DD0"/>
    <w:rsid w:val="00A64322"/>
    <w:rsid w:val="00A6469D"/>
    <w:rsid w:val="00A64700"/>
    <w:rsid w:val="00A652B0"/>
    <w:rsid w:val="00A6545C"/>
    <w:rsid w:val="00A660CB"/>
    <w:rsid w:val="00A66345"/>
    <w:rsid w:val="00A663E6"/>
    <w:rsid w:val="00A66AFB"/>
    <w:rsid w:val="00A66B3C"/>
    <w:rsid w:val="00A66FBF"/>
    <w:rsid w:val="00A6746B"/>
    <w:rsid w:val="00A67EF9"/>
    <w:rsid w:val="00A70347"/>
    <w:rsid w:val="00A7079C"/>
    <w:rsid w:val="00A709DE"/>
    <w:rsid w:val="00A70DE2"/>
    <w:rsid w:val="00A71046"/>
    <w:rsid w:val="00A723FC"/>
    <w:rsid w:val="00A72857"/>
    <w:rsid w:val="00A72A38"/>
    <w:rsid w:val="00A72CD8"/>
    <w:rsid w:val="00A73265"/>
    <w:rsid w:val="00A73680"/>
    <w:rsid w:val="00A73830"/>
    <w:rsid w:val="00A74156"/>
    <w:rsid w:val="00A749BE"/>
    <w:rsid w:val="00A75152"/>
    <w:rsid w:val="00A7543B"/>
    <w:rsid w:val="00A75652"/>
    <w:rsid w:val="00A7622D"/>
    <w:rsid w:val="00A763B8"/>
    <w:rsid w:val="00A765CD"/>
    <w:rsid w:val="00A76740"/>
    <w:rsid w:val="00A76958"/>
    <w:rsid w:val="00A76AFE"/>
    <w:rsid w:val="00A76BCA"/>
    <w:rsid w:val="00A76EEA"/>
    <w:rsid w:val="00A77019"/>
    <w:rsid w:val="00A77C92"/>
    <w:rsid w:val="00A77E0F"/>
    <w:rsid w:val="00A77EFE"/>
    <w:rsid w:val="00A8228C"/>
    <w:rsid w:val="00A83317"/>
    <w:rsid w:val="00A838B0"/>
    <w:rsid w:val="00A8407A"/>
    <w:rsid w:val="00A84451"/>
    <w:rsid w:val="00A84499"/>
    <w:rsid w:val="00A848B1"/>
    <w:rsid w:val="00A84E84"/>
    <w:rsid w:val="00A8510C"/>
    <w:rsid w:val="00A860AC"/>
    <w:rsid w:val="00A863ED"/>
    <w:rsid w:val="00A8647E"/>
    <w:rsid w:val="00A866F2"/>
    <w:rsid w:val="00A86A9B"/>
    <w:rsid w:val="00A87045"/>
    <w:rsid w:val="00A87875"/>
    <w:rsid w:val="00A87DC1"/>
    <w:rsid w:val="00A9052B"/>
    <w:rsid w:val="00A909B6"/>
    <w:rsid w:val="00A90A31"/>
    <w:rsid w:val="00A90F80"/>
    <w:rsid w:val="00A92049"/>
    <w:rsid w:val="00A9268A"/>
    <w:rsid w:val="00A92732"/>
    <w:rsid w:val="00A93775"/>
    <w:rsid w:val="00A94128"/>
    <w:rsid w:val="00A9415C"/>
    <w:rsid w:val="00A94205"/>
    <w:rsid w:val="00A94E49"/>
    <w:rsid w:val="00A94FA4"/>
    <w:rsid w:val="00A95511"/>
    <w:rsid w:val="00A95754"/>
    <w:rsid w:val="00A95907"/>
    <w:rsid w:val="00A96396"/>
    <w:rsid w:val="00A96C8B"/>
    <w:rsid w:val="00A971AC"/>
    <w:rsid w:val="00A97803"/>
    <w:rsid w:val="00AA0045"/>
    <w:rsid w:val="00AA05FA"/>
    <w:rsid w:val="00AA14A4"/>
    <w:rsid w:val="00AA1713"/>
    <w:rsid w:val="00AA23DD"/>
    <w:rsid w:val="00AA2471"/>
    <w:rsid w:val="00AA267F"/>
    <w:rsid w:val="00AA2708"/>
    <w:rsid w:val="00AA27F2"/>
    <w:rsid w:val="00AA2924"/>
    <w:rsid w:val="00AA2AB3"/>
    <w:rsid w:val="00AA2C9D"/>
    <w:rsid w:val="00AA32B2"/>
    <w:rsid w:val="00AA34E0"/>
    <w:rsid w:val="00AA37BB"/>
    <w:rsid w:val="00AA3EB4"/>
    <w:rsid w:val="00AA4514"/>
    <w:rsid w:val="00AA45A5"/>
    <w:rsid w:val="00AA4933"/>
    <w:rsid w:val="00AA500F"/>
    <w:rsid w:val="00AA53FF"/>
    <w:rsid w:val="00AA6EE2"/>
    <w:rsid w:val="00AA740F"/>
    <w:rsid w:val="00AA76E9"/>
    <w:rsid w:val="00AA7E7E"/>
    <w:rsid w:val="00AB0074"/>
    <w:rsid w:val="00AB0E34"/>
    <w:rsid w:val="00AB1105"/>
    <w:rsid w:val="00AB163C"/>
    <w:rsid w:val="00AB1EF4"/>
    <w:rsid w:val="00AB1F9E"/>
    <w:rsid w:val="00AB2F44"/>
    <w:rsid w:val="00AB2FDE"/>
    <w:rsid w:val="00AB2FEB"/>
    <w:rsid w:val="00AB3369"/>
    <w:rsid w:val="00AB39E7"/>
    <w:rsid w:val="00AB4334"/>
    <w:rsid w:val="00AB4877"/>
    <w:rsid w:val="00AB4D23"/>
    <w:rsid w:val="00AB5567"/>
    <w:rsid w:val="00AB5622"/>
    <w:rsid w:val="00AB58B6"/>
    <w:rsid w:val="00AB5B8D"/>
    <w:rsid w:val="00AB5E43"/>
    <w:rsid w:val="00AB5F88"/>
    <w:rsid w:val="00AB6026"/>
    <w:rsid w:val="00AB68D9"/>
    <w:rsid w:val="00AB6C5D"/>
    <w:rsid w:val="00AB713D"/>
    <w:rsid w:val="00AB7204"/>
    <w:rsid w:val="00AB7307"/>
    <w:rsid w:val="00AB73E0"/>
    <w:rsid w:val="00AB7557"/>
    <w:rsid w:val="00AB7683"/>
    <w:rsid w:val="00AB7E03"/>
    <w:rsid w:val="00AC04DC"/>
    <w:rsid w:val="00AC060A"/>
    <w:rsid w:val="00AC06C7"/>
    <w:rsid w:val="00AC114A"/>
    <w:rsid w:val="00AC11D7"/>
    <w:rsid w:val="00AC1E59"/>
    <w:rsid w:val="00AC2057"/>
    <w:rsid w:val="00AC2390"/>
    <w:rsid w:val="00AC23D6"/>
    <w:rsid w:val="00AC2609"/>
    <w:rsid w:val="00AC3689"/>
    <w:rsid w:val="00AC3843"/>
    <w:rsid w:val="00AC395F"/>
    <w:rsid w:val="00AC3A6D"/>
    <w:rsid w:val="00AC3ED4"/>
    <w:rsid w:val="00AC43AF"/>
    <w:rsid w:val="00AC494F"/>
    <w:rsid w:val="00AC522C"/>
    <w:rsid w:val="00AC54F2"/>
    <w:rsid w:val="00AC552A"/>
    <w:rsid w:val="00AC55B4"/>
    <w:rsid w:val="00AC55D1"/>
    <w:rsid w:val="00AC57D6"/>
    <w:rsid w:val="00AC617F"/>
    <w:rsid w:val="00AC6234"/>
    <w:rsid w:val="00AC76B1"/>
    <w:rsid w:val="00AC76C7"/>
    <w:rsid w:val="00AD02FB"/>
    <w:rsid w:val="00AD03C4"/>
    <w:rsid w:val="00AD0B4B"/>
    <w:rsid w:val="00AD0C62"/>
    <w:rsid w:val="00AD141B"/>
    <w:rsid w:val="00AD1424"/>
    <w:rsid w:val="00AD14C6"/>
    <w:rsid w:val="00AD1E02"/>
    <w:rsid w:val="00AD1F57"/>
    <w:rsid w:val="00AD2674"/>
    <w:rsid w:val="00AD2A6B"/>
    <w:rsid w:val="00AD2DFE"/>
    <w:rsid w:val="00AD35C6"/>
    <w:rsid w:val="00AD3AE5"/>
    <w:rsid w:val="00AD3D43"/>
    <w:rsid w:val="00AD490C"/>
    <w:rsid w:val="00AD4A1E"/>
    <w:rsid w:val="00AD4A35"/>
    <w:rsid w:val="00AD4C75"/>
    <w:rsid w:val="00AD5F58"/>
    <w:rsid w:val="00AD687D"/>
    <w:rsid w:val="00AD70EB"/>
    <w:rsid w:val="00AD715E"/>
    <w:rsid w:val="00AD7991"/>
    <w:rsid w:val="00AD7F0E"/>
    <w:rsid w:val="00AD7F9A"/>
    <w:rsid w:val="00AD7FD6"/>
    <w:rsid w:val="00AE0169"/>
    <w:rsid w:val="00AE067B"/>
    <w:rsid w:val="00AE1175"/>
    <w:rsid w:val="00AE1295"/>
    <w:rsid w:val="00AE153E"/>
    <w:rsid w:val="00AE1703"/>
    <w:rsid w:val="00AE1831"/>
    <w:rsid w:val="00AE2D0A"/>
    <w:rsid w:val="00AE364B"/>
    <w:rsid w:val="00AE39D9"/>
    <w:rsid w:val="00AE4068"/>
    <w:rsid w:val="00AE4ADA"/>
    <w:rsid w:val="00AE4EA7"/>
    <w:rsid w:val="00AE4FC9"/>
    <w:rsid w:val="00AE50E2"/>
    <w:rsid w:val="00AE52FA"/>
    <w:rsid w:val="00AE6636"/>
    <w:rsid w:val="00AE681E"/>
    <w:rsid w:val="00AE6C43"/>
    <w:rsid w:val="00AE72F1"/>
    <w:rsid w:val="00AE77B9"/>
    <w:rsid w:val="00AE7D11"/>
    <w:rsid w:val="00AE7D24"/>
    <w:rsid w:val="00AF0FBE"/>
    <w:rsid w:val="00AF116C"/>
    <w:rsid w:val="00AF1A4B"/>
    <w:rsid w:val="00AF26B8"/>
    <w:rsid w:val="00AF26C2"/>
    <w:rsid w:val="00AF2A14"/>
    <w:rsid w:val="00AF2D0D"/>
    <w:rsid w:val="00AF3205"/>
    <w:rsid w:val="00AF3405"/>
    <w:rsid w:val="00AF3501"/>
    <w:rsid w:val="00AF3B86"/>
    <w:rsid w:val="00AF40F7"/>
    <w:rsid w:val="00AF431C"/>
    <w:rsid w:val="00AF5CAE"/>
    <w:rsid w:val="00AF6047"/>
    <w:rsid w:val="00AF6487"/>
    <w:rsid w:val="00AF6647"/>
    <w:rsid w:val="00AF67AB"/>
    <w:rsid w:val="00AF6897"/>
    <w:rsid w:val="00AF6BE2"/>
    <w:rsid w:val="00AF715F"/>
    <w:rsid w:val="00AF73CD"/>
    <w:rsid w:val="00B00577"/>
    <w:rsid w:val="00B00639"/>
    <w:rsid w:val="00B00AE8"/>
    <w:rsid w:val="00B00DB1"/>
    <w:rsid w:val="00B00E99"/>
    <w:rsid w:val="00B01136"/>
    <w:rsid w:val="00B011D5"/>
    <w:rsid w:val="00B0174C"/>
    <w:rsid w:val="00B01DFF"/>
    <w:rsid w:val="00B0233D"/>
    <w:rsid w:val="00B02513"/>
    <w:rsid w:val="00B030B4"/>
    <w:rsid w:val="00B031E5"/>
    <w:rsid w:val="00B03640"/>
    <w:rsid w:val="00B03A84"/>
    <w:rsid w:val="00B045D3"/>
    <w:rsid w:val="00B04953"/>
    <w:rsid w:val="00B04C31"/>
    <w:rsid w:val="00B04F8E"/>
    <w:rsid w:val="00B05329"/>
    <w:rsid w:val="00B05360"/>
    <w:rsid w:val="00B057DE"/>
    <w:rsid w:val="00B05A9B"/>
    <w:rsid w:val="00B05F2B"/>
    <w:rsid w:val="00B06375"/>
    <w:rsid w:val="00B0644F"/>
    <w:rsid w:val="00B06539"/>
    <w:rsid w:val="00B06738"/>
    <w:rsid w:val="00B0739A"/>
    <w:rsid w:val="00B075F3"/>
    <w:rsid w:val="00B10233"/>
    <w:rsid w:val="00B102AB"/>
    <w:rsid w:val="00B1036B"/>
    <w:rsid w:val="00B103E0"/>
    <w:rsid w:val="00B10B42"/>
    <w:rsid w:val="00B11027"/>
    <w:rsid w:val="00B113BB"/>
    <w:rsid w:val="00B114C0"/>
    <w:rsid w:val="00B11ED6"/>
    <w:rsid w:val="00B1319D"/>
    <w:rsid w:val="00B13ABD"/>
    <w:rsid w:val="00B13D0D"/>
    <w:rsid w:val="00B14483"/>
    <w:rsid w:val="00B145E8"/>
    <w:rsid w:val="00B1468B"/>
    <w:rsid w:val="00B164BA"/>
    <w:rsid w:val="00B16741"/>
    <w:rsid w:val="00B16794"/>
    <w:rsid w:val="00B16D56"/>
    <w:rsid w:val="00B17BDF"/>
    <w:rsid w:val="00B20915"/>
    <w:rsid w:val="00B21108"/>
    <w:rsid w:val="00B213E2"/>
    <w:rsid w:val="00B2162F"/>
    <w:rsid w:val="00B21DBE"/>
    <w:rsid w:val="00B24174"/>
    <w:rsid w:val="00B24615"/>
    <w:rsid w:val="00B24A38"/>
    <w:rsid w:val="00B24E03"/>
    <w:rsid w:val="00B25090"/>
    <w:rsid w:val="00B25483"/>
    <w:rsid w:val="00B25845"/>
    <w:rsid w:val="00B26499"/>
    <w:rsid w:val="00B26EC9"/>
    <w:rsid w:val="00B27096"/>
    <w:rsid w:val="00B27164"/>
    <w:rsid w:val="00B271A9"/>
    <w:rsid w:val="00B27329"/>
    <w:rsid w:val="00B2743B"/>
    <w:rsid w:val="00B275EB"/>
    <w:rsid w:val="00B27F84"/>
    <w:rsid w:val="00B27FCA"/>
    <w:rsid w:val="00B306A8"/>
    <w:rsid w:val="00B311FC"/>
    <w:rsid w:val="00B314DF"/>
    <w:rsid w:val="00B315DC"/>
    <w:rsid w:val="00B31A21"/>
    <w:rsid w:val="00B3214E"/>
    <w:rsid w:val="00B32598"/>
    <w:rsid w:val="00B3284E"/>
    <w:rsid w:val="00B32D0B"/>
    <w:rsid w:val="00B33537"/>
    <w:rsid w:val="00B33D96"/>
    <w:rsid w:val="00B34E26"/>
    <w:rsid w:val="00B34EFF"/>
    <w:rsid w:val="00B34F01"/>
    <w:rsid w:val="00B35B72"/>
    <w:rsid w:val="00B35F85"/>
    <w:rsid w:val="00B36AFE"/>
    <w:rsid w:val="00B415D6"/>
    <w:rsid w:val="00B41AD9"/>
    <w:rsid w:val="00B41BFE"/>
    <w:rsid w:val="00B42574"/>
    <w:rsid w:val="00B429BA"/>
    <w:rsid w:val="00B43818"/>
    <w:rsid w:val="00B43872"/>
    <w:rsid w:val="00B439ED"/>
    <w:rsid w:val="00B43B1C"/>
    <w:rsid w:val="00B43F81"/>
    <w:rsid w:val="00B44092"/>
    <w:rsid w:val="00B44492"/>
    <w:rsid w:val="00B44C15"/>
    <w:rsid w:val="00B4651C"/>
    <w:rsid w:val="00B47477"/>
    <w:rsid w:val="00B47665"/>
    <w:rsid w:val="00B47B88"/>
    <w:rsid w:val="00B47EC2"/>
    <w:rsid w:val="00B51C3A"/>
    <w:rsid w:val="00B51C6A"/>
    <w:rsid w:val="00B53CE1"/>
    <w:rsid w:val="00B53ED8"/>
    <w:rsid w:val="00B53EEC"/>
    <w:rsid w:val="00B5419D"/>
    <w:rsid w:val="00B55412"/>
    <w:rsid w:val="00B55902"/>
    <w:rsid w:val="00B5625D"/>
    <w:rsid w:val="00B564E1"/>
    <w:rsid w:val="00B57BCD"/>
    <w:rsid w:val="00B57EDB"/>
    <w:rsid w:val="00B613D4"/>
    <w:rsid w:val="00B6180E"/>
    <w:rsid w:val="00B620AE"/>
    <w:rsid w:val="00B621A4"/>
    <w:rsid w:val="00B63014"/>
    <w:rsid w:val="00B63E87"/>
    <w:rsid w:val="00B641F9"/>
    <w:rsid w:val="00B6475B"/>
    <w:rsid w:val="00B64E00"/>
    <w:rsid w:val="00B6532B"/>
    <w:rsid w:val="00B6533B"/>
    <w:rsid w:val="00B65C34"/>
    <w:rsid w:val="00B65D86"/>
    <w:rsid w:val="00B664BA"/>
    <w:rsid w:val="00B66EBD"/>
    <w:rsid w:val="00B6746C"/>
    <w:rsid w:val="00B67CD6"/>
    <w:rsid w:val="00B7036B"/>
    <w:rsid w:val="00B70C43"/>
    <w:rsid w:val="00B7155A"/>
    <w:rsid w:val="00B71706"/>
    <w:rsid w:val="00B71855"/>
    <w:rsid w:val="00B71B38"/>
    <w:rsid w:val="00B72158"/>
    <w:rsid w:val="00B72F13"/>
    <w:rsid w:val="00B73318"/>
    <w:rsid w:val="00B73C22"/>
    <w:rsid w:val="00B73DB9"/>
    <w:rsid w:val="00B741BE"/>
    <w:rsid w:val="00B74537"/>
    <w:rsid w:val="00B74720"/>
    <w:rsid w:val="00B74785"/>
    <w:rsid w:val="00B74AEA"/>
    <w:rsid w:val="00B75230"/>
    <w:rsid w:val="00B75D6A"/>
    <w:rsid w:val="00B76284"/>
    <w:rsid w:val="00B7639C"/>
    <w:rsid w:val="00B775D3"/>
    <w:rsid w:val="00B77EC1"/>
    <w:rsid w:val="00B801D3"/>
    <w:rsid w:val="00B80228"/>
    <w:rsid w:val="00B8093D"/>
    <w:rsid w:val="00B80C60"/>
    <w:rsid w:val="00B80F95"/>
    <w:rsid w:val="00B81877"/>
    <w:rsid w:val="00B81BF7"/>
    <w:rsid w:val="00B81F6C"/>
    <w:rsid w:val="00B83220"/>
    <w:rsid w:val="00B832BF"/>
    <w:rsid w:val="00B84746"/>
    <w:rsid w:val="00B851F5"/>
    <w:rsid w:val="00B85AE8"/>
    <w:rsid w:val="00B85E6A"/>
    <w:rsid w:val="00B85F5C"/>
    <w:rsid w:val="00B86049"/>
    <w:rsid w:val="00B86AD7"/>
    <w:rsid w:val="00B86BB2"/>
    <w:rsid w:val="00B8788B"/>
    <w:rsid w:val="00B9075D"/>
    <w:rsid w:val="00B910C3"/>
    <w:rsid w:val="00B913D6"/>
    <w:rsid w:val="00B91A56"/>
    <w:rsid w:val="00B9296A"/>
    <w:rsid w:val="00B9340A"/>
    <w:rsid w:val="00B93547"/>
    <w:rsid w:val="00B935F2"/>
    <w:rsid w:val="00B93602"/>
    <w:rsid w:val="00B93615"/>
    <w:rsid w:val="00B938E9"/>
    <w:rsid w:val="00B9395A"/>
    <w:rsid w:val="00B93D4A"/>
    <w:rsid w:val="00B9439F"/>
    <w:rsid w:val="00B950EB"/>
    <w:rsid w:val="00B964E1"/>
    <w:rsid w:val="00B96C3E"/>
    <w:rsid w:val="00B96CAE"/>
    <w:rsid w:val="00B96CCB"/>
    <w:rsid w:val="00B96E5D"/>
    <w:rsid w:val="00B96F50"/>
    <w:rsid w:val="00B970ED"/>
    <w:rsid w:val="00B97292"/>
    <w:rsid w:val="00B972D6"/>
    <w:rsid w:val="00B9747B"/>
    <w:rsid w:val="00BA0C41"/>
    <w:rsid w:val="00BA1271"/>
    <w:rsid w:val="00BA1CF9"/>
    <w:rsid w:val="00BA1E66"/>
    <w:rsid w:val="00BA211F"/>
    <w:rsid w:val="00BA220A"/>
    <w:rsid w:val="00BA2AEF"/>
    <w:rsid w:val="00BA3B4F"/>
    <w:rsid w:val="00BA4449"/>
    <w:rsid w:val="00BA46FB"/>
    <w:rsid w:val="00BA4FBC"/>
    <w:rsid w:val="00BA6665"/>
    <w:rsid w:val="00BA6913"/>
    <w:rsid w:val="00BA6B58"/>
    <w:rsid w:val="00BA6FC9"/>
    <w:rsid w:val="00BB0082"/>
    <w:rsid w:val="00BB010C"/>
    <w:rsid w:val="00BB0DEB"/>
    <w:rsid w:val="00BB0FBA"/>
    <w:rsid w:val="00BB153E"/>
    <w:rsid w:val="00BB177D"/>
    <w:rsid w:val="00BB2016"/>
    <w:rsid w:val="00BB2B63"/>
    <w:rsid w:val="00BB3070"/>
    <w:rsid w:val="00BB33FF"/>
    <w:rsid w:val="00BB379B"/>
    <w:rsid w:val="00BB38C0"/>
    <w:rsid w:val="00BB4324"/>
    <w:rsid w:val="00BB4789"/>
    <w:rsid w:val="00BB485F"/>
    <w:rsid w:val="00BB4E19"/>
    <w:rsid w:val="00BB5543"/>
    <w:rsid w:val="00BB5F7B"/>
    <w:rsid w:val="00BC06B2"/>
    <w:rsid w:val="00BC1D09"/>
    <w:rsid w:val="00BC24AD"/>
    <w:rsid w:val="00BC25E2"/>
    <w:rsid w:val="00BC322B"/>
    <w:rsid w:val="00BC356E"/>
    <w:rsid w:val="00BC3998"/>
    <w:rsid w:val="00BC3F18"/>
    <w:rsid w:val="00BC4B74"/>
    <w:rsid w:val="00BC4C68"/>
    <w:rsid w:val="00BC4D60"/>
    <w:rsid w:val="00BC54F6"/>
    <w:rsid w:val="00BC6071"/>
    <w:rsid w:val="00BC67AD"/>
    <w:rsid w:val="00BC6A87"/>
    <w:rsid w:val="00BC6D30"/>
    <w:rsid w:val="00BC7903"/>
    <w:rsid w:val="00BC7963"/>
    <w:rsid w:val="00BC7A34"/>
    <w:rsid w:val="00BC7C81"/>
    <w:rsid w:val="00BC7FC1"/>
    <w:rsid w:val="00BD036C"/>
    <w:rsid w:val="00BD07D2"/>
    <w:rsid w:val="00BD099F"/>
    <w:rsid w:val="00BD1294"/>
    <w:rsid w:val="00BD135D"/>
    <w:rsid w:val="00BD2F94"/>
    <w:rsid w:val="00BD32D7"/>
    <w:rsid w:val="00BD36E6"/>
    <w:rsid w:val="00BD372B"/>
    <w:rsid w:val="00BD3797"/>
    <w:rsid w:val="00BD3A6C"/>
    <w:rsid w:val="00BD4978"/>
    <w:rsid w:val="00BD4E22"/>
    <w:rsid w:val="00BD4EB1"/>
    <w:rsid w:val="00BD5D29"/>
    <w:rsid w:val="00BD6B28"/>
    <w:rsid w:val="00BE0145"/>
    <w:rsid w:val="00BE0E73"/>
    <w:rsid w:val="00BE153C"/>
    <w:rsid w:val="00BE18B7"/>
    <w:rsid w:val="00BE191B"/>
    <w:rsid w:val="00BE19DB"/>
    <w:rsid w:val="00BE1FF5"/>
    <w:rsid w:val="00BE2052"/>
    <w:rsid w:val="00BE26A8"/>
    <w:rsid w:val="00BE277D"/>
    <w:rsid w:val="00BE2969"/>
    <w:rsid w:val="00BE2ECA"/>
    <w:rsid w:val="00BE3073"/>
    <w:rsid w:val="00BE308A"/>
    <w:rsid w:val="00BE3C7F"/>
    <w:rsid w:val="00BE3D0D"/>
    <w:rsid w:val="00BE3D7C"/>
    <w:rsid w:val="00BE41A0"/>
    <w:rsid w:val="00BE492A"/>
    <w:rsid w:val="00BE6156"/>
    <w:rsid w:val="00BE65CA"/>
    <w:rsid w:val="00BE72F5"/>
    <w:rsid w:val="00BE7ADA"/>
    <w:rsid w:val="00BE7FE5"/>
    <w:rsid w:val="00BF042B"/>
    <w:rsid w:val="00BF054D"/>
    <w:rsid w:val="00BF0A61"/>
    <w:rsid w:val="00BF0CCE"/>
    <w:rsid w:val="00BF1836"/>
    <w:rsid w:val="00BF1C39"/>
    <w:rsid w:val="00BF232A"/>
    <w:rsid w:val="00BF2AA8"/>
    <w:rsid w:val="00BF36B3"/>
    <w:rsid w:val="00BF41B8"/>
    <w:rsid w:val="00BF428E"/>
    <w:rsid w:val="00BF440D"/>
    <w:rsid w:val="00BF4845"/>
    <w:rsid w:val="00BF5BA7"/>
    <w:rsid w:val="00BF5E22"/>
    <w:rsid w:val="00BF68A5"/>
    <w:rsid w:val="00BF6B37"/>
    <w:rsid w:val="00BF6EB6"/>
    <w:rsid w:val="00BF76CA"/>
    <w:rsid w:val="00BF79E1"/>
    <w:rsid w:val="00BF7E39"/>
    <w:rsid w:val="00BF7FD4"/>
    <w:rsid w:val="00C00097"/>
    <w:rsid w:val="00C00258"/>
    <w:rsid w:val="00C00751"/>
    <w:rsid w:val="00C00BEB"/>
    <w:rsid w:val="00C0105C"/>
    <w:rsid w:val="00C016C6"/>
    <w:rsid w:val="00C016C7"/>
    <w:rsid w:val="00C0198B"/>
    <w:rsid w:val="00C01A29"/>
    <w:rsid w:val="00C01B2B"/>
    <w:rsid w:val="00C02122"/>
    <w:rsid w:val="00C0255C"/>
    <w:rsid w:val="00C0280E"/>
    <w:rsid w:val="00C02A35"/>
    <w:rsid w:val="00C02C15"/>
    <w:rsid w:val="00C030AF"/>
    <w:rsid w:val="00C03454"/>
    <w:rsid w:val="00C03E2F"/>
    <w:rsid w:val="00C03F52"/>
    <w:rsid w:val="00C050F6"/>
    <w:rsid w:val="00C0535C"/>
    <w:rsid w:val="00C05E4D"/>
    <w:rsid w:val="00C061D0"/>
    <w:rsid w:val="00C06825"/>
    <w:rsid w:val="00C0686C"/>
    <w:rsid w:val="00C0694C"/>
    <w:rsid w:val="00C06F3D"/>
    <w:rsid w:val="00C07346"/>
    <w:rsid w:val="00C0734F"/>
    <w:rsid w:val="00C07BF8"/>
    <w:rsid w:val="00C07D77"/>
    <w:rsid w:val="00C07E6B"/>
    <w:rsid w:val="00C111CD"/>
    <w:rsid w:val="00C11FE2"/>
    <w:rsid w:val="00C1254B"/>
    <w:rsid w:val="00C128E6"/>
    <w:rsid w:val="00C12D18"/>
    <w:rsid w:val="00C12DAD"/>
    <w:rsid w:val="00C12E78"/>
    <w:rsid w:val="00C12F35"/>
    <w:rsid w:val="00C13696"/>
    <w:rsid w:val="00C13C84"/>
    <w:rsid w:val="00C14473"/>
    <w:rsid w:val="00C14573"/>
    <w:rsid w:val="00C14722"/>
    <w:rsid w:val="00C157ED"/>
    <w:rsid w:val="00C15AD3"/>
    <w:rsid w:val="00C15BD2"/>
    <w:rsid w:val="00C15ECC"/>
    <w:rsid w:val="00C15F3D"/>
    <w:rsid w:val="00C167CA"/>
    <w:rsid w:val="00C171D4"/>
    <w:rsid w:val="00C1722F"/>
    <w:rsid w:val="00C1753D"/>
    <w:rsid w:val="00C203DE"/>
    <w:rsid w:val="00C20E75"/>
    <w:rsid w:val="00C2179E"/>
    <w:rsid w:val="00C218D6"/>
    <w:rsid w:val="00C2203B"/>
    <w:rsid w:val="00C22072"/>
    <w:rsid w:val="00C2214B"/>
    <w:rsid w:val="00C22242"/>
    <w:rsid w:val="00C22260"/>
    <w:rsid w:val="00C222E5"/>
    <w:rsid w:val="00C2246E"/>
    <w:rsid w:val="00C22AE4"/>
    <w:rsid w:val="00C2324B"/>
    <w:rsid w:val="00C2351C"/>
    <w:rsid w:val="00C23EB8"/>
    <w:rsid w:val="00C23EC6"/>
    <w:rsid w:val="00C247ED"/>
    <w:rsid w:val="00C24AB6"/>
    <w:rsid w:val="00C24FDE"/>
    <w:rsid w:val="00C25054"/>
    <w:rsid w:val="00C250B9"/>
    <w:rsid w:val="00C25794"/>
    <w:rsid w:val="00C25A85"/>
    <w:rsid w:val="00C25BB4"/>
    <w:rsid w:val="00C25FEF"/>
    <w:rsid w:val="00C26944"/>
    <w:rsid w:val="00C3033A"/>
    <w:rsid w:val="00C3051F"/>
    <w:rsid w:val="00C315C4"/>
    <w:rsid w:val="00C320BE"/>
    <w:rsid w:val="00C32292"/>
    <w:rsid w:val="00C32477"/>
    <w:rsid w:val="00C330FA"/>
    <w:rsid w:val="00C3351D"/>
    <w:rsid w:val="00C33BC0"/>
    <w:rsid w:val="00C340E1"/>
    <w:rsid w:val="00C341F8"/>
    <w:rsid w:val="00C34A7F"/>
    <w:rsid w:val="00C34DC4"/>
    <w:rsid w:val="00C35198"/>
    <w:rsid w:val="00C35320"/>
    <w:rsid w:val="00C35950"/>
    <w:rsid w:val="00C35B40"/>
    <w:rsid w:val="00C368C5"/>
    <w:rsid w:val="00C36D01"/>
    <w:rsid w:val="00C36E3D"/>
    <w:rsid w:val="00C36F83"/>
    <w:rsid w:val="00C371DD"/>
    <w:rsid w:val="00C375A8"/>
    <w:rsid w:val="00C37D89"/>
    <w:rsid w:val="00C40F89"/>
    <w:rsid w:val="00C418EF"/>
    <w:rsid w:val="00C41EE0"/>
    <w:rsid w:val="00C41F1F"/>
    <w:rsid w:val="00C42124"/>
    <w:rsid w:val="00C4249D"/>
    <w:rsid w:val="00C42A23"/>
    <w:rsid w:val="00C439D3"/>
    <w:rsid w:val="00C44761"/>
    <w:rsid w:val="00C45A63"/>
    <w:rsid w:val="00C45BD5"/>
    <w:rsid w:val="00C46491"/>
    <w:rsid w:val="00C46A30"/>
    <w:rsid w:val="00C47C27"/>
    <w:rsid w:val="00C50181"/>
    <w:rsid w:val="00C502DA"/>
    <w:rsid w:val="00C508D4"/>
    <w:rsid w:val="00C50E9F"/>
    <w:rsid w:val="00C519A6"/>
    <w:rsid w:val="00C51AB8"/>
    <w:rsid w:val="00C51B16"/>
    <w:rsid w:val="00C527DD"/>
    <w:rsid w:val="00C529E6"/>
    <w:rsid w:val="00C52BA2"/>
    <w:rsid w:val="00C52C13"/>
    <w:rsid w:val="00C52D53"/>
    <w:rsid w:val="00C52E2D"/>
    <w:rsid w:val="00C52E7E"/>
    <w:rsid w:val="00C5342D"/>
    <w:rsid w:val="00C5389D"/>
    <w:rsid w:val="00C53A14"/>
    <w:rsid w:val="00C5564E"/>
    <w:rsid w:val="00C55B01"/>
    <w:rsid w:val="00C55CAC"/>
    <w:rsid w:val="00C56725"/>
    <w:rsid w:val="00C57950"/>
    <w:rsid w:val="00C57A8B"/>
    <w:rsid w:val="00C6081E"/>
    <w:rsid w:val="00C60F87"/>
    <w:rsid w:val="00C61043"/>
    <w:rsid w:val="00C61C91"/>
    <w:rsid w:val="00C627AB"/>
    <w:rsid w:val="00C634C5"/>
    <w:rsid w:val="00C635B7"/>
    <w:rsid w:val="00C6380F"/>
    <w:rsid w:val="00C63B44"/>
    <w:rsid w:val="00C640F4"/>
    <w:rsid w:val="00C65CA6"/>
    <w:rsid w:val="00C65E83"/>
    <w:rsid w:val="00C660CC"/>
    <w:rsid w:val="00C666E1"/>
    <w:rsid w:val="00C66738"/>
    <w:rsid w:val="00C66E63"/>
    <w:rsid w:val="00C67429"/>
    <w:rsid w:val="00C67AA6"/>
    <w:rsid w:val="00C70336"/>
    <w:rsid w:val="00C704DD"/>
    <w:rsid w:val="00C70AA0"/>
    <w:rsid w:val="00C7194D"/>
    <w:rsid w:val="00C71C3C"/>
    <w:rsid w:val="00C71ED2"/>
    <w:rsid w:val="00C721E4"/>
    <w:rsid w:val="00C723B9"/>
    <w:rsid w:val="00C727ED"/>
    <w:rsid w:val="00C73060"/>
    <w:rsid w:val="00C73195"/>
    <w:rsid w:val="00C735AA"/>
    <w:rsid w:val="00C7376C"/>
    <w:rsid w:val="00C7404D"/>
    <w:rsid w:val="00C741D2"/>
    <w:rsid w:val="00C74BEE"/>
    <w:rsid w:val="00C74EA2"/>
    <w:rsid w:val="00C750F3"/>
    <w:rsid w:val="00C75411"/>
    <w:rsid w:val="00C75909"/>
    <w:rsid w:val="00C76727"/>
    <w:rsid w:val="00C76AF4"/>
    <w:rsid w:val="00C7753E"/>
    <w:rsid w:val="00C77641"/>
    <w:rsid w:val="00C7785D"/>
    <w:rsid w:val="00C77A2F"/>
    <w:rsid w:val="00C8114F"/>
    <w:rsid w:val="00C820C4"/>
    <w:rsid w:val="00C822BC"/>
    <w:rsid w:val="00C822CF"/>
    <w:rsid w:val="00C82DDB"/>
    <w:rsid w:val="00C8386F"/>
    <w:rsid w:val="00C841E2"/>
    <w:rsid w:val="00C84E08"/>
    <w:rsid w:val="00C84F1A"/>
    <w:rsid w:val="00C85B9F"/>
    <w:rsid w:val="00C85ED3"/>
    <w:rsid w:val="00C867B0"/>
    <w:rsid w:val="00C86823"/>
    <w:rsid w:val="00C8752F"/>
    <w:rsid w:val="00C87674"/>
    <w:rsid w:val="00C87DD9"/>
    <w:rsid w:val="00C87FCD"/>
    <w:rsid w:val="00C90022"/>
    <w:rsid w:val="00C90075"/>
    <w:rsid w:val="00C901C3"/>
    <w:rsid w:val="00C903CE"/>
    <w:rsid w:val="00C905BA"/>
    <w:rsid w:val="00C9072F"/>
    <w:rsid w:val="00C90765"/>
    <w:rsid w:val="00C90869"/>
    <w:rsid w:val="00C9185F"/>
    <w:rsid w:val="00C91874"/>
    <w:rsid w:val="00C91921"/>
    <w:rsid w:val="00C91B68"/>
    <w:rsid w:val="00C91BEE"/>
    <w:rsid w:val="00C92016"/>
    <w:rsid w:val="00C93D68"/>
    <w:rsid w:val="00C93E7A"/>
    <w:rsid w:val="00C9408D"/>
    <w:rsid w:val="00C94935"/>
    <w:rsid w:val="00C95ABB"/>
    <w:rsid w:val="00C95E83"/>
    <w:rsid w:val="00C95F01"/>
    <w:rsid w:val="00C96D20"/>
    <w:rsid w:val="00C97A51"/>
    <w:rsid w:val="00C97AA4"/>
    <w:rsid w:val="00C97E5B"/>
    <w:rsid w:val="00CA02D2"/>
    <w:rsid w:val="00CA0891"/>
    <w:rsid w:val="00CA2C2D"/>
    <w:rsid w:val="00CA30EC"/>
    <w:rsid w:val="00CA3852"/>
    <w:rsid w:val="00CA45F9"/>
    <w:rsid w:val="00CA5BF4"/>
    <w:rsid w:val="00CA628B"/>
    <w:rsid w:val="00CA6A99"/>
    <w:rsid w:val="00CA7DE0"/>
    <w:rsid w:val="00CB0516"/>
    <w:rsid w:val="00CB0713"/>
    <w:rsid w:val="00CB09F7"/>
    <w:rsid w:val="00CB0A68"/>
    <w:rsid w:val="00CB0E96"/>
    <w:rsid w:val="00CB0F0A"/>
    <w:rsid w:val="00CB1506"/>
    <w:rsid w:val="00CB174A"/>
    <w:rsid w:val="00CB1AD6"/>
    <w:rsid w:val="00CB27AA"/>
    <w:rsid w:val="00CB2936"/>
    <w:rsid w:val="00CB2E3F"/>
    <w:rsid w:val="00CB38E0"/>
    <w:rsid w:val="00CB3C8B"/>
    <w:rsid w:val="00CB5060"/>
    <w:rsid w:val="00CB53C1"/>
    <w:rsid w:val="00CB543C"/>
    <w:rsid w:val="00CB573C"/>
    <w:rsid w:val="00CB58B4"/>
    <w:rsid w:val="00CB5A72"/>
    <w:rsid w:val="00CB5D39"/>
    <w:rsid w:val="00CB6558"/>
    <w:rsid w:val="00CB685C"/>
    <w:rsid w:val="00CB7561"/>
    <w:rsid w:val="00CB767E"/>
    <w:rsid w:val="00CC1B64"/>
    <w:rsid w:val="00CC1F92"/>
    <w:rsid w:val="00CC2974"/>
    <w:rsid w:val="00CC2ADA"/>
    <w:rsid w:val="00CC2CD4"/>
    <w:rsid w:val="00CC2F3D"/>
    <w:rsid w:val="00CC3198"/>
    <w:rsid w:val="00CC413D"/>
    <w:rsid w:val="00CC416C"/>
    <w:rsid w:val="00CC4410"/>
    <w:rsid w:val="00CC51E5"/>
    <w:rsid w:val="00CC53E1"/>
    <w:rsid w:val="00CC6376"/>
    <w:rsid w:val="00CC6965"/>
    <w:rsid w:val="00CC6B50"/>
    <w:rsid w:val="00CC6D85"/>
    <w:rsid w:val="00CC6DC3"/>
    <w:rsid w:val="00CC7505"/>
    <w:rsid w:val="00CC7FF7"/>
    <w:rsid w:val="00CD0045"/>
    <w:rsid w:val="00CD020D"/>
    <w:rsid w:val="00CD02D0"/>
    <w:rsid w:val="00CD0AD4"/>
    <w:rsid w:val="00CD0C51"/>
    <w:rsid w:val="00CD2E16"/>
    <w:rsid w:val="00CD3970"/>
    <w:rsid w:val="00CD4149"/>
    <w:rsid w:val="00CD41DE"/>
    <w:rsid w:val="00CD4777"/>
    <w:rsid w:val="00CD5F35"/>
    <w:rsid w:val="00CD6272"/>
    <w:rsid w:val="00CD72FC"/>
    <w:rsid w:val="00CD75CF"/>
    <w:rsid w:val="00CD7BF8"/>
    <w:rsid w:val="00CD7CF1"/>
    <w:rsid w:val="00CE143E"/>
    <w:rsid w:val="00CE1441"/>
    <w:rsid w:val="00CE14B3"/>
    <w:rsid w:val="00CE1617"/>
    <w:rsid w:val="00CE194E"/>
    <w:rsid w:val="00CE1F27"/>
    <w:rsid w:val="00CE22DC"/>
    <w:rsid w:val="00CE29EA"/>
    <w:rsid w:val="00CE2BBB"/>
    <w:rsid w:val="00CE3586"/>
    <w:rsid w:val="00CE3D80"/>
    <w:rsid w:val="00CE3F96"/>
    <w:rsid w:val="00CE4130"/>
    <w:rsid w:val="00CE46AC"/>
    <w:rsid w:val="00CE4843"/>
    <w:rsid w:val="00CE4F48"/>
    <w:rsid w:val="00CE51C5"/>
    <w:rsid w:val="00CE5D9B"/>
    <w:rsid w:val="00CE6024"/>
    <w:rsid w:val="00CE608D"/>
    <w:rsid w:val="00CE62EC"/>
    <w:rsid w:val="00CE66B2"/>
    <w:rsid w:val="00CE66DF"/>
    <w:rsid w:val="00CE69C1"/>
    <w:rsid w:val="00CE6F03"/>
    <w:rsid w:val="00CE7253"/>
    <w:rsid w:val="00CE72CD"/>
    <w:rsid w:val="00CE77E7"/>
    <w:rsid w:val="00CF036A"/>
    <w:rsid w:val="00CF08F3"/>
    <w:rsid w:val="00CF1109"/>
    <w:rsid w:val="00CF15DF"/>
    <w:rsid w:val="00CF19EE"/>
    <w:rsid w:val="00CF21F5"/>
    <w:rsid w:val="00CF27D1"/>
    <w:rsid w:val="00CF2A57"/>
    <w:rsid w:val="00CF2CC6"/>
    <w:rsid w:val="00CF2EA7"/>
    <w:rsid w:val="00CF2F55"/>
    <w:rsid w:val="00CF33F6"/>
    <w:rsid w:val="00CF35C5"/>
    <w:rsid w:val="00CF3B9D"/>
    <w:rsid w:val="00CF4285"/>
    <w:rsid w:val="00CF4A34"/>
    <w:rsid w:val="00CF4B45"/>
    <w:rsid w:val="00CF5205"/>
    <w:rsid w:val="00CF5AE6"/>
    <w:rsid w:val="00CF611D"/>
    <w:rsid w:val="00CF70DB"/>
    <w:rsid w:val="00CF756D"/>
    <w:rsid w:val="00D00483"/>
    <w:rsid w:val="00D006DC"/>
    <w:rsid w:val="00D01A39"/>
    <w:rsid w:val="00D02323"/>
    <w:rsid w:val="00D02351"/>
    <w:rsid w:val="00D02B37"/>
    <w:rsid w:val="00D02BBA"/>
    <w:rsid w:val="00D037CE"/>
    <w:rsid w:val="00D041F4"/>
    <w:rsid w:val="00D0427F"/>
    <w:rsid w:val="00D04A90"/>
    <w:rsid w:val="00D04F7A"/>
    <w:rsid w:val="00D05450"/>
    <w:rsid w:val="00D05F33"/>
    <w:rsid w:val="00D06389"/>
    <w:rsid w:val="00D065BA"/>
    <w:rsid w:val="00D06CBA"/>
    <w:rsid w:val="00D07910"/>
    <w:rsid w:val="00D079CF"/>
    <w:rsid w:val="00D07A53"/>
    <w:rsid w:val="00D07D20"/>
    <w:rsid w:val="00D07F59"/>
    <w:rsid w:val="00D102C3"/>
    <w:rsid w:val="00D10CF1"/>
    <w:rsid w:val="00D1182C"/>
    <w:rsid w:val="00D1271F"/>
    <w:rsid w:val="00D12CF1"/>
    <w:rsid w:val="00D1370C"/>
    <w:rsid w:val="00D13C3C"/>
    <w:rsid w:val="00D13DEB"/>
    <w:rsid w:val="00D14055"/>
    <w:rsid w:val="00D14AD5"/>
    <w:rsid w:val="00D14DD5"/>
    <w:rsid w:val="00D1524B"/>
    <w:rsid w:val="00D15679"/>
    <w:rsid w:val="00D15B6A"/>
    <w:rsid w:val="00D16233"/>
    <w:rsid w:val="00D162B0"/>
    <w:rsid w:val="00D16387"/>
    <w:rsid w:val="00D163A3"/>
    <w:rsid w:val="00D16D08"/>
    <w:rsid w:val="00D16FF1"/>
    <w:rsid w:val="00D170F4"/>
    <w:rsid w:val="00D1716F"/>
    <w:rsid w:val="00D20C54"/>
    <w:rsid w:val="00D210B0"/>
    <w:rsid w:val="00D21A16"/>
    <w:rsid w:val="00D222BA"/>
    <w:rsid w:val="00D230DE"/>
    <w:rsid w:val="00D23F18"/>
    <w:rsid w:val="00D249A6"/>
    <w:rsid w:val="00D24E12"/>
    <w:rsid w:val="00D250C0"/>
    <w:rsid w:val="00D25223"/>
    <w:rsid w:val="00D253B2"/>
    <w:rsid w:val="00D25A8F"/>
    <w:rsid w:val="00D25F25"/>
    <w:rsid w:val="00D262E4"/>
    <w:rsid w:val="00D26E42"/>
    <w:rsid w:val="00D27232"/>
    <w:rsid w:val="00D27482"/>
    <w:rsid w:val="00D277AA"/>
    <w:rsid w:val="00D27E7B"/>
    <w:rsid w:val="00D306F4"/>
    <w:rsid w:val="00D307E8"/>
    <w:rsid w:val="00D30CFA"/>
    <w:rsid w:val="00D30FCA"/>
    <w:rsid w:val="00D31434"/>
    <w:rsid w:val="00D31898"/>
    <w:rsid w:val="00D31C60"/>
    <w:rsid w:val="00D31F93"/>
    <w:rsid w:val="00D328F2"/>
    <w:rsid w:val="00D32E9F"/>
    <w:rsid w:val="00D3330D"/>
    <w:rsid w:val="00D33464"/>
    <w:rsid w:val="00D342AC"/>
    <w:rsid w:val="00D350DE"/>
    <w:rsid w:val="00D351CB"/>
    <w:rsid w:val="00D36499"/>
    <w:rsid w:val="00D3717F"/>
    <w:rsid w:val="00D374A7"/>
    <w:rsid w:val="00D37673"/>
    <w:rsid w:val="00D40627"/>
    <w:rsid w:val="00D40F81"/>
    <w:rsid w:val="00D41079"/>
    <w:rsid w:val="00D41093"/>
    <w:rsid w:val="00D4145F"/>
    <w:rsid w:val="00D416A6"/>
    <w:rsid w:val="00D41E69"/>
    <w:rsid w:val="00D422DC"/>
    <w:rsid w:val="00D424F6"/>
    <w:rsid w:val="00D42EBB"/>
    <w:rsid w:val="00D431AE"/>
    <w:rsid w:val="00D43CA8"/>
    <w:rsid w:val="00D44151"/>
    <w:rsid w:val="00D442A2"/>
    <w:rsid w:val="00D442EC"/>
    <w:rsid w:val="00D44376"/>
    <w:rsid w:val="00D4586D"/>
    <w:rsid w:val="00D45C8F"/>
    <w:rsid w:val="00D46124"/>
    <w:rsid w:val="00D464EF"/>
    <w:rsid w:val="00D46ABF"/>
    <w:rsid w:val="00D470C1"/>
    <w:rsid w:val="00D47387"/>
    <w:rsid w:val="00D47506"/>
    <w:rsid w:val="00D47664"/>
    <w:rsid w:val="00D47D8A"/>
    <w:rsid w:val="00D5140C"/>
    <w:rsid w:val="00D514B6"/>
    <w:rsid w:val="00D51AC8"/>
    <w:rsid w:val="00D52123"/>
    <w:rsid w:val="00D52507"/>
    <w:rsid w:val="00D52680"/>
    <w:rsid w:val="00D535A1"/>
    <w:rsid w:val="00D53808"/>
    <w:rsid w:val="00D53C42"/>
    <w:rsid w:val="00D53ECD"/>
    <w:rsid w:val="00D54560"/>
    <w:rsid w:val="00D54C63"/>
    <w:rsid w:val="00D555C1"/>
    <w:rsid w:val="00D55CF4"/>
    <w:rsid w:val="00D56C0A"/>
    <w:rsid w:val="00D57B45"/>
    <w:rsid w:val="00D57D02"/>
    <w:rsid w:val="00D600EB"/>
    <w:rsid w:val="00D61433"/>
    <w:rsid w:val="00D622E0"/>
    <w:rsid w:val="00D62575"/>
    <w:rsid w:val="00D62722"/>
    <w:rsid w:val="00D6278B"/>
    <w:rsid w:val="00D62B08"/>
    <w:rsid w:val="00D6358C"/>
    <w:rsid w:val="00D6446C"/>
    <w:rsid w:val="00D650C0"/>
    <w:rsid w:val="00D659C2"/>
    <w:rsid w:val="00D65E4D"/>
    <w:rsid w:val="00D6609B"/>
    <w:rsid w:val="00D66966"/>
    <w:rsid w:val="00D670F7"/>
    <w:rsid w:val="00D67938"/>
    <w:rsid w:val="00D7046C"/>
    <w:rsid w:val="00D7066E"/>
    <w:rsid w:val="00D71158"/>
    <w:rsid w:val="00D71583"/>
    <w:rsid w:val="00D71D13"/>
    <w:rsid w:val="00D726AE"/>
    <w:rsid w:val="00D72AAC"/>
    <w:rsid w:val="00D73159"/>
    <w:rsid w:val="00D7359D"/>
    <w:rsid w:val="00D73DF4"/>
    <w:rsid w:val="00D73FE0"/>
    <w:rsid w:val="00D74194"/>
    <w:rsid w:val="00D745DB"/>
    <w:rsid w:val="00D74B9D"/>
    <w:rsid w:val="00D75281"/>
    <w:rsid w:val="00D75605"/>
    <w:rsid w:val="00D760EA"/>
    <w:rsid w:val="00D76EA8"/>
    <w:rsid w:val="00D775DA"/>
    <w:rsid w:val="00D77FD8"/>
    <w:rsid w:val="00D805D1"/>
    <w:rsid w:val="00D80C94"/>
    <w:rsid w:val="00D8148B"/>
    <w:rsid w:val="00D81BC6"/>
    <w:rsid w:val="00D81C7B"/>
    <w:rsid w:val="00D81E00"/>
    <w:rsid w:val="00D82114"/>
    <w:rsid w:val="00D82571"/>
    <w:rsid w:val="00D82DA0"/>
    <w:rsid w:val="00D8349B"/>
    <w:rsid w:val="00D8378B"/>
    <w:rsid w:val="00D839E2"/>
    <w:rsid w:val="00D83AB7"/>
    <w:rsid w:val="00D847EB"/>
    <w:rsid w:val="00D84A0D"/>
    <w:rsid w:val="00D84D1E"/>
    <w:rsid w:val="00D8576F"/>
    <w:rsid w:val="00D85EF2"/>
    <w:rsid w:val="00D860B2"/>
    <w:rsid w:val="00D86299"/>
    <w:rsid w:val="00D86BA1"/>
    <w:rsid w:val="00D86EED"/>
    <w:rsid w:val="00D87239"/>
    <w:rsid w:val="00D876A1"/>
    <w:rsid w:val="00D87DD1"/>
    <w:rsid w:val="00D87EEC"/>
    <w:rsid w:val="00D9004F"/>
    <w:rsid w:val="00D90091"/>
    <w:rsid w:val="00D90AA1"/>
    <w:rsid w:val="00D90BA2"/>
    <w:rsid w:val="00D90D18"/>
    <w:rsid w:val="00D912B9"/>
    <w:rsid w:val="00D91957"/>
    <w:rsid w:val="00D91CF4"/>
    <w:rsid w:val="00D92780"/>
    <w:rsid w:val="00D92DCC"/>
    <w:rsid w:val="00D93D20"/>
    <w:rsid w:val="00D94337"/>
    <w:rsid w:val="00D94758"/>
    <w:rsid w:val="00D955EF"/>
    <w:rsid w:val="00D958D2"/>
    <w:rsid w:val="00D9682D"/>
    <w:rsid w:val="00D96937"/>
    <w:rsid w:val="00D97270"/>
    <w:rsid w:val="00D97824"/>
    <w:rsid w:val="00D97F7C"/>
    <w:rsid w:val="00DA0CF3"/>
    <w:rsid w:val="00DA1712"/>
    <w:rsid w:val="00DA19A7"/>
    <w:rsid w:val="00DA1BA9"/>
    <w:rsid w:val="00DA2286"/>
    <w:rsid w:val="00DA23B9"/>
    <w:rsid w:val="00DA29D1"/>
    <w:rsid w:val="00DA2D68"/>
    <w:rsid w:val="00DA3287"/>
    <w:rsid w:val="00DA4251"/>
    <w:rsid w:val="00DA452C"/>
    <w:rsid w:val="00DA4CA7"/>
    <w:rsid w:val="00DA4CC9"/>
    <w:rsid w:val="00DA4F22"/>
    <w:rsid w:val="00DA5460"/>
    <w:rsid w:val="00DA5477"/>
    <w:rsid w:val="00DA5A9F"/>
    <w:rsid w:val="00DA5CA1"/>
    <w:rsid w:val="00DA5F12"/>
    <w:rsid w:val="00DA71CE"/>
    <w:rsid w:val="00DB220D"/>
    <w:rsid w:val="00DB223F"/>
    <w:rsid w:val="00DB2436"/>
    <w:rsid w:val="00DB31FF"/>
    <w:rsid w:val="00DB35A2"/>
    <w:rsid w:val="00DB4DB0"/>
    <w:rsid w:val="00DB697B"/>
    <w:rsid w:val="00DB6B8F"/>
    <w:rsid w:val="00DB6EAE"/>
    <w:rsid w:val="00DB7F02"/>
    <w:rsid w:val="00DC008C"/>
    <w:rsid w:val="00DC0554"/>
    <w:rsid w:val="00DC086B"/>
    <w:rsid w:val="00DC147E"/>
    <w:rsid w:val="00DC16A5"/>
    <w:rsid w:val="00DC1791"/>
    <w:rsid w:val="00DC18EC"/>
    <w:rsid w:val="00DC1A91"/>
    <w:rsid w:val="00DC1AC9"/>
    <w:rsid w:val="00DC1F6D"/>
    <w:rsid w:val="00DC266C"/>
    <w:rsid w:val="00DC2D5E"/>
    <w:rsid w:val="00DC3012"/>
    <w:rsid w:val="00DC39BD"/>
    <w:rsid w:val="00DC3D97"/>
    <w:rsid w:val="00DC4046"/>
    <w:rsid w:val="00DC41EB"/>
    <w:rsid w:val="00DC4801"/>
    <w:rsid w:val="00DC4BED"/>
    <w:rsid w:val="00DC5202"/>
    <w:rsid w:val="00DC5334"/>
    <w:rsid w:val="00DC57AA"/>
    <w:rsid w:val="00DC5929"/>
    <w:rsid w:val="00DC594F"/>
    <w:rsid w:val="00DC5BED"/>
    <w:rsid w:val="00DC5E5A"/>
    <w:rsid w:val="00DC654E"/>
    <w:rsid w:val="00DC67E7"/>
    <w:rsid w:val="00DC696F"/>
    <w:rsid w:val="00DC77F3"/>
    <w:rsid w:val="00DC7E73"/>
    <w:rsid w:val="00DD03FC"/>
    <w:rsid w:val="00DD0BC2"/>
    <w:rsid w:val="00DD1113"/>
    <w:rsid w:val="00DD1765"/>
    <w:rsid w:val="00DD21DA"/>
    <w:rsid w:val="00DD2CDA"/>
    <w:rsid w:val="00DD3419"/>
    <w:rsid w:val="00DD56A6"/>
    <w:rsid w:val="00DD5DFF"/>
    <w:rsid w:val="00DD674F"/>
    <w:rsid w:val="00DD689E"/>
    <w:rsid w:val="00DD6C50"/>
    <w:rsid w:val="00DE00DA"/>
    <w:rsid w:val="00DE0A45"/>
    <w:rsid w:val="00DE0EAF"/>
    <w:rsid w:val="00DE2309"/>
    <w:rsid w:val="00DE3863"/>
    <w:rsid w:val="00DE46DF"/>
    <w:rsid w:val="00DE4D41"/>
    <w:rsid w:val="00DE4E50"/>
    <w:rsid w:val="00DE532C"/>
    <w:rsid w:val="00DE561C"/>
    <w:rsid w:val="00DE6048"/>
    <w:rsid w:val="00DE6193"/>
    <w:rsid w:val="00DE6741"/>
    <w:rsid w:val="00DE6F12"/>
    <w:rsid w:val="00DE7288"/>
    <w:rsid w:val="00DE7389"/>
    <w:rsid w:val="00DE7C66"/>
    <w:rsid w:val="00DE7D87"/>
    <w:rsid w:val="00DF06A6"/>
    <w:rsid w:val="00DF0941"/>
    <w:rsid w:val="00DF14E9"/>
    <w:rsid w:val="00DF151C"/>
    <w:rsid w:val="00DF1831"/>
    <w:rsid w:val="00DF1B29"/>
    <w:rsid w:val="00DF22D4"/>
    <w:rsid w:val="00DF2551"/>
    <w:rsid w:val="00DF2D51"/>
    <w:rsid w:val="00DF30AF"/>
    <w:rsid w:val="00DF34D0"/>
    <w:rsid w:val="00DF371A"/>
    <w:rsid w:val="00DF38AF"/>
    <w:rsid w:val="00DF42E6"/>
    <w:rsid w:val="00DF472D"/>
    <w:rsid w:val="00DF473F"/>
    <w:rsid w:val="00DF4C2F"/>
    <w:rsid w:val="00DF4C9F"/>
    <w:rsid w:val="00DF5B23"/>
    <w:rsid w:val="00DF5C6E"/>
    <w:rsid w:val="00DF6135"/>
    <w:rsid w:val="00DF6A41"/>
    <w:rsid w:val="00DF6C11"/>
    <w:rsid w:val="00DF7A80"/>
    <w:rsid w:val="00DF7DDD"/>
    <w:rsid w:val="00E002D9"/>
    <w:rsid w:val="00E00462"/>
    <w:rsid w:val="00E00B5D"/>
    <w:rsid w:val="00E01520"/>
    <w:rsid w:val="00E01BA0"/>
    <w:rsid w:val="00E01D4D"/>
    <w:rsid w:val="00E027FC"/>
    <w:rsid w:val="00E02D4B"/>
    <w:rsid w:val="00E03126"/>
    <w:rsid w:val="00E03CD5"/>
    <w:rsid w:val="00E03D49"/>
    <w:rsid w:val="00E03DC6"/>
    <w:rsid w:val="00E0413B"/>
    <w:rsid w:val="00E04A5C"/>
    <w:rsid w:val="00E05919"/>
    <w:rsid w:val="00E05949"/>
    <w:rsid w:val="00E0599E"/>
    <w:rsid w:val="00E05BD8"/>
    <w:rsid w:val="00E06225"/>
    <w:rsid w:val="00E062CE"/>
    <w:rsid w:val="00E068CC"/>
    <w:rsid w:val="00E06D0C"/>
    <w:rsid w:val="00E072E3"/>
    <w:rsid w:val="00E1041B"/>
    <w:rsid w:val="00E10827"/>
    <w:rsid w:val="00E10BF0"/>
    <w:rsid w:val="00E10C7B"/>
    <w:rsid w:val="00E1119F"/>
    <w:rsid w:val="00E11D22"/>
    <w:rsid w:val="00E11E2E"/>
    <w:rsid w:val="00E124F4"/>
    <w:rsid w:val="00E12951"/>
    <w:rsid w:val="00E129A0"/>
    <w:rsid w:val="00E129A7"/>
    <w:rsid w:val="00E12EF9"/>
    <w:rsid w:val="00E133B0"/>
    <w:rsid w:val="00E1408C"/>
    <w:rsid w:val="00E141C1"/>
    <w:rsid w:val="00E1476E"/>
    <w:rsid w:val="00E15EC7"/>
    <w:rsid w:val="00E16193"/>
    <w:rsid w:val="00E162B2"/>
    <w:rsid w:val="00E17B34"/>
    <w:rsid w:val="00E2031E"/>
    <w:rsid w:val="00E20C75"/>
    <w:rsid w:val="00E20C86"/>
    <w:rsid w:val="00E20EAF"/>
    <w:rsid w:val="00E213E5"/>
    <w:rsid w:val="00E21772"/>
    <w:rsid w:val="00E21AAD"/>
    <w:rsid w:val="00E22A0E"/>
    <w:rsid w:val="00E22B39"/>
    <w:rsid w:val="00E23398"/>
    <w:rsid w:val="00E23496"/>
    <w:rsid w:val="00E23633"/>
    <w:rsid w:val="00E23F61"/>
    <w:rsid w:val="00E24168"/>
    <w:rsid w:val="00E24680"/>
    <w:rsid w:val="00E2520E"/>
    <w:rsid w:val="00E25973"/>
    <w:rsid w:val="00E25C1F"/>
    <w:rsid w:val="00E26006"/>
    <w:rsid w:val="00E26728"/>
    <w:rsid w:val="00E26833"/>
    <w:rsid w:val="00E26AE8"/>
    <w:rsid w:val="00E2706A"/>
    <w:rsid w:val="00E27166"/>
    <w:rsid w:val="00E27500"/>
    <w:rsid w:val="00E3027F"/>
    <w:rsid w:val="00E3036E"/>
    <w:rsid w:val="00E308EE"/>
    <w:rsid w:val="00E30CBC"/>
    <w:rsid w:val="00E31118"/>
    <w:rsid w:val="00E312C3"/>
    <w:rsid w:val="00E31B25"/>
    <w:rsid w:val="00E32435"/>
    <w:rsid w:val="00E32ABB"/>
    <w:rsid w:val="00E32CF7"/>
    <w:rsid w:val="00E33031"/>
    <w:rsid w:val="00E333B8"/>
    <w:rsid w:val="00E33F31"/>
    <w:rsid w:val="00E33F44"/>
    <w:rsid w:val="00E34180"/>
    <w:rsid w:val="00E3593D"/>
    <w:rsid w:val="00E35B3E"/>
    <w:rsid w:val="00E35D51"/>
    <w:rsid w:val="00E360DA"/>
    <w:rsid w:val="00E362E7"/>
    <w:rsid w:val="00E36D00"/>
    <w:rsid w:val="00E3709D"/>
    <w:rsid w:val="00E370F6"/>
    <w:rsid w:val="00E37141"/>
    <w:rsid w:val="00E373DC"/>
    <w:rsid w:val="00E37442"/>
    <w:rsid w:val="00E37B79"/>
    <w:rsid w:val="00E37F51"/>
    <w:rsid w:val="00E37FDC"/>
    <w:rsid w:val="00E408C7"/>
    <w:rsid w:val="00E40C42"/>
    <w:rsid w:val="00E40F7C"/>
    <w:rsid w:val="00E41423"/>
    <w:rsid w:val="00E41AAF"/>
    <w:rsid w:val="00E41F75"/>
    <w:rsid w:val="00E42040"/>
    <w:rsid w:val="00E4210D"/>
    <w:rsid w:val="00E425BE"/>
    <w:rsid w:val="00E43DD0"/>
    <w:rsid w:val="00E44058"/>
    <w:rsid w:val="00E44A30"/>
    <w:rsid w:val="00E44FF7"/>
    <w:rsid w:val="00E45304"/>
    <w:rsid w:val="00E4574B"/>
    <w:rsid w:val="00E45778"/>
    <w:rsid w:val="00E45833"/>
    <w:rsid w:val="00E45932"/>
    <w:rsid w:val="00E464AE"/>
    <w:rsid w:val="00E46D12"/>
    <w:rsid w:val="00E46DC9"/>
    <w:rsid w:val="00E47E69"/>
    <w:rsid w:val="00E508DC"/>
    <w:rsid w:val="00E509CD"/>
    <w:rsid w:val="00E50D68"/>
    <w:rsid w:val="00E51609"/>
    <w:rsid w:val="00E51DA8"/>
    <w:rsid w:val="00E524FB"/>
    <w:rsid w:val="00E539E9"/>
    <w:rsid w:val="00E546E0"/>
    <w:rsid w:val="00E547F9"/>
    <w:rsid w:val="00E54CE2"/>
    <w:rsid w:val="00E54D57"/>
    <w:rsid w:val="00E54F4C"/>
    <w:rsid w:val="00E550AB"/>
    <w:rsid w:val="00E55488"/>
    <w:rsid w:val="00E559D2"/>
    <w:rsid w:val="00E56481"/>
    <w:rsid w:val="00E56715"/>
    <w:rsid w:val="00E56BE6"/>
    <w:rsid w:val="00E573C8"/>
    <w:rsid w:val="00E57872"/>
    <w:rsid w:val="00E6014E"/>
    <w:rsid w:val="00E604EA"/>
    <w:rsid w:val="00E605B0"/>
    <w:rsid w:val="00E60964"/>
    <w:rsid w:val="00E60D4E"/>
    <w:rsid w:val="00E6189F"/>
    <w:rsid w:val="00E61A3D"/>
    <w:rsid w:val="00E61E5A"/>
    <w:rsid w:val="00E62050"/>
    <w:rsid w:val="00E626CA"/>
    <w:rsid w:val="00E62DB4"/>
    <w:rsid w:val="00E630D1"/>
    <w:rsid w:val="00E6369A"/>
    <w:rsid w:val="00E637C0"/>
    <w:rsid w:val="00E637FB"/>
    <w:rsid w:val="00E63ECE"/>
    <w:rsid w:val="00E6408E"/>
    <w:rsid w:val="00E6448A"/>
    <w:rsid w:val="00E64518"/>
    <w:rsid w:val="00E647E0"/>
    <w:rsid w:val="00E64AC2"/>
    <w:rsid w:val="00E652BA"/>
    <w:rsid w:val="00E658E7"/>
    <w:rsid w:val="00E669EC"/>
    <w:rsid w:val="00E67676"/>
    <w:rsid w:val="00E67AFE"/>
    <w:rsid w:val="00E67B81"/>
    <w:rsid w:val="00E67CC4"/>
    <w:rsid w:val="00E7017D"/>
    <w:rsid w:val="00E702B5"/>
    <w:rsid w:val="00E70307"/>
    <w:rsid w:val="00E70826"/>
    <w:rsid w:val="00E70919"/>
    <w:rsid w:val="00E70DB5"/>
    <w:rsid w:val="00E71D07"/>
    <w:rsid w:val="00E71F1C"/>
    <w:rsid w:val="00E72713"/>
    <w:rsid w:val="00E72A3F"/>
    <w:rsid w:val="00E73693"/>
    <w:rsid w:val="00E7379B"/>
    <w:rsid w:val="00E73AC5"/>
    <w:rsid w:val="00E73AE7"/>
    <w:rsid w:val="00E75252"/>
    <w:rsid w:val="00E758C4"/>
    <w:rsid w:val="00E75B40"/>
    <w:rsid w:val="00E762BB"/>
    <w:rsid w:val="00E7642B"/>
    <w:rsid w:val="00E76C03"/>
    <w:rsid w:val="00E76C67"/>
    <w:rsid w:val="00E77268"/>
    <w:rsid w:val="00E77592"/>
    <w:rsid w:val="00E775D5"/>
    <w:rsid w:val="00E80161"/>
    <w:rsid w:val="00E80A2E"/>
    <w:rsid w:val="00E815A6"/>
    <w:rsid w:val="00E8246E"/>
    <w:rsid w:val="00E824D9"/>
    <w:rsid w:val="00E842D2"/>
    <w:rsid w:val="00E842DA"/>
    <w:rsid w:val="00E8476B"/>
    <w:rsid w:val="00E847FB"/>
    <w:rsid w:val="00E84A8C"/>
    <w:rsid w:val="00E84E14"/>
    <w:rsid w:val="00E85910"/>
    <w:rsid w:val="00E85A06"/>
    <w:rsid w:val="00E864BD"/>
    <w:rsid w:val="00E86EAB"/>
    <w:rsid w:val="00E86FBC"/>
    <w:rsid w:val="00E87C19"/>
    <w:rsid w:val="00E87D94"/>
    <w:rsid w:val="00E90119"/>
    <w:rsid w:val="00E90858"/>
    <w:rsid w:val="00E90BF3"/>
    <w:rsid w:val="00E918CE"/>
    <w:rsid w:val="00E91FB7"/>
    <w:rsid w:val="00E9200D"/>
    <w:rsid w:val="00E921A9"/>
    <w:rsid w:val="00E9221B"/>
    <w:rsid w:val="00E93450"/>
    <w:rsid w:val="00E9386C"/>
    <w:rsid w:val="00E93C0A"/>
    <w:rsid w:val="00E96289"/>
    <w:rsid w:val="00E96A82"/>
    <w:rsid w:val="00E96BB8"/>
    <w:rsid w:val="00E972C1"/>
    <w:rsid w:val="00E97D8E"/>
    <w:rsid w:val="00EA03CD"/>
    <w:rsid w:val="00EA0DB0"/>
    <w:rsid w:val="00EA16BC"/>
    <w:rsid w:val="00EA1960"/>
    <w:rsid w:val="00EA1A67"/>
    <w:rsid w:val="00EA1DA3"/>
    <w:rsid w:val="00EA26BB"/>
    <w:rsid w:val="00EA2B4F"/>
    <w:rsid w:val="00EA2EA3"/>
    <w:rsid w:val="00EA4952"/>
    <w:rsid w:val="00EA4A27"/>
    <w:rsid w:val="00EA4B58"/>
    <w:rsid w:val="00EA4E26"/>
    <w:rsid w:val="00EA5444"/>
    <w:rsid w:val="00EA5792"/>
    <w:rsid w:val="00EA6476"/>
    <w:rsid w:val="00EA7427"/>
    <w:rsid w:val="00EA75E4"/>
    <w:rsid w:val="00EA7B13"/>
    <w:rsid w:val="00EA7B26"/>
    <w:rsid w:val="00EB0563"/>
    <w:rsid w:val="00EB0C12"/>
    <w:rsid w:val="00EB12CF"/>
    <w:rsid w:val="00EB1592"/>
    <w:rsid w:val="00EB19C2"/>
    <w:rsid w:val="00EB1C61"/>
    <w:rsid w:val="00EB20F1"/>
    <w:rsid w:val="00EB217F"/>
    <w:rsid w:val="00EB225F"/>
    <w:rsid w:val="00EB238B"/>
    <w:rsid w:val="00EB26B3"/>
    <w:rsid w:val="00EB3CC8"/>
    <w:rsid w:val="00EB4136"/>
    <w:rsid w:val="00EB485B"/>
    <w:rsid w:val="00EB5161"/>
    <w:rsid w:val="00EB57FE"/>
    <w:rsid w:val="00EB59D9"/>
    <w:rsid w:val="00EB67AC"/>
    <w:rsid w:val="00EB697D"/>
    <w:rsid w:val="00EB6BBC"/>
    <w:rsid w:val="00EB6C89"/>
    <w:rsid w:val="00EB6CA0"/>
    <w:rsid w:val="00EB6F4B"/>
    <w:rsid w:val="00EB74A6"/>
    <w:rsid w:val="00EB7D4B"/>
    <w:rsid w:val="00EB7E00"/>
    <w:rsid w:val="00EB7E99"/>
    <w:rsid w:val="00EB7FEE"/>
    <w:rsid w:val="00EC086E"/>
    <w:rsid w:val="00EC0E7F"/>
    <w:rsid w:val="00EC0F89"/>
    <w:rsid w:val="00EC124D"/>
    <w:rsid w:val="00EC1A77"/>
    <w:rsid w:val="00EC1FAE"/>
    <w:rsid w:val="00EC2039"/>
    <w:rsid w:val="00EC2603"/>
    <w:rsid w:val="00EC2BB7"/>
    <w:rsid w:val="00EC32AB"/>
    <w:rsid w:val="00EC39BD"/>
    <w:rsid w:val="00EC4BF3"/>
    <w:rsid w:val="00EC5924"/>
    <w:rsid w:val="00EC6FC6"/>
    <w:rsid w:val="00EC7090"/>
    <w:rsid w:val="00EC7250"/>
    <w:rsid w:val="00EC7735"/>
    <w:rsid w:val="00EC7D27"/>
    <w:rsid w:val="00ED0823"/>
    <w:rsid w:val="00ED0984"/>
    <w:rsid w:val="00ED0E5B"/>
    <w:rsid w:val="00ED1065"/>
    <w:rsid w:val="00ED10B0"/>
    <w:rsid w:val="00ED12B2"/>
    <w:rsid w:val="00ED1942"/>
    <w:rsid w:val="00ED1BD8"/>
    <w:rsid w:val="00ED1CAD"/>
    <w:rsid w:val="00ED1E4E"/>
    <w:rsid w:val="00ED1F53"/>
    <w:rsid w:val="00ED212E"/>
    <w:rsid w:val="00ED2340"/>
    <w:rsid w:val="00ED27CD"/>
    <w:rsid w:val="00ED2802"/>
    <w:rsid w:val="00ED2AA6"/>
    <w:rsid w:val="00ED2B12"/>
    <w:rsid w:val="00ED2EAA"/>
    <w:rsid w:val="00ED3E44"/>
    <w:rsid w:val="00ED3F31"/>
    <w:rsid w:val="00ED4357"/>
    <w:rsid w:val="00ED4548"/>
    <w:rsid w:val="00ED4642"/>
    <w:rsid w:val="00ED4DD6"/>
    <w:rsid w:val="00ED516E"/>
    <w:rsid w:val="00ED534D"/>
    <w:rsid w:val="00ED595B"/>
    <w:rsid w:val="00ED59C8"/>
    <w:rsid w:val="00ED602F"/>
    <w:rsid w:val="00ED6551"/>
    <w:rsid w:val="00ED6E8E"/>
    <w:rsid w:val="00EE05C8"/>
    <w:rsid w:val="00EE0716"/>
    <w:rsid w:val="00EE1017"/>
    <w:rsid w:val="00EE193A"/>
    <w:rsid w:val="00EE280B"/>
    <w:rsid w:val="00EE29E4"/>
    <w:rsid w:val="00EE2E99"/>
    <w:rsid w:val="00EE2E9E"/>
    <w:rsid w:val="00EE3182"/>
    <w:rsid w:val="00EE39A7"/>
    <w:rsid w:val="00EE3C20"/>
    <w:rsid w:val="00EE3DD5"/>
    <w:rsid w:val="00EE3EE7"/>
    <w:rsid w:val="00EE4DD2"/>
    <w:rsid w:val="00EE56D0"/>
    <w:rsid w:val="00EE590E"/>
    <w:rsid w:val="00EE5F74"/>
    <w:rsid w:val="00EE60F0"/>
    <w:rsid w:val="00EE64B9"/>
    <w:rsid w:val="00EE73BC"/>
    <w:rsid w:val="00EE79C9"/>
    <w:rsid w:val="00EE7BD1"/>
    <w:rsid w:val="00EE7EE8"/>
    <w:rsid w:val="00EF2372"/>
    <w:rsid w:val="00EF2D01"/>
    <w:rsid w:val="00EF3071"/>
    <w:rsid w:val="00EF32C9"/>
    <w:rsid w:val="00EF390D"/>
    <w:rsid w:val="00EF3C90"/>
    <w:rsid w:val="00EF3EC7"/>
    <w:rsid w:val="00EF406C"/>
    <w:rsid w:val="00EF4EB4"/>
    <w:rsid w:val="00EF53EB"/>
    <w:rsid w:val="00EF72CA"/>
    <w:rsid w:val="00EF7549"/>
    <w:rsid w:val="00EF7C31"/>
    <w:rsid w:val="00EF7F5A"/>
    <w:rsid w:val="00F002B6"/>
    <w:rsid w:val="00F002DE"/>
    <w:rsid w:val="00F00384"/>
    <w:rsid w:val="00F01903"/>
    <w:rsid w:val="00F02DD8"/>
    <w:rsid w:val="00F031C6"/>
    <w:rsid w:val="00F04731"/>
    <w:rsid w:val="00F061A8"/>
    <w:rsid w:val="00F063A9"/>
    <w:rsid w:val="00F06432"/>
    <w:rsid w:val="00F06515"/>
    <w:rsid w:val="00F06550"/>
    <w:rsid w:val="00F0685A"/>
    <w:rsid w:val="00F06B99"/>
    <w:rsid w:val="00F071A3"/>
    <w:rsid w:val="00F07D5D"/>
    <w:rsid w:val="00F07F5E"/>
    <w:rsid w:val="00F10811"/>
    <w:rsid w:val="00F108DE"/>
    <w:rsid w:val="00F10EE0"/>
    <w:rsid w:val="00F112F1"/>
    <w:rsid w:val="00F11505"/>
    <w:rsid w:val="00F11657"/>
    <w:rsid w:val="00F11AB9"/>
    <w:rsid w:val="00F11DA3"/>
    <w:rsid w:val="00F11F4D"/>
    <w:rsid w:val="00F1222C"/>
    <w:rsid w:val="00F1291B"/>
    <w:rsid w:val="00F12FFF"/>
    <w:rsid w:val="00F13C07"/>
    <w:rsid w:val="00F13D02"/>
    <w:rsid w:val="00F13D56"/>
    <w:rsid w:val="00F1466C"/>
    <w:rsid w:val="00F147A2"/>
    <w:rsid w:val="00F147F4"/>
    <w:rsid w:val="00F148A9"/>
    <w:rsid w:val="00F149D1"/>
    <w:rsid w:val="00F152CB"/>
    <w:rsid w:val="00F152EC"/>
    <w:rsid w:val="00F158D1"/>
    <w:rsid w:val="00F15AA8"/>
    <w:rsid w:val="00F16696"/>
    <w:rsid w:val="00F16E11"/>
    <w:rsid w:val="00F2072D"/>
    <w:rsid w:val="00F20F82"/>
    <w:rsid w:val="00F2106C"/>
    <w:rsid w:val="00F210AC"/>
    <w:rsid w:val="00F2134A"/>
    <w:rsid w:val="00F21429"/>
    <w:rsid w:val="00F217A8"/>
    <w:rsid w:val="00F21F6B"/>
    <w:rsid w:val="00F221EE"/>
    <w:rsid w:val="00F22EF8"/>
    <w:rsid w:val="00F23308"/>
    <w:rsid w:val="00F233D5"/>
    <w:rsid w:val="00F23720"/>
    <w:rsid w:val="00F23C53"/>
    <w:rsid w:val="00F252E9"/>
    <w:rsid w:val="00F25BB6"/>
    <w:rsid w:val="00F25CF1"/>
    <w:rsid w:val="00F26DF8"/>
    <w:rsid w:val="00F27425"/>
    <w:rsid w:val="00F27967"/>
    <w:rsid w:val="00F27CCF"/>
    <w:rsid w:val="00F27E48"/>
    <w:rsid w:val="00F27FEF"/>
    <w:rsid w:val="00F303B6"/>
    <w:rsid w:val="00F30C1E"/>
    <w:rsid w:val="00F314CC"/>
    <w:rsid w:val="00F318A8"/>
    <w:rsid w:val="00F31C6D"/>
    <w:rsid w:val="00F31D4F"/>
    <w:rsid w:val="00F31EF6"/>
    <w:rsid w:val="00F3202D"/>
    <w:rsid w:val="00F3210F"/>
    <w:rsid w:val="00F321F3"/>
    <w:rsid w:val="00F3242F"/>
    <w:rsid w:val="00F32CF3"/>
    <w:rsid w:val="00F3363E"/>
    <w:rsid w:val="00F338FC"/>
    <w:rsid w:val="00F33CAE"/>
    <w:rsid w:val="00F340FF"/>
    <w:rsid w:val="00F35609"/>
    <w:rsid w:val="00F35735"/>
    <w:rsid w:val="00F36338"/>
    <w:rsid w:val="00F3695A"/>
    <w:rsid w:val="00F36C09"/>
    <w:rsid w:val="00F37994"/>
    <w:rsid w:val="00F40C77"/>
    <w:rsid w:val="00F40E36"/>
    <w:rsid w:val="00F4143E"/>
    <w:rsid w:val="00F41890"/>
    <w:rsid w:val="00F41EE1"/>
    <w:rsid w:val="00F42E2E"/>
    <w:rsid w:val="00F43026"/>
    <w:rsid w:val="00F43184"/>
    <w:rsid w:val="00F43B7F"/>
    <w:rsid w:val="00F43BF5"/>
    <w:rsid w:val="00F4417D"/>
    <w:rsid w:val="00F443AF"/>
    <w:rsid w:val="00F444BB"/>
    <w:rsid w:val="00F445C3"/>
    <w:rsid w:val="00F446FB"/>
    <w:rsid w:val="00F44E14"/>
    <w:rsid w:val="00F44EB7"/>
    <w:rsid w:val="00F45515"/>
    <w:rsid w:val="00F45753"/>
    <w:rsid w:val="00F458BE"/>
    <w:rsid w:val="00F45CB7"/>
    <w:rsid w:val="00F45D42"/>
    <w:rsid w:val="00F461A8"/>
    <w:rsid w:val="00F463E7"/>
    <w:rsid w:val="00F478DB"/>
    <w:rsid w:val="00F501E1"/>
    <w:rsid w:val="00F503C2"/>
    <w:rsid w:val="00F50C77"/>
    <w:rsid w:val="00F50F41"/>
    <w:rsid w:val="00F51074"/>
    <w:rsid w:val="00F51278"/>
    <w:rsid w:val="00F51482"/>
    <w:rsid w:val="00F520E5"/>
    <w:rsid w:val="00F539B3"/>
    <w:rsid w:val="00F53AE3"/>
    <w:rsid w:val="00F540C0"/>
    <w:rsid w:val="00F546BD"/>
    <w:rsid w:val="00F54A08"/>
    <w:rsid w:val="00F55F09"/>
    <w:rsid w:val="00F562A5"/>
    <w:rsid w:val="00F56420"/>
    <w:rsid w:val="00F56BFB"/>
    <w:rsid w:val="00F56F7A"/>
    <w:rsid w:val="00F576A0"/>
    <w:rsid w:val="00F57B26"/>
    <w:rsid w:val="00F57B2F"/>
    <w:rsid w:val="00F603E7"/>
    <w:rsid w:val="00F60924"/>
    <w:rsid w:val="00F60EFC"/>
    <w:rsid w:val="00F61317"/>
    <w:rsid w:val="00F6131F"/>
    <w:rsid w:val="00F6216B"/>
    <w:rsid w:val="00F62BFF"/>
    <w:rsid w:val="00F631A1"/>
    <w:rsid w:val="00F63AA0"/>
    <w:rsid w:val="00F63CBE"/>
    <w:rsid w:val="00F63D29"/>
    <w:rsid w:val="00F63E27"/>
    <w:rsid w:val="00F64DE0"/>
    <w:rsid w:val="00F65D5C"/>
    <w:rsid w:val="00F66DD3"/>
    <w:rsid w:val="00F67C56"/>
    <w:rsid w:val="00F70444"/>
    <w:rsid w:val="00F70B45"/>
    <w:rsid w:val="00F71EA7"/>
    <w:rsid w:val="00F72673"/>
    <w:rsid w:val="00F72889"/>
    <w:rsid w:val="00F72CA2"/>
    <w:rsid w:val="00F72FD6"/>
    <w:rsid w:val="00F732CA"/>
    <w:rsid w:val="00F735B4"/>
    <w:rsid w:val="00F74422"/>
    <w:rsid w:val="00F744D4"/>
    <w:rsid w:val="00F74C97"/>
    <w:rsid w:val="00F758B1"/>
    <w:rsid w:val="00F758BD"/>
    <w:rsid w:val="00F75A33"/>
    <w:rsid w:val="00F75E7F"/>
    <w:rsid w:val="00F76FE6"/>
    <w:rsid w:val="00F772EE"/>
    <w:rsid w:val="00F779E2"/>
    <w:rsid w:val="00F77A32"/>
    <w:rsid w:val="00F77AE0"/>
    <w:rsid w:val="00F800F6"/>
    <w:rsid w:val="00F801F6"/>
    <w:rsid w:val="00F80208"/>
    <w:rsid w:val="00F808D0"/>
    <w:rsid w:val="00F81036"/>
    <w:rsid w:val="00F8115E"/>
    <w:rsid w:val="00F815CE"/>
    <w:rsid w:val="00F8211E"/>
    <w:rsid w:val="00F82574"/>
    <w:rsid w:val="00F8269A"/>
    <w:rsid w:val="00F830CE"/>
    <w:rsid w:val="00F832C2"/>
    <w:rsid w:val="00F83648"/>
    <w:rsid w:val="00F84ADE"/>
    <w:rsid w:val="00F858F6"/>
    <w:rsid w:val="00F8676D"/>
    <w:rsid w:val="00F86935"/>
    <w:rsid w:val="00F86E8A"/>
    <w:rsid w:val="00F8713E"/>
    <w:rsid w:val="00F8737F"/>
    <w:rsid w:val="00F87503"/>
    <w:rsid w:val="00F877BB"/>
    <w:rsid w:val="00F879ED"/>
    <w:rsid w:val="00F90AFE"/>
    <w:rsid w:val="00F90E6E"/>
    <w:rsid w:val="00F90EB1"/>
    <w:rsid w:val="00F915D7"/>
    <w:rsid w:val="00F91972"/>
    <w:rsid w:val="00F91FA7"/>
    <w:rsid w:val="00F92B37"/>
    <w:rsid w:val="00F935F6"/>
    <w:rsid w:val="00F937F5"/>
    <w:rsid w:val="00F93F2B"/>
    <w:rsid w:val="00F946A3"/>
    <w:rsid w:val="00F948A4"/>
    <w:rsid w:val="00F95A4D"/>
    <w:rsid w:val="00F95ABD"/>
    <w:rsid w:val="00F96347"/>
    <w:rsid w:val="00F96C8B"/>
    <w:rsid w:val="00F96C9C"/>
    <w:rsid w:val="00F96CDE"/>
    <w:rsid w:val="00F977AD"/>
    <w:rsid w:val="00F97C9A"/>
    <w:rsid w:val="00FA0A23"/>
    <w:rsid w:val="00FA182B"/>
    <w:rsid w:val="00FA1B0A"/>
    <w:rsid w:val="00FA232F"/>
    <w:rsid w:val="00FA2776"/>
    <w:rsid w:val="00FA2848"/>
    <w:rsid w:val="00FA2C8B"/>
    <w:rsid w:val="00FA31C5"/>
    <w:rsid w:val="00FA325D"/>
    <w:rsid w:val="00FA33CA"/>
    <w:rsid w:val="00FA35BA"/>
    <w:rsid w:val="00FA461D"/>
    <w:rsid w:val="00FA4DD7"/>
    <w:rsid w:val="00FA5087"/>
    <w:rsid w:val="00FA585C"/>
    <w:rsid w:val="00FA64BB"/>
    <w:rsid w:val="00FA66D4"/>
    <w:rsid w:val="00FA69B9"/>
    <w:rsid w:val="00FA6A04"/>
    <w:rsid w:val="00FA6ED3"/>
    <w:rsid w:val="00FA71EE"/>
    <w:rsid w:val="00FA74F1"/>
    <w:rsid w:val="00FA7704"/>
    <w:rsid w:val="00FA79BD"/>
    <w:rsid w:val="00FA7C02"/>
    <w:rsid w:val="00FB0080"/>
    <w:rsid w:val="00FB1201"/>
    <w:rsid w:val="00FB1FE0"/>
    <w:rsid w:val="00FB2861"/>
    <w:rsid w:val="00FB37F0"/>
    <w:rsid w:val="00FB3904"/>
    <w:rsid w:val="00FB4A8F"/>
    <w:rsid w:val="00FB4B8A"/>
    <w:rsid w:val="00FB4F6B"/>
    <w:rsid w:val="00FB4FE3"/>
    <w:rsid w:val="00FB57ED"/>
    <w:rsid w:val="00FB5825"/>
    <w:rsid w:val="00FB5C4B"/>
    <w:rsid w:val="00FB5C5D"/>
    <w:rsid w:val="00FB5EDC"/>
    <w:rsid w:val="00FB6414"/>
    <w:rsid w:val="00FB685C"/>
    <w:rsid w:val="00FB6AEE"/>
    <w:rsid w:val="00FB7B43"/>
    <w:rsid w:val="00FB7B63"/>
    <w:rsid w:val="00FC0D3E"/>
    <w:rsid w:val="00FC0E5E"/>
    <w:rsid w:val="00FC1165"/>
    <w:rsid w:val="00FC16DD"/>
    <w:rsid w:val="00FC24EA"/>
    <w:rsid w:val="00FC2573"/>
    <w:rsid w:val="00FC3010"/>
    <w:rsid w:val="00FC30EF"/>
    <w:rsid w:val="00FC3465"/>
    <w:rsid w:val="00FC38AD"/>
    <w:rsid w:val="00FC3AA6"/>
    <w:rsid w:val="00FC3C70"/>
    <w:rsid w:val="00FC401B"/>
    <w:rsid w:val="00FC4C11"/>
    <w:rsid w:val="00FC50E2"/>
    <w:rsid w:val="00FC6309"/>
    <w:rsid w:val="00FC6AAB"/>
    <w:rsid w:val="00FC6E60"/>
    <w:rsid w:val="00FC6FFE"/>
    <w:rsid w:val="00FC7477"/>
    <w:rsid w:val="00FC7768"/>
    <w:rsid w:val="00FC7D94"/>
    <w:rsid w:val="00FC7E82"/>
    <w:rsid w:val="00FD0AC0"/>
    <w:rsid w:val="00FD10ED"/>
    <w:rsid w:val="00FD185A"/>
    <w:rsid w:val="00FD2F4E"/>
    <w:rsid w:val="00FD307E"/>
    <w:rsid w:val="00FD30DD"/>
    <w:rsid w:val="00FD32FA"/>
    <w:rsid w:val="00FD33A7"/>
    <w:rsid w:val="00FD4568"/>
    <w:rsid w:val="00FD46CD"/>
    <w:rsid w:val="00FD48E3"/>
    <w:rsid w:val="00FD4E9D"/>
    <w:rsid w:val="00FD55A5"/>
    <w:rsid w:val="00FD5A2E"/>
    <w:rsid w:val="00FD5D10"/>
    <w:rsid w:val="00FD5EF9"/>
    <w:rsid w:val="00FD64C2"/>
    <w:rsid w:val="00FD71D4"/>
    <w:rsid w:val="00FD7460"/>
    <w:rsid w:val="00FD7492"/>
    <w:rsid w:val="00FE0110"/>
    <w:rsid w:val="00FE023E"/>
    <w:rsid w:val="00FE0C0C"/>
    <w:rsid w:val="00FE0E75"/>
    <w:rsid w:val="00FE0F0E"/>
    <w:rsid w:val="00FE1196"/>
    <w:rsid w:val="00FE148D"/>
    <w:rsid w:val="00FE19C5"/>
    <w:rsid w:val="00FE1D89"/>
    <w:rsid w:val="00FE23E9"/>
    <w:rsid w:val="00FE267C"/>
    <w:rsid w:val="00FE2D4F"/>
    <w:rsid w:val="00FE347F"/>
    <w:rsid w:val="00FE3791"/>
    <w:rsid w:val="00FE3A73"/>
    <w:rsid w:val="00FE4745"/>
    <w:rsid w:val="00FE4948"/>
    <w:rsid w:val="00FE4E00"/>
    <w:rsid w:val="00FE4EE1"/>
    <w:rsid w:val="00FE61E3"/>
    <w:rsid w:val="00FE7EC8"/>
    <w:rsid w:val="00FE7EF4"/>
    <w:rsid w:val="00FF0A82"/>
    <w:rsid w:val="00FF0CBB"/>
    <w:rsid w:val="00FF0FAA"/>
    <w:rsid w:val="00FF13C1"/>
    <w:rsid w:val="00FF1BD3"/>
    <w:rsid w:val="00FF1C0B"/>
    <w:rsid w:val="00FF1CF2"/>
    <w:rsid w:val="00FF1FDD"/>
    <w:rsid w:val="00FF3FCF"/>
    <w:rsid w:val="00FF3FE7"/>
    <w:rsid w:val="00FF4478"/>
    <w:rsid w:val="00FF4DED"/>
    <w:rsid w:val="00FF5358"/>
    <w:rsid w:val="00FF5750"/>
    <w:rsid w:val="00FF5EBF"/>
    <w:rsid w:val="00FF5EE4"/>
    <w:rsid w:val="00FF633B"/>
    <w:rsid w:val="00FF6847"/>
    <w:rsid w:val="00FF68EF"/>
    <w:rsid w:val="00FF6BBE"/>
    <w:rsid w:val="00FF6D0B"/>
    <w:rsid w:val="00FF6F3A"/>
    <w:rsid w:val="00FF73F1"/>
    <w:rsid w:val="00FF776B"/>
    <w:rsid w:val="00FF7D2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A9D26"/>
  <w15:docId w15:val="{4F861A35-D205-4067-9FD3-21F8AD48A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9AF"/>
  </w:style>
  <w:style w:type="paragraph" w:styleId="Ttulo1">
    <w:name w:val="heading 1"/>
    <w:basedOn w:val="Normal"/>
    <w:next w:val="Normal"/>
    <w:link w:val="Ttulo1Car"/>
    <w:uiPriority w:val="9"/>
    <w:qFormat/>
    <w:rsid w:val="006219AF"/>
    <w:pPr>
      <w:pBdr>
        <w:top w:val="single" w:sz="24" w:space="0" w:color="CC66FF" w:themeColor="accent1"/>
        <w:left w:val="single" w:sz="24" w:space="0" w:color="CC66FF" w:themeColor="accent1"/>
        <w:bottom w:val="single" w:sz="24" w:space="0" w:color="CC66FF" w:themeColor="accent1"/>
        <w:right w:val="single" w:sz="24" w:space="0" w:color="CC66FF" w:themeColor="accent1"/>
      </w:pBdr>
      <w:shd w:val="clear" w:color="auto" w:fill="CC66FF"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6219AF"/>
    <w:pPr>
      <w:pBdr>
        <w:top w:val="single" w:sz="24" w:space="0" w:color="F4E0FF" w:themeColor="accent1" w:themeTint="33"/>
        <w:left w:val="single" w:sz="24" w:space="0" w:color="F4E0FF" w:themeColor="accent1" w:themeTint="33"/>
        <w:bottom w:val="single" w:sz="24" w:space="0" w:color="F4E0FF" w:themeColor="accent1" w:themeTint="33"/>
        <w:right w:val="single" w:sz="24" w:space="0" w:color="F4E0FF" w:themeColor="accent1" w:themeTint="33"/>
      </w:pBdr>
      <w:shd w:val="clear" w:color="auto" w:fill="F4E0FF"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6219AF"/>
    <w:pPr>
      <w:pBdr>
        <w:top w:val="single" w:sz="6" w:space="2" w:color="CC66FF" w:themeColor="accent1"/>
      </w:pBdr>
      <w:spacing w:before="300" w:after="0"/>
      <w:outlineLvl w:val="2"/>
    </w:pPr>
    <w:rPr>
      <w:caps/>
      <w:color w:val="7600B1" w:themeColor="accent1" w:themeShade="7F"/>
      <w:spacing w:val="15"/>
    </w:rPr>
  </w:style>
  <w:style w:type="paragraph" w:styleId="Ttulo4">
    <w:name w:val="heading 4"/>
    <w:basedOn w:val="Normal"/>
    <w:next w:val="Normal"/>
    <w:link w:val="Ttulo4Car"/>
    <w:uiPriority w:val="9"/>
    <w:unhideWhenUsed/>
    <w:qFormat/>
    <w:rsid w:val="006219AF"/>
    <w:pPr>
      <w:pBdr>
        <w:top w:val="dotted" w:sz="6" w:space="2" w:color="CC66FF" w:themeColor="accent1"/>
      </w:pBdr>
      <w:spacing w:before="200" w:after="0"/>
      <w:outlineLvl w:val="3"/>
    </w:pPr>
    <w:rPr>
      <w:caps/>
      <w:color w:val="AE0CFF" w:themeColor="accent1" w:themeShade="BF"/>
      <w:spacing w:val="10"/>
    </w:rPr>
  </w:style>
  <w:style w:type="paragraph" w:styleId="Ttulo5">
    <w:name w:val="heading 5"/>
    <w:basedOn w:val="Normal"/>
    <w:next w:val="Normal"/>
    <w:link w:val="Ttulo5Car"/>
    <w:uiPriority w:val="9"/>
    <w:unhideWhenUsed/>
    <w:qFormat/>
    <w:rsid w:val="006219AF"/>
    <w:pPr>
      <w:pBdr>
        <w:bottom w:val="single" w:sz="6" w:space="1" w:color="CC66FF" w:themeColor="accent1"/>
      </w:pBdr>
      <w:spacing w:before="200" w:after="0"/>
      <w:outlineLvl w:val="4"/>
    </w:pPr>
    <w:rPr>
      <w:caps/>
      <w:color w:val="AE0CFF" w:themeColor="accent1" w:themeShade="BF"/>
      <w:spacing w:val="10"/>
    </w:rPr>
  </w:style>
  <w:style w:type="paragraph" w:styleId="Ttulo6">
    <w:name w:val="heading 6"/>
    <w:basedOn w:val="Normal"/>
    <w:next w:val="Normal"/>
    <w:link w:val="Ttulo6Car"/>
    <w:uiPriority w:val="9"/>
    <w:unhideWhenUsed/>
    <w:qFormat/>
    <w:rsid w:val="006219AF"/>
    <w:pPr>
      <w:pBdr>
        <w:bottom w:val="dotted" w:sz="6" w:space="1" w:color="CC66FF" w:themeColor="accent1"/>
      </w:pBdr>
      <w:spacing w:before="200" w:after="0"/>
      <w:outlineLvl w:val="5"/>
    </w:pPr>
    <w:rPr>
      <w:caps/>
      <w:color w:val="AE0CFF" w:themeColor="accent1" w:themeShade="BF"/>
      <w:spacing w:val="10"/>
    </w:rPr>
  </w:style>
  <w:style w:type="paragraph" w:styleId="Ttulo7">
    <w:name w:val="heading 7"/>
    <w:basedOn w:val="Normal"/>
    <w:next w:val="Normal"/>
    <w:link w:val="Ttulo7Car"/>
    <w:uiPriority w:val="9"/>
    <w:semiHidden/>
    <w:unhideWhenUsed/>
    <w:qFormat/>
    <w:rsid w:val="006219AF"/>
    <w:pPr>
      <w:spacing w:before="200" w:after="0"/>
      <w:outlineLvl w:val="6"/>
    </w:pPr>
    <w:rPr>
      <w:caps/>
      <w:color w:val="AE0CFF" w:themeColor="accent1" w:themeShade="BF"/>
      <w:spacing w:val="10"/>
    </w:rPr>
  </w:style>
  <w:style w:type="paragraph" w:styleId="Ttulo8">
    <w:name w:val="heading 8"/>
    <w:basedOn w:val="Normal"/>
    <w:next w:val="Normal"/>
    <w:link w:val="Ttulo8Car"/>
    <w:uiPriority w:val="9"/>
    <w:semiHidden/>
    <w:unhideWhenUsed/>
    <w:qFormat/>
    <w:rsid w:val="006219AF"/>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6219AF"/>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19AF"/>
    <w:rPr>
      <w:caps/>
      <w:color w:val="FFFFFF" w:themeColor="background1"/>
      <w:spacing w:val="15"/>
      <w:sz w:val="22"/>
      <w:szCs w:val="22"/>
      <w:shd w:val="clear" w:color="auto" w:fill="CC66FF" w:themeFill="accent1"/>
    </w:rPr>
  </w:style>
  <w:style w:type="character" w:customStyle="1" w:styleId="Ttulo2Car">
    <w:name w:val="Título 2 Car"/>
    <w:basedOn w:val="Fuentedeprrafopredeter"/>
    <w:link w:val="Ttulo2"/>
    <w:uiPriority w:val="9"/>
    <w:rsid w:val="006219AF"/>
    <w:rPr>
      <w:caps/>
      <w:spacing w:val="15"/>
      <w:shd w:val="clear" w:color="auto" w:fill="F4E0FF" w:themeFill="accent1" w:themeFillTint="33"/>
    </w:rPr>
  </w:style>
  <w:style w:type="character" w:customStyle="1" w:styleId="Ttulo3Car">
    <w:name w:val="Título 3 Car"/>
    <w:basedOn w:val="Fuentedeprrafopredeter"/>
    <w:link w:val="Ttulo3"/>
    <w:uiPriority w:val="9"/>
    <w:rsid w:val="006219AF"/>
    <w:rPr>
      <w:caps/>
      <w:color w:val="7600B1" w:themeColor="accent1" w:themeShade="7F"/>
      <w:spacing w:val="15"/>
    </w:rPr>
  </w:style>
  <w:style w:type="character" w:customStyle="1" w:styleId="Ttulo4Car">
    <w:name w:val="Título 4 Car"/>
    <w:basedOn w:val="Fuentedeprrafopredeter"/>
    <w:link w:val="Ttulo4"/>
    <w:uiPriority w:val="9"/>
    <w:rsid w:val="006219AF"/>
    <w:rPr>
      <w:caps/>
      <w:color w:val="AE0CFF" w:themeColor="accent1" w:themeShade="BF"/>
      <w:spacing w:val="10"/>
    </w:rPr>
  </w:style>
  <w:style w:type="character" w:customStyle="1" w:styleId="Ttulo8Car">
    <w:name w:val="Título 8 Car"/>
    <w:basedOn w:val="Fuentedeprrafopredeter"/>
    <w:link w:val="Ttulo8"/>
    <w:uiPriority w:val="9"/>
    <w:semiHidden/>
    <w:rsid w:val="006219AF"/>
    <w:rPr>
      <w:caps/>
      <w:spacing w:val="10"/>
      <w:sz w:val="18"/>
      <w:szCs w:val="18"/>
    </w:rPr>
  </w:style>
  <w:style w:type="character" w:customStyle="1" w:styleId="Ttulo9Car">
    <w:name w:val="Título 9 Car"/>
    <w:basedOn w:val="Fuentedeprrafopredeter"/>
    <w:link w:val="Ttulo9"/>
    <w:uiPriority w:val="9"/>
    <w:semiHidden/>
    <w:rsid w:val="006219AF"/>
    <w:rPr>
      <w:i/>
      <w:iCs/>
      <w:caps/>
      <w:spacing w:val="10"/>
      <w:sz w:val="18"/>
      <w:szCs w:val="18"/>
    </w:rPr>
  </w:style>
  <w:style w:type="paragraph" w:styleId="Encabezado">
    <w:name w:val="header"/>
    <w:basedOn w:val="Normal"/>
    <w:link w:val="EncabezadoCar"/>
    <w:uiPriority w:val="99"/>
    <w:unhideWhenUsed/>
    <w:rsid w:val="00821493"/>
    <w:pPr>
      <w:tabs>
        <w:tab w:val="center" w:pos="4252"/>
        <w:tab w:val="right" w:pos="8504"/>
      </w:tabs>
    </w:pPr>
    <w:rPr>
      <w:color w:val="000000"/>
      <w:kern w:val="28"/>
      <w:szCs w:val="19"/>
      <w:lang w:eastAsia="es-ES"/>
      <w14:ligatures w14:val="standard"/>
      <w14:cntxtAlts/>
    </w:rPr>
  </w:style>
  <w:style w:type="character" w:customStyle="1" w:styleId="EncabezadoCar">
    <w:name w:val="Encabezado Car"/>
    <w:basedOn w:val="Fuentedeprrafopredeter"/>
    <w:link w:val="Encabezado"/>
    <w:uiPriority w:val="99"/>
    <w:rsid w:val="00821493"/>
    <w:rPr>
      <w:rFonts w:ascii="Eras Light ITC" w:eastAsia="Times New Roman" w:hAnsi="Eras Light ITC" w:cs="Times New Roman"/>
      <w:color w:val="000000"/>
      <w:kern w:val="28"/>
      <w:sz w:val="19"/>
      <w:szCs w:val="19"/>
      <w:lang w:eastAsia="es-ES"/>
      <w14:ligatures w14:val="standard"/>
      <w14:cntxtAlts/>
    </w:rPr>
  </w:style>
  <w:style w:type="paragraph" w:styleId="Piedepgina">
    <w:name w:val="footer"/>
    <w:basedOn w:val="Normal"/>
    <w:link w:val="PiedepginaCar"/>
    <w:uiPriority w:val="99"/>
    <w:unhideWhenUsed/>
    <w:rsid w:val="00821493"/>
    <w:pPr>
      <w:tabs>
        <w:tab w:val="center" w:pos="4252"/>
        <w:tab w:val="right" w:pos="8504"/>
      </w:tabs>
    </w:pPr>
    <w:rPr>
      <w:color w:val="000000"/>
      <w:kern w:val="28"/>
      <w:szCs w:val="19"/>
      <w:lang w:eastAsia="es-ES"/>
      <w14:ligatures w14:val="standard"/>
      <w14:cntxtAlts/>
    </w:rPr>
  </w:style>
  <w:style w:type="character" w:customStyle="1" w:styleId="PiedepginaCar">
    <w:name w:val="Pie de página Car"/>
    <w:basedOn w:val="Fuentedeprrafopredeter"/>
    <w:link w:val="Piedepgina"/>
    <w:uiPriority w:val="99"/>
    <w:rsid w:val="00821493"/>
    <w:rPr>
      <w:rFonts w:ascii="Eras Light ITC" w:eastAsia="Times New Roman" w:hAnsi="Eras Light ITC" w:cs="Times New Roman"/>
      <w:color w:val="000000"/>
      <w:kern w:val="28"/>
      <w:sz w:val="19"/>
      <w:szCs w:val="19"/>
      <w:lang w:eastAsia="es-ES"/>
      <w14:ligatures w14:val="standard"/>
      <w14:cntxtAlts/>
    </w:rPr>
  </w:style>
  <w:style w:type="character" w:styleId="Hipervnculo">
    <w:name w:val="Hyperlink"/>
    <w:basedOn w:val="Fuentedeprrafopredeter"/>
    <w:uiPriority w:val="99"/>
    <w:unhideWhenUsed/>
    <w:rsid w:val="00553410"/>
    <w:rPr>
      <w:color w:val="0563C1" w:themeColor="hyperlink"/>
      <w:u w:val="single"/>
    </w:rPr>
  </w:style>
  <w:style w:type="paragraph" w:styleId="TDC1">
    <w:name w:val="toc 1"/>
    <w:basedOn w:val="Normal"/>
    <w:next w:val="Normal"/>
    <w:autoRedefine/>
    <w:uiPriority w:val="39"/>
    <w:unhideWhenUsed/>
    <w:rsid w:val="00C12D18"/>
    <w:pPr>
      <w:spacing w:before="120" w:after="0"/>
    </w:pPr>
    <w:rPr>
      <w:b/>
      <w:bCs/>
      <w:i/>
      <w:iCs/>
    </w:rPr>
  </w:style>
  <w:style w:type="paragraph" w:styleId="TDC2">
    <w:name w:val="toc 2"/>
    <w:basedOn w:val="Normal"/>
    <w:next w:val="Normal"/>
    <w:autoRedefine/>
    <w:uiPriority w:val="39"/>
    <w:unhideWhenUsed/>
    <w:rsid w:val="00C12D18"/>
    <w:pPr>
      <w:spacing w:before="120" w:after="0"/>
      <w:ind w:left="240"/>
    </w:pPr>
    <w:rPr>
      <w:b/>
      <w:bCs/>
      <w:sz w:val="22"/>
      <w:szCs w:val="22"/>
    </w:rPr>
  </w:style>
  <w:style w:type="paragraph" w:styleId="Prrafodelista">
    <w:name w:val="List Paragraph"/>
    <w:basedOn w:val="Normal"/>
    <w:uiPriority w:val="34"/>
    <w:qFormat/>
    <w:rsid w:val="00F63D29"/>
    <w:pPr>
      <w:ind w:left="720"/>
      <w:contextualSpacing/>
    </w:pPr>
  </w:style>
  <w:style w:type="table" w:styleId="Sombreadomedio2-nfasis2">
    <w:name w:val="Medium Shading 2 Accent 2"/>
    <w:basedOn w:val="Tablanormal"/>
    <w:uiPriority w:val="64"/>
    <w:rsid w:val="00826B7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009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0099" w:themeFill="accent2"/>
      </w:tcPr>
    </w:tblStylePr>
    <w:tblStylePr w:type="lastCol">
      <w:rPr>
        <w:b/>
        <w:bCs/>
        <w:color w:val="FFFFFF" w:themeColor="background1"/>
      </w:rPr>
      <w:tblPr/>
      <w:tcPr>
        <w:tcBorders>
          <w:left w:val="nil"/>
          <w:right w:val="nil"/>
          <w:insideH w:val="nil"/>
          <w:insideV w:val="nil"/>
        </w:tcBorders>
        <w:shd w:val="clear" w:color="auto" w:fill="99009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850FB7"/>
    <w:pPr>
      <w:autoSpaceDE w:val="0"/>
      <w:autoSpaceDN w:val="0"/>
      <w:adjustRightInd w:val="0"/>
      <w:spacing w:after="0" w:line="240" w:lineRule="auto"/>
    </w:pPr>
    <w:rPr>
      <w:rFonts w:ascii="Arial" w:hAnsi="Arial" w:cs="Arial"/>
      <w:color w:val="000000"/>
    </w:rPr>
  </w:style>
  <w:style w:type="table" w:styleId="Tablaconcuadrcula">
    <w:name w:val="Table Grid"/>
    <w:basedOn w:val="Tablanormal"/>
    <w:uiPriority w:val="59"/>
    <w:rsid w:val="002D3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unhideWhenUsed/>
    <w:rsid w:val="002006AC"/>
    <w:rPr>
      <w:rFonts w:ascii="Tahoma" w:hAnsi="Tahoma" w:cs="Tahoma"/>
      <w:color w:val="000000"/>
      <w:kern w:val="28"/>
      <w:szCs w:val="16"/>
      <w:lang w:eastAsia="es-ES"/>
      <w14:ligatures w14:val="standard"/>
      <w14:cntxtAlts/>
    </w:rPr>
  </w:style>
  <w:style w:type="character" w:customStyle="1" w:styleId="TextodegloboCar">
    <w:name w:val="Texto de globo Car"/>
    <w:basedOn w:val="Fuentedeprrafopredeter"/>
    <w:link w:val="Textodeglobo"/>
    <w:semiHidden/>
    <w:rsid w:val="002006AC"/>
    <w:rPr>
      <w:rFonts w:ascii="Tahoma" w:eastAsia="Times New Roman" w:hAnsi="Tahoma" w:cs="Tahoma"/>
      <w:color w:val="000000"/>
      <w:kern w:val="28"/>
      <w:sz w:val="16"/>
      <w:szCs w:val="16"/>
      <w:lang w:eastAsia="es-ES"/>
      <w14:ligatures w14:val="standard"/>
      <w14:cntxtAlts/>
    </w:rPr>
  </w:style>
  <w:style w:type="table" w:styleId="Listamedia2-nfasis2">
    <w:name w:val="Medium List 2 Accent 2"/>
    <w:basedOn w:val="Tablanormal"/>
    <w:uiPriority w:val="66"/>
    <w:rsid w:val="003A30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99" w:themeColor="accent2"/>
        <w:left w:val="single" w:sz="8" w:space="0" w:color="990099" w:themeColor="accent2"/>
        <w:bottom w:val="single" w:sz="8" w:space="0" w:color="990099" w:themeColor="accent2"/>
        <w:right w:val="single" w:sz="8" w:space="0" w:color="990099" w:themeColor="accent2"/>
      </w:tblBorders>
    </w:tblPr>
    <w:tblStylePr w:type="firstRow">
      <w:rPr>
        <w:sz w:val="24"/>
        <w:szCs w:val="24"/>
      </w:rPr>
      <w:tblPr/>
      <w:tcPr>
        <w:tcBorders>
          <w:top w:val="nil"/>
          <w:left w:val="nil"/>
          <w:bottom w:val="single" w:sz="24" w:space="0" w:color="990099" w:themeColor="accent2"/>
          <w:right w:val="nil"/>
          <w:insideH w:val="nil"/>
          <w:insideV w:val="nil"/>
        </w:tcBorders>
        <w:shd w:val="clear" w:color="auto" w:fill="FFFFFF" w:themeFill="background1"/>
      </w:tcPr>
    </w:tblStylePr>
    <w:tblStylePr w:type="lastRow">
      <w:tblPr/>
      <w:tcPr>
        <w:tcBorders>
          <w:top w:val="single" w:sz="8" w:space="0" w:color="99009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0099" w:themeColor="accent2"/>
          <w:insideH w:val="nil"/>
          <w:insideV w:val="nil"/>
        </w:tcBorders>
        <w:shd w:val="clear" w:color="auto" w:fill="FFFFFF" w:themeFill="background1"/>
      </w:tcPr>
    </w:tblStylePr>
    <w:tblStylePr w:type="lastCol">
      <w:tblPr/>
      <w:tcPr>
        <w:tcBorders>
          <w:top w:val="nil"/>
          <w:left w:val="single" w:sz="8" w:space="0" w:color="99009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6FF" w:themeFill="accent2" w:themeFillTint="3F"/>
      </w:tcPr>
    </w:tblStylePr>
    <w:tblStylePr w:type="band1Horz">
      <w:tblPr/>
      <w:tcPr>
        <w:tcBorders>
          <w:top w:val="nil"/>
          <w:bottom w:val="nil"/>
          <w:insideH w:val="nil"/>
          <w:insideV w:val="nil"/>
        </w:tcBorders>
        <w:shd w:val="clear" w:color="auto" w:fill="FFA6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3-nfasis2">
    <w:name w:val="Medium Grid 3 Accent 2"/>
    <w:basedOn w:val="Tablanormal"/>
    <w:uiPriority w:val="69"/>
    <w:rsid w:val="003A30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6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009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009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009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009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D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DFF" w:themeFill="accent2" w:themeFillTint="7F"/>
      </w:tcPr>
    </w:tblStylePr>
  </w:style>
  <w:style w:type="table" w:styleId="Cuadrculamedia3-nfasis4">
    <w:name w:val="Medium Grid 3 Accent 4"/>
    <w:basedOn w:val="Tablanormal"/>
    <w:uiPriority w:val="69"/>
    <w:rsid w:val="003A30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4" w:themeFillTint="7F"/>
      </w:tcPr>
    </w:tblStylePr>
  </w:style>
  <w:style w:type="table" w:styleId="Sombreadoclaro-nfasis4">
    <w:name w:val="Light Shading Accent 4"/>
    <w:basedOn w:val="Tablanormal"/>
    <w:uiPriority w:val="60"/>
    <w:rsid w:val="003A3010"/>
    <w:pPr>
      <w:spacing w:after="0" w:line="240" w:lineRule="auto"/>
    </w:pPr>
    <w:rPr>
      <w:color w:val="BF0000" w:themeColor="accent4" w:themeShade="BF"/>
    </w:rPr>
    <w:tblPr>
      <w:tblStyleRowBandSize w:val="1"/>
      <w:tblStyleColBandSize w:val="1"/>
      <w:tblBorders>
        <w:top w:val="single" w:sz="8" w:space="0" w:color="FF0000" w:themeColor="accent4"/>
        <w:bottom w:val="single" w:sz="8" w:space="0" w:color="FF0000" w:themeColor="accent4"/>
      </w:tblBorders>
    </w:tblPr>
    <w:tblStylePr w:type="firstRow">
      <w:pPr>
        <w:spacing w:before="0" w:after="0" w:line="240" w:lineRule="auto"/>
      </w:pPr>
      <w:rPr>
        <w:b/>
        <w:bCs/>
      </w:rPr>
      <w:tblPr/>
      <w:tcPr>
        <w:tcBorders>
          <w:top w:val="single" w:sz="8" w:space="0" w:color="FF0000" w:themeColor="accent4"/>
          <w:left w:val="nil"/>
          <w:bottom w:val="single" w:sz="8" w:space="0" w:color="FF0000" w:themeColor="accent4"/>
          <w:right w:val="nil"/>
          <w:insideH w:val="nil"/>
          <w:insideV w:val="nil"/>
        </w:tcBorders>
      </w:tcPr>
    </w:tblStylePr>
    <w:tblStylePr w:type="lastRow">
      <w:pPr>
        <w:spacing w:before="0" w:after="0" w:line="240" w:lineRule="auto"/>
      </w:pPr>
      <w:rPr>
        <w:b/>
        <w:bCs/>
      </w:rPr>
      <w:tblPr/>
      <w:tcPr>
        <w:tcBorders>
          <w:top w:val="single" w:sz="8" w:space="0" w:color="FF0000" w:themeColor="accent4"/>
          <w:left w:val="nil"/>
          <w:bottom w:val="single" w:sz="8" w:space="0" w:color="FF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4" w:themeFillTint="3F"/>
      </w:tcPr>
    </w:tblStylePr>
    <w:tblStylePr w:type="band1Horz">
      <w:tblPr/>
      <w:tcPr>
        <w:tcBorders>
          <w:left w:val="nil"/>
          <w:right w:val="nil"/>
          <w:insideH w:val="nil"/>
          <w:insideV w:val="nil"/>
        </w:tcBorders>
        <w:shd w:val="clear" w:color="auto" w:fill="FFC0C0" w:themeFill="accent4" w:themeFillTint="3F"/>
      </w:tcPr>
    </w:tblStylePr>
  </w:style>
  <w:style w:type="table" w:styleId="Listamedia2-nfasis4">
    <w:name w:val="Medium List 2 Accent 4"/>
    <w:basedOn w:val="Tablanormal"/>
    <w:uiPriority w:val="66"/>
    <w:rsid w:val="003A30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4"/>
        <w:left w:val="single" w:sz="8" w:space="0" w:color="FF0000" w:themeColor="accent4"/>
        <w:bottom w:val="single" w:sz="8" w:space="0" w:color="FF0000" w:themeColor="accent4"/>
        <w:right w:val="single" w:sz="8" w:space="0" w:color="FF0000" w:themeColor="accent4"/>
      </w:tblBorders>
    </w:tblPr>
    <w:tblStylePr w:type="firstRow">
      <w:rPr>
        <w:sz w:val="24"/>
        <w:szCs w:val="24"/>
      </w:rPr>
      <w:tblPr/>
      <w:tcPr>
        <w:tcBorders>
          <w:top w:val="nil"/>
          <w:left w:val="nil"/>
          <w:bottom w:val="single" w:sz="24" w:space="0" w:color="FF0000" w:themeColor="accent4"/>
          <w:right w:val="nil"/>
          <w:insideH w:val="nil"/>
          <w:insideV w:val="nil"/>
        </w:tcBorders>
        <w:shd w:val="clear" w:color="auto" w:fill="FFFFFF" w:themeFill="background1"/>
      </w:tcPr>
    </w:tblStylePr>
    <w:tblStylePr w:type="lastRow">
      <w:tblPr/>
      <w:tcPr>
        <w:tcBorders>
          <w:top w:val="single" w:sz="8" w:space="0" w:color="FF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4"/>
          <w:insideH w:val="nil"/>
          <w:insideV w:val="nil"/>
        </w:tcBorders>
        <w:shd w:val="clear" w:color="auto" w:fill="FFFFFF" w:themeFill="background1"/>
      </w:tcPr>
    </w:tblStylePr>
    <w:tblStylePr w:type="lastCol">
      <w:tblPr/>
      <w:tcPr>
        <w:tcBorders>
          <w:top w:val="nil"/>
          <w:left w:val="single" w:sz="8" w:space="0" w:color="FF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4" w:themeFillTint="3F"/>
      </w:tcPr>
    </w:tblStylePr>
    <w:tblStylePr w:type="band1Horz">
      <w:tblPr/>
      <w:tcPr>
        <w:tcBorders>
          <w:top w:val="nil"/>
          <w:bottom w:val="nil"/>
          <w:insideH w:val="nil"/>
          <w:insideV w:val="nil"/>
        </w:tcBorders>
        <w:shd w:val="clear" w:color="auto" w:fill="FFC0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styleId="Sangra3detindependiente">
    <w:name w:val="Body Text Indent 3"/>
    <w:basedOn w:val="Normal"/>
    <w:link w:val="Sangra3detindependienteCar"/>
    <w:semiHidden/>
    <w:rsid w:val="008F760A"/>
    <w:pPr>
      <w:autoSpaceDE w:val="0"/>
      <w:autoSpaceDN w:val="0"/>
      <w:adjustRightInd w:val="0"/>
      <w:ind w:left="540"/>
    </w:pPr>
    <w:rPr>
      <w:rFonts w:ascii="Futura-Book" w:hAnsi="Futura-Book" w:cs="Arial"/>
      <w:szCs w:val="22"/>
      <w:lang w:eastAsia="es-ES"/>
    </w:rPr>
  </w:style>
  <w:style w:type="character" w:customStyle="1" w:styleId="Sangra3detindependienteCar">
    <w:name w:val="Sangría 3 de t. independiente Car"/>
    <w:basedOn w:val="Fuentedeprrafopredeter"/>
    <w:link w:val="Sangra3detindependiente"/>
    <w:semiHidden/>
    <w:rsid w:val="008F760A"/>
    <w:rPr>
      <w:rFonts w:ascii="Futura-Book" w:eastAsia="Times New Roman" w:hAnsi="Futura-Book" w:cs="Arial"/>
      <w:lang w:eastAsia="es-ES"/>
    </w:rPr>
  </w:style>
  <w:style w:type="paragraph" w:customStyle="1" w:styleId="Car">
    <w:name w:val="Car"/>
    <w:basedOn w:val="Normal"/>
    <w:rsid w:val="003F7E72"/>
    <w:pPr>
      <w:spacing w:after="160" w:line="240" w:lineRule="exact"/>
    </w:pPr>
    <w:rPr>
      <w:rFonts w:ascii="Verdana" w:hAnsi="Verdana"/>
      <w:lang w:val="en-US"/>
    </w:rPr>
  </w:style>
  <w:style w:type="character" w:styleId="Textodelmarcadordeposicin">
    <w:name w:val="Placeholder Text"/>
    <w:basedOn w:val="Fuentedeprrafopredeter"/>
    <w:uiPriority w:val="99"/>
    <w:semiHidden/>
    <w:rsid w:val="00BF1C39"/>
    <w:rPr>
      <w:color w:val="808080"/>
    </w:rPr>
  </w:style>
  <w:style w:type="paragraph" w:customStyle="1" w:styleId="Sinespaciado1">
    <w:name w:val="Sin espaciado1"/>
    <w:autoRedefine/>
    <w:rsid w:val="00BF1C39"/>
    <w:pPr>
      <w:spacing w:line="240" w:lineRule="auto"/>
      <w:ind w:left="708"/>
    </w:pPr>
    <w:rPr>
      <w:rFonts w:ascii="Century Gothic" w:eastAsia="Times New Roman" w:hAnsi="Century Gothic" w:cs="Times New Roman"/>
      <w:i/>
      <w:color w:val="7F7F7F" w:themeColor="text1" w:themeTint="80"/>
      <w:kern w:val="28"/>
      <w:lang w:val="es-ES_tradnl" w:eastAsia="es-ES"/>
    </w:rPr>
  </w:style>
  <w:style w:type="paragraph" w:customStyle="1" w:styleId="Prrafodelista1">
    <w:name w:val="Párrafo de lista1"/>
    <w:basedOn w:val="Normal"/>
    <w:rsid w:val="00BF1C39"/>
    <w:pPr>
      <w:spacing w:after="120" w:line="285" w:lineRule="auto"/>
      <w:ind w:left="720"/>
      <w:contextualSpacing/>
    </w:pPr>
    <w:rPr>
      <w:rFonts w:eastAsia="Calibri"/>
      <w:color w:val="000000"/>
      <w:kern w:val="28"/>
      <w:szCs w:val="19"/>
      <w:lang w:eastAsia="es-ES"/>
    </w:rPr>
  </w:style>
  <w:style w:type="paragraph" w:styleId="Textonotapie">
    <w:name w:val="footnote text"/>
    <w:basedOn w:val="Normal"/>
    <w:link w:val="TextonotapieCar"/>
    <w:uiPriority w:val="99"/>
    <w:rsid w:val="00BF1C39"/>
    <w:rPr>
      <w:rFonts w:eastAsia="Calibri"/>
      <w:color w:val="000000"/>
      <w:kern w:val="28"/>
      <w:lang w:eastAsia="es-ES"/>
    </w:rPr>
  </w:style>
  <w:style w:type="character" w:customStyle="1" w:styleId="TextonotapieCar">
    <w:name w:val="Texto nota pie Car"/>
    <w:basedOn w:val="Fuentedeprrafopredeter"/>
    <w:link w:val="Textonotapie"/>
    <w:uiPriority w:val="99"/>
    <w:rsid w:val="00BF1C39"/>
    <w:rPr>
      <w:rFonts w:ascii="Century Gothic" w:eastAsia="Calibri" w:hAnsi="Century Gothic" w:cs="Times New Roman"/>
      <w:color w:val="000000"/>
      <w:kern w:val="28"/>
      <w:sz w:val="20"/>
      <w:szCs w:val="20"/>
      <w:lang w:eastAsia="es-ES"/>
    </w:rPr>
  </w:style>
  <w:style w:type="character" w:styleId="Refdenotaalpie">
    <w:name w:val="footnote reference"/>
    <w:basedOn w:val="Fuentedeprrafopredeter"/>
    <w:uiPriority w:val="99"/>
    <w:semiHidden/>
    <w:rsid w:val="00BF1C39"/>
    <w:rPr>
      <w:rFonts w:cs="Times New Roman"/>
      <w:vertAlign w:val="superscript"/>
    </w:rPr>
  </w:style>
  <w:style w:type="paragraph" w:styleId="NormalWeb">
    <w:name w:val="Normal (Web)"/>
    <w:basedOn w:val="Normal"/>
    <w:uiPriority w:val="99"/>
    <w:semiHidden/>
    <w:rsid w:val="00BF1C39"/>
    <w:pPr>
      <w:spacing w:beforeAutospacing="1" w:after="100" w:afterAutospacing="1"/>
    </w:pPr>
    <w:rPr>
      <w:rFonts w:eastAsia="Calibri"/>
      <w:lang w:eastAsia="es-ES"/>
    </w:rPr>
  </w:style>
  <w:style w:type="table" w:styleId="Sombreadovistoso-nfasis4">
    <w:name w:val="Colorful Shading Accent 4"/>
    <w:basedOn w:val="Tablanormal"/>
    <w:uiPriority w:val="71"/>
    <w:rsid w:val="00891CBB"/>
    <w:pPr>
      <w:spacing w:after="0" w:line="240" w:lineRule="auto"/>
    </w:pPr>
    <w:rPr>
      <w:color w:val="000000" w:themeColor="text1"/>
    </w:rPr>
    <w:tblPr>
      <w:tblStyleRowBandSize w:val="1"/>
      <w:tblStyleColBandSize w:val="1"/>
      <w:tblBorders>
        <w:top w:val="single" w:sz="24" w:space="0" w:color="CC0066" w:themeColor="accent3"/>
        <w:left w:val="single" w:sz="4" w:space="0" w:color="FF0000" w:themeColor="accent4"/>
        <w:bottom w:val="single" w:sz="4" w:space="0" w:color="FF0000" w:themeColor="accent4"/>
        <w:right w:val="single" w:sz="4" w:space="0" w:color="FF0000" w:themeColor="accent4"/>
        <w:insideH w:val="single" w:sz="4" w:space="0" w:color="FFFFFF" w:themeColor="background1"/>
        <w:insideV w:val="single" w:sz="4" w:space="0" w:color="FFFFFF" w:themeColor="background1"/>
      </w:tblBorders>
    </w:tblPr>
    <w:tcPr>
      <w:shd w:val="clear" w:color="auto" w:fill="FFE6E6" w:themeFill="accent4" w:themeFillTint="19"/>
    </w:tcPr>
    <w:tblStylePr w:type="firstRow">
      <w:rPr>
        <w:b/>
        <w:bCs/>
      </w:rPr>
      <w:tblPr/>
      <w:tcPr>
        <w:tcBorders>
          <w:top w:val="nil"/>
          <w:left w:val="nil"/>
          <w:bottom w:val="single" w:sz="24" w:space="0" w:color="CC006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4" w:themeFillShade="99"/>
      </w:tcPr>
    </w:tblStylePr>
    <w:tblStylePr w:type="firstCol">
      <w:rPr>
        <w:color w:val="FFFFFF" w:themeColor="background1"/>
      </w:rPr>
      <w:tblPr/>
      <w:tcPr>
        <w:tcBorders>
          <w:top w:val="nil"/>
          <w:left w:val="nil"/>
          <w:bottom w:val="nil"/>
          <w:right w:val="nil"/>
          <w:insideH w:val="single" w:sz="4" w:space="0" w:color="990000" w:themeColor="accent4" w:themeShade="99"/>
          <w:insideV w:val="nil"/>
        </w:tcBorders>
        <w:shd w:val="clear" w:color="auto" w:fill="9900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4" w:themeFillShade="99"/>
      </w:tcPr>
    </w:tblStylePr>
    <w:tblStylePr w:type="band1Vert">
      <w:tblPr/>
      <w:tcPr>
        <w:shd w:val="clear" w:color="auto" w:fill="FF9999" w:themeFill="accent4" w:themeFillTint="66"/>
      </w:tcPr>
    </w:tblStylePr>
    <w:tblStylePr w:type="band1Horz">
      <w:tblPr/>
      <w:tcPr>
        <w:shd w:val="clear" w:color="auto" w:fill="FF8080" w:themeFill="accent4" w:themeFillTint="7F"/>
      </w:tcPr>
    </w:tblStylePr>
    <w:tblStylePr w:type="neCell">
      <w:rPr>
        <w:color w:val="000000" w:themeColor="text1"/>
      </w:rPr>
    </w:tblStylePr>
    <w:tblStylePr w:type="nwCell">
      <w:rPr>
        <w:color w:val="000000" w:themeColor="text1"/>
      </w:rPr>
    </w:tblStylePr>
  </w:style>
  <w:style w:type="table" w:styleId="Cuadrculamedia1-nfasis4">
    <w:name w:val="Medium Grid 1 Accent 4"/>
    <w:basedOn w:val="Tablanormal"/>
    <w:uiPriority w:val="67"/>
    <w:rsid w:val="00891CBB"/>
    <w:pPr>
      <w:spacing w:after="0" w:line="240" w:lineRule="auto"/>
    </w:pPr>
    <w:tblPr>
      <w:tblStyleRowBandSize w:val="1"/>
      <w:tblStyleColBandSize w:val="1"/>
      <w:tblBorders>
        <w:top w:val="single" w:sz="8" w:space="0" w:color="FF4040" w:themeColor="accent4" w:themeTint="BF"/>
        <w:left w:val="single" w:sz="8" w:space="0" w:color="FF4040" w:themeColor="accent4" w:themeTint="BF"/>
        <w:bottom w:val="single" w:sz="8" w:space="0" w:color="FF4040" w:themeColor="accent4" w:themeTint="BF"/>
        <w:right w:val="single" w:sz="8" w:space="0" w:color="FF4040" w:themeColor="accent4" w:themeTint="BF"/>
        <w:insideH w:val="single" w:sz="8" w:space="0" w:color="FF4040" w:themeColor="accent4" w:themeTint="BF"/>
        <w:insideV w:val="single" w:sz="8" w:space="0" w:color="FF4040" w:themeColor="accent4" w:themeTint="BF"/>
      </w:tblBorders>
    </w:tblPr>
    <w:tcPr>
      <w:shd w:val="clear" w:color="auto" w:fill="FFC0C0" w:themeFill="accent4" w:themeFillTint="3F"/>
    </w:tcPr>
    <w:tblStylePr w:type="firstRow">
      <w:rPr>
        <w:b/>
        <w:bCs/>
      </w:rPr>
    </w:tblStylePr>
    <w:tblStylePr w:type="lastRow">
      <w:rPr>
        <w:b/>
        <w:bCs/>
      </w:rPr>
      <w:tblPr/>
      <w:tcPr>
        <w:tcBorders>
          <w:top w:val="single" w:sz="18" w:space="0" w:color="FF4040" w:themeColor="accent4" w:themeTint="BF"/>
        </w:tcBorders>
      </w:tcPr>
    </w:tblStylePr>
    <w:tblStylePr w:type="firstCol">
      <w:rPr>
        <w:b/>
        <w:bCs/>
      </w:rPr>
    </w:tblStylePr>
    <w:tblStylePr w:type="lastCol">
      <w:rPr>
        <w:b/>
        <w:bCs/>
      </w:rPr>
    </w:tblStylePr>
    <w:tblStylePr w:type="band1Vert">
      <w:tblPr/>
      <w:tcPr>
        <w:shd w:val="clear" w:color="auto" w:fill="FF8080" w:themeFill="accent4" w:themeFillTint="7F"/>
      </w:tcPr>
    </w:tblStylePr>
    <w:tblStylePr w:type="band1Horz">
      <w:tblPr/>
      <w:tcPr>
        <w:shd w:val="clear" w:color="auto" w:fill="FF8080" w:themeFill="accent4" w:themeFillTint="7F"/>
      </w:tcPr>
    </w:tblStylePr>
  </w:style>
  <w:style w:type="paragraph" w:customStyle="1" w:styleId="notaalpie">
    <w:name w:val="nota al pie"/>
    <w:basedOn w:val="Textonotapie"/>
    <w:link w:val="notaalpieCar"/>
    <w:rsid w:val="009B64B7"/>
    <w:pPr>
      <w:spacing w:line="240" w:lineRule="auto"/>
    </w:pPr>
    <w:rPr>
      <w:i/>
      <w:szCs w:val="16"/>
    </w:rPr>
  </w:style>
  <w:style w:type="paragraph" w:styleId="Citadestacada">
    <w:name w:val="Intense Quote"/>
    <w:basedOn w:val="Normal"/>
    <w:next w:val="Normal"/>
    <w:link w:val="CitadestacadaCar"/>
    <w:uiPriority w:val="30"/>
    <w:qFormat/>
    <w:rsid w:val="006219AF"/>
    <w:pPr>
      <w:spacing w:before="240" w:after="240" w:line="240" w:lineRule="auto"/>
      <w:ind w:left="1080" w:right="1080"/>
      <w:jc w:val="center"/>
    </w:pPr>
    <w:rPr>
      <w:color w:val="CC66FF" w:themeColor="accent1"/>
      <w:sz w:val="24"/>
      <w:szCs w:val="24"/>
    </w:rPr>
  </w:style>
  <w:style w:type="character" w:customStyle="1" w:styleId="notaalpieCar">
    <w:name w:val="nota al pie Car"/>
    <w:basedOn w:val="TextonotapieCar"/>
    <w:link w:val="notaalpie"/>
    <w:rsid w:val="009B64B7"/>
    <w:rPr>
      <w:rFonts w:ascii="Tw Cen MT" w:eastAsia="Calibri" w:hAnsi="Tw Cen MT" w:cs="Times New Roman"/>
      <w:i/>
      <w:color w:val="000000"/>
      <w:kern w:val="28"/>
      <w:sz w:val="20"/>
      <w:szCs w:val="16"/>
      <w:lang w:eastAsia="es-ES"/>
    </w:rPr>
  </w:style>
  <w:style w:type="character" w:customStyle="1" w:styleId="CitadestacadaCar">
    <w:name w:val="Cita destacada Car"/>
    <w:basedOn w:val="Fuentedeprrafopredeter"/>
    <w:link w:val="Citadestacada"/>
    <w:uiPriority w:val="30"/>
    <w:rsid w:val="006219AF"/>
    <w:rPr>
      <w:color w:val="CC66FF" w:themeColor="accent1"/>
      <w:sz w:val="24"/>
      <w:szCs w:val="24"/>
    </w:rPr>
  </w:style>
  <w:style w:type="table" w:styleId="Sombreadomedio2-nfasis4">
    <w:name w:val="Medium Shading 2 Accent 4"/>
    <w:basedOn w:val="Tablanormal"/>
    <w:uiPriority w:val="64"/>
    <w:rsid w:val="006625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0000" w:themeFill="accent4"/>
      </w:tcPr>
    </w:tblStylePr>
    <w:tblStylePr w:type="lastCol">
      <w:rPr>
        <w:b/>
        <w:bCs/>
        <w:color w:val="FFFFFF" w:themeColor="background1"/>
      </w:rPr>
      <w:tblPr/>
      <w:tcPr>
        <w:tcBorders>
          <w:left w:val="nil"/>
          <w:right w:val="nil"/>
          <w:insideH w:val="nil"/>
          <w:insideV w:val="nil"/>
        </w:tcBorders>
        <w:shd w:val="clear" w:color="auto" w:fill="FF0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Sinespaciado">
    <w:name w:val="No Spacing"/>
    <w:link w:val="SinespaciadoCar"/>
    <w:uiPriority w:val="1"/>
    <w:qFormat/>
    <w:rsid w:val="006219AF"/>
    <w:pPr>
      <w:spacing w:after="0" w:line="240" w:lineRule="auto"/>
    </w:pPr>
  </w:style>
  <w:style w:type="character" w:customStyle="1" w:styleId="SinespaciadoCar">
    <w:name w:val="Sin espaciado Car"/>
    <w:basedOn w:val="Fuentedeprrafopredeter"/>
    <w:link w:val="Sinespaciado"/>
    <w:uiPriority w:val="1"/>
    <w:rsid w:val="00F445C3"/>
  </w:style>
  <w:style w:type="character" w:styleId="Refdecomentario">
    <w:name w:val="annotation reference"/>
    <w:basedOn w:val="Fuentedeprrafopredeter"/>
    <w:uiPriority w:val="99"/>
    <w:semiHidden/>
    <w:unhideWhenUsed/>
    <w:rsid w:val="00B93615"/>
    <w:rPr>
      <w:sz w:val="16"/>
      <w:szCs w:val="16"/>
    </w:rPr>
  </w:style>
  <w:style w:type="paragraph" w:styleId="Textocomentario">
    <w:name w:val="annotation text"/>
    <w:basedOn w:val="Normal"/>
    <w:link w:val="TextocomentarioCar"/>
    <w:uiPriority w:val="99"/>
    <w:unhideWhenUsed/>
    <w:rsid w:val="00B93615"/>
    <w:pPr>
      <w:spacing w:after="120"/>
    </w:pPr>
    <w:rPr>
      <w:rFonts w:cs="Century Gothic"/>
      <w:color w:val="000000"/>
      <w:kern w:val="28"/>
      <w:lang w:eastAsia="es-ES"/>
    </w:rPr>
  </w:style>
  <w:style w:type="character" w:customStyle="1" w:styleId="TextocomentarioCar">
    <w:name w:val="Texto comentario Car"/>
    <w:basedOn w:val="Fuentedeprrafopredeter"/>
    <w:link w:val="Textocomentario"/>
    <w:uiPriority w:val="99"/>
    <w:rsid w:val="00B93615"/>
    <w:rPr>
      <w:rFonts w:ascii="Century Gothic" w:eastAsia="Times New Roman" w:hAnsi="Century Gothic" w:cs="Century Gothic"/>
      <w:color w:val="000000"/>
      <w:kern w:val="28"/>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66DD3"/>
    <w:rPr>
      <w:rFonts w:cs="Times New Roman"/>
      <w:b/>
      <w:bCs/>
      <w14:ligatures w14:val="standard"/>
      <w14:cntxtAlts/>
    </w:rPr>
  </w:style>
  <w:style w:type="character" w:customStyle="1" w:styleId="AsuntodelcomentarioCar">
    <w:name w:val="Asunto del comentario Car"/>
    <w:basedOn w:val="TextocomentarioCar"/>
    <w:link w:val="Asuntodelcomentario"/>
    <w:uiPriority w:val="99"/>
    <w:semiHidden/>
    <w:rsid w:val="00F66DD3"/>
    <w:rPr>
      <w:rFonts w:ascii="Century Gothic" w:eastAsia="Times New Roman" w:hAnsi="Century Gothic" w:cs="Times New Roman"/>
      <w:b/>
      <w:bCs/>
      <w:color w:val="000000"/>
      <w:kern w:val="28"/>
      <w:sz w:val="20"/>
      <w:szCs w:val="20"/>
      <w:lang w:eastAsia="es-ES"/>
      <w14:ligatures w14:val="standard"/>
      <w14:cntxtAlts/>
    </w:rPr>
  </w:style>
  <w:style w:type="paragraph" w:styleId="TtuloTDC">
    <w:name w:val="TOC Heading"/>
    <w:basedOn w:val="Ttulo1"/>
    <w:next w:val="Normal"/>
    <w:uiPriority w:val="39"/>
    <w:unhideWhenUsed/>
    <w:qFormat/>
    <w:rsid w:val="006219AF"/>
    <w:pPr>
      <w:outlineLvl w:val="9"/>
    </w:pPr>
  </w:style>
  <w:style w:type="paragraph" w:customStyle="1" w:styleId="Prrafodelista2">
    <w:name w:val="Párrafo de lista2"/>
    <w:basedOn w:val="Normal"/>
    <w:rsid w:val="00172118"/>
    <w:pPr>
      <w:ind w:left="720"/>
      <w:contextualSpacing/>
    </w:pPr>
    <w:rPr>
      <w:rFonts w:ascii="Calibri" w:hAnsi="Calibri"/>
      <w:szCs w:val="22"/>
      <w:lang w:eastAsia="es-ES"/>
    </w:rPr>
  </w:style>
  <w:style w:type="table" w:customStyle="1" w:styleId="Tabladecuadrcula1clara-nfasis61">
    <w:name w:val="Tabla de cuadrícula 1 clara - Énfasis 61"/>
    <w:basedOn w:val="Tablanormal"/>
    <w:uiPriority w:val="46"/>
    <w:rsid w:val="0090738C"/>
    <w:pPr>
      <w:spacing w:after="0" w:line="240" w:lineRule="auto"/>
    </w:pPr>
    <w:tblPr>
      <w:tblStyleRowBandSize w:val="1"/>
      <w:tblStyleColBandSize w:val="1"/>
      <w:tblBorders>
        <w:top w:val="single" w:sz="4" w:space="0" w:color="FFD6AD" w:themeColor="accent6" w:themeTint="66"/>
        <w:left w:val="single" w:sz="4" w:space="0" w:color="FFD6AD" w:themeColor="accent6" w:themeTint="66"/>
        <w:bottom w:val="single" w:sz="4" w:space="0" w:color="FFD6AD" w:themeColor="accent6" w:themeTint="66"/>
        <w:right w:val="single" w:sz="4" w:space="0" w:color="FFD6AD" w:themeColor="accent6" w:themeTint="66"/>
        <w:insideH w:val="single" w:sz="4" w:space="0" w:color="FFD6AD" w:themeColor="accent6" w:themeTint="66"/>
        <w:insideV w:val="single" w:sz="4" w:space="0" w:color="FFD6AD" w:themeColor="accent6" w:themeTint="66"/>
      </w:tblBorders>
    </w:tblPr>
    <w:tblStylePr w:type="firstRow">
      <w:rPr>
        <w:b/>
        <w:bCs/>
      </w:rPr>
      <w:tblPr/>
      <w:tcPr>
        <w:tcBorders>
          <w:bottom w:val="single" w:sz="12" w:space="0" w:color="FFC184" w:themeColor="accent6" w:themeTint="99"/>
        </w:tcBorders>
      </w:tcPr>
    </w:tblStylePr>
    <w:tblStylePr w:type="lastRow">
      <w:rPr>
        <w:b/>
        <w:bCs/>
      </w:rPr>
      <w:tblPr/>
      <w:tcPr>
        <w:tcBorders>
          <w:top w:val="double" w:sz="2" w:space="0" w:color="FFC184" w:themeColor="accent6"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6219AF"/>
    <w:rPr>
      <w:b/>
      <w:bCs/>
      <w:color w:val="AE0CFF" w:themeColor="accent1" w:themeShade="BF"/>
      <w:sz w:val="16"/>
      <w:szCs w:val="16"/>
    </w:rPr>
  </w:style>
  <w:style w:type="table" w:customStyle="1" w:styleId="Tabladecuadrcula2-nfasis51">
    <w:name w:val="Tabla de cuadrícula 2 - Énfasis 51"/>
    <w:basedOn w:val="Tablanormal"/>
    <w:uiPriority w:val="47"/>
    <w:rsid w:val="00B86AD7"/>
    <w:pPr>
      <w:spacing w:after="0" w:line="240" w:lineRule="auto"/>
    </w:pPr>
    <w:tblPr>
      <w:tblStyleRowBandSize w:val="1"/>
      <w:tblStyleColBandSize w:val="1"/>
      <w:tblBorders>
        <w:top w:val="single" w:sz="2" w:space="0" w:color="FFA366" w:themeColor="accent5" w:themeTint="99"/>
        <w:bottom w:val="single" w:sz="2" w:space="0" w:color="FFA366" w:themeColor="accent5" w:themeTint="99"/>
        <w:insideH w:val="single" w:sz="2" w:space="0" w:color="FFA366" w:themeColor="accent5" w:themeTint="99"/>
        <w:insideV w:val="single" w:sz="2" w:space="0" w:color="FFA366" w:themeColor="accent5" w:themeTint="99"/>
      </w:tblBorders>
    </w:tblPr>
    <w:tblStylePr w:type="firstRow">
      <w:rPr>
        <w:b/>
        <w:bCs/>
      </w:rPr>
      <w:tblPr/>
      <w:tcPr>
        <w:tcBorders>
          <w:top w:val="nil"/>
          <w:bottom w:val="single" w:sz="12" w:space="0" w:color="FFA366" w:themeColor="accent5" w:themeTint="99"/>
          <w:insideH w:val="nil"/>
          <w:insideV w:val="nil"/>
        </w:tcBorders>
        <w:shd w:val="clear" w:color="auto" w:fill="FFFFFF" w:themeFill="background1"/>
      </w:tcPr>
    </w:tblStylePr>
    <w:tblStylePr w:type="lastRow">
      <w:rPr>
        <w:b/>
        <w:bCs/>
      </w:rPr>
      <w:tblPr/>
      <w:tcPr>
        <w:tcBorders>
          <w:top w:val="double" w:sz="2" w:space="0" w:color="FFA3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CC" w:themeFill="accent5" w:themeFillTint="33"/>
      </w:tcPr>
    </w:tblStylePr>
    <w:tblStylePr w:type="band1Horz">
      <w:tblPr/>
      <w:tcPr>
        <w:shd w:val="clear" w:color="auto" w:fill="FFE0CC" w:themeFill="accent5" w:themeFillTint="33"/>
      </w:tcPr>
    </w:tblStylePr>
  </w:style>
  <w:style w:type="table" w:customStyle="1" w:styleId="Tabladecuadrcula1clara-nfasis11">
    <w:name w:val="Tabla de cuadrícula 1 clara - Énfasis 11"/>
    <w:basedOn w:val="Tablanormal"/>
    <w:uiPriority w:val="46"/>
    <w:rsid w:val="00B86AD7"/>
    <w:pPr>
      <w:spacing w:after="0" w:line="240" w:lineRule="auto"/>
    </w:pPr>
    <w:tblPr>
      <w:tblStyleRowBandSize w:val="1"/>
      <w:tblStyleColBandSize w:val="1"/>
      <w:tblBorders>
        <w:top w:val="single" w:sz="4" w:space="0" w:color="EAC1FF" w:themeColor="accent1" w:themeTint="66"/>
        <w:left w:val="single" w:sz="4" w:space="0" w:color="EAC1FF" w:themeColor="accent1" w:themeTint="66"/>
        <w:bottom w:val="single" w:sz="4" w:space="0" w:color="EAC1FF" w:themeColor="accent1" w:themeTint="66"/>
        <w:right w:val="single" w:sz="4" w:space="0" w:color="EAC1FF" w:themeColor="accent1" w:themeTint="66"/>
        <w:insideH w:val="single" w:sz="4" w:space="0" w:color="EAC1FF" w:themeColor="accent1" w:themeTint="66"/>
        <w:insideV w:val="single" w:sz="4" w:space="0" w:color="EAC1FF" w:themeColor="accent1" w:themeTint="66"/>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2" w:space="0" w:color="E0A3FF" w:themeColor="accent1" w:themeTint="99"/>
        </w:tcBorders>
      </w:tcPr>
    </w:tblStylePr>
    <w:tblStylePr w:type="firstCol">
      <w:rPr>
        <w:b/>
        <w:bCs/>
      </w:rPr>
    </w:tblStylePr>
    <w:tblStylePr w:type="lastCol">
      <w:rPr>
        <w:b/>
        <w:bCs/>
      </w:rPr>
    </w:tblStylePr>
  </w:style>
  <w:style w:type="paragraph" w:styleId="Ttulo">
    <w:name w:val="Title"/>
    <w:basedOn w:val="Normal"/>
    <w:next w:val="Normal"/>
    <w:link w:val="TtuloCar"/>
    <w:uiPriority w:val="10"/>
    <w:qFormat/>
    <w:rsid w:val="006219AF"/>
    <w:pPr>
      <w:spacing w:before="0" w:after="0"/>
    </w:pPr>
    <w:rPr>
      <w:rFonts w:asciiTheme="majorHAnsi" w:eastAsiaTheme="majorEastAsia" w:hAnsiTheme="majorHAnsi" w:cstheme="majorBidi"/>
      <w:caps/>
      <w:color w:val="CC66FF" w:themeColor="accent1"/>
      <w:spacing w:val="10"/>
      <w:sz w:val="52"/>
      <w:szCs w:val="52"/>
    </w:rPr>
  </w:style>
  <w:style w:type="character" w:customStyle="1" w:styleId="TtuloCar">
    <w:name w:val="Título Car"/>
    <w:basedOn w:val="Fuentedeprrafopredeter"/>
    <w:link w:val="Ttulo"/>
    <w:uiPriority w:val="10"/>
    <w:rsid w:val="006219AF"/>
    <w:rPr>
      <w:rFonts w:asciiTheme="majorHAnsi" w:eastAsiaTheme="majorEastAsia" w:hAnsiTheme="majorHAnsi" w:cstheme="majorBidi"/>
      <w:caps/>
      <w:color w:val="CC66FF" w:themeColor="accent1"/>
      <w:spacing w:val="10"/>
      <w:sz w:val="52"/>
      <w:szCs w:val="52"/>
    </w:rPr>
  </w:style>
  <w:style w:type="paragraph" w:styleId="Subttulo">
    <w:name w:val="Subtitle"/>
    <w:basedOn w:val="Normal"/>
    <w:next w:val="Normal"/>
    <w:link w:val="SubttuloCar"/>
    <w:uiPriority w:val="11"/>
    <w:qFormat/>
    <w:rsid w:val="006219AF"/>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6219AF"/>
    <w:rPr>
      <w:caps/>
      <w:color w:val="595959" w:themeColor="text1" w:themeTint="A6"/>
      <w:spacing w:val="10"/>
      <w:sz w:val="21"/>
      <w:szCs w:val="21"/>
    </w:rPr>
  </w:style>
  <w:style w:type="paragraph" w:styleId="TDC3">
    <w:name w:val="toc 3"/>
    <w:basedOn w:val="Normal"/>
    <w:next w:val="Normal"/>
    <w:autoRedefine/>
    <w:uiPriority w:val="39"/>
    <w:unhideWhenUsed/>
    <w:rsid w:val="002053A4"/>
    <w:pPr>
      <w:spacing w:after="0"/>
      <w:ind w:left="480"/>
    </w:pPr>
  </w:style>
  <w:style w:type="character" w:styleId="Fuerte">
    <w:name w:val="Strong"/>
    <w:uiPriority w:val="22"/>
    <w:qFormat/>
    <w:rsid w:val="006219AF"/>
    <w:rPr>
      <w:b/>
      <w:bCs/>
    </w:rPr>
  </w:style>
  <w:style w:type="paragraph" w:styleId="Tabladeilustraciones">
    <w:name w:val="table of figures"/>
    <w:basedOn w:val="Normal"/>
    <w:next w:val="Normal"/>
    <w:uiPriority w:val="99"/>
    <w:unhideWhenUsed/>
    <w:rsid w:val="002D7FB9"/>
    <w:pPr>
      <w:spacing w:before="120" w:after="120" w:line="286" w:lineRule="auto"/>
    </w:pPr>
    <w:rPr>
      <w:color w:val="000000"/>
      <w:kern w:val="28"/>
      <w:szCs w:val="19"/>
      <w:lang w:eastAsia="es-ES"/>
      <w14:ligatures w14:val="standard"/>
      <w14:cntxtAlts/>
    </w:rPr>
  </w:style>
  <w:style w:type="table" w:styleId="Tablaconcuadrcula5oscura-nfasis1">
    <w:name w:val="Grid Table 5 Dark Accent 1"/>
    <w:basedOn w:val="Tablanormal"/>
    <w:uiPriority w:val="50"/>
    <w:rsid w:val="00597E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E0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C66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C66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C66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C66FF" w:themeFill="accent1"/>
      </w:tcPr>
    </w:tblStylePr>
    <w:tblStylePr w:type="band1Vert">
      <w:tblPr/>
      <w:tcPr>
        <w:shd w:val="clear" w:color="auto" w:fill="EAC1FF" w:themeFill="accent1" w:themeFillTint="66"/>
      </w:tcPr>
    </w:tblStylePr>
    <w:tblStylePr w:type="band1Horz">
      <w:tblPr/>
      <w:tcPr>
        <w:shd w:val="clear" w:color="auto" w:fill="EAC1FF" w:themeFill="accent1" w:themeFillTint="66"/>
      </w:tcPr>
    </w:tblStylePr>
  </w:style>
  <w:style w:type="character" w:styleId="Nmerodepgina">
    <w:name w:val="page number"/>
    <w:basedOn w:val="Fuentedeprrafopredeter"/>
    <w:uiPriority w:val="99"/>
    <w:semiHidden/>
    <w:unhideWhenUsed/>
    <w:rsid w:val="00E6014E"/>
  </w:style>
  <w:style w:type="table" w:styleId="Tablaconcuadrcula4-nfasis6">
    <w:name w:val="Grid Table 4 Accent 6"/>
    <w:basedOn w:val="Tablanormal"/>
    <w:uiPriority w:val="49"/>
    <w:rsid w:val="0062687E"/>
    <w:pPr>
      <w:spacing w:after="0" w:line="240" w:lineRule="auto"/>
    </w:pPr>
    <w:tblPr>
      <w:tblStyleRowBandSize w:val="1"/>
      <w:tblStyleColBandSize w:val="1"/>
      <w:tblBorders>
        <w:top w:val="single" w:sz="4" w:space="0" w:color="FFC184" w:themeColor="accent6" w:themeTint="99"/>
        <w:left w:val="single" w:sz="4" w:space="0" w:color="FFC184" w:themeColor="accent6" w:themeTint="99"/>
        <w:bottom w:val="single" w:sz="4" w:space="0" w:color="FFC184" w:themeColor="accent6" w:themeTint="99"/>
        <w:right w:val="single" w:sz="4" w:space="0" w:color="FFC184" w:themeColor="accent6" w:themeTint="99"/>
        <w:insideH w:val="single" w:sz="4" w:space="0" w:color="FFC184" w:themeColor="accent6" w:themeTint="99"/>
        <w:insideV w:val="single" w:sz="4" w:space="0" w:color="FFC184" w:themeColor="accent6" w:themeTint="99"/>
      </w:tblBorders>
    </w:tblPr>
    <w:tblStylePr w:type="firstRow">
      <w:rPr>
        <w:b/>
        <w:bCs/>
        <w:color w:val="FFFFFF" w:themeColor="background1"/>
      </w:rPr>
      <w:tblPr/>
      <w:tcPr>
        <w:tcBorders>
          <w:top w:val="single" w:sz="4" w:space="0" w:color="FF9933" w:themeColor="accent6"/>
          <w:left w:val="single" w:sz="4" w:space="0" w:color="FF9933" w:themeColor="accent6"/>
          <w:bottom w:val="single" w:sz="4" w:space="0" w:color="FF9933" w:themeColor="accent6"/>
          <w:right w:val="single" w:sz="4" w:space="0" w:color="FF9933" w:themeColor="accent6"/>
          <w:insideH w:val="nil"/>
          <w:insideV w:val="nil"/>
        </w:tcBorders>
        <w:shd w:val="clear" w:color="auto" w:fill="FF9933" w:themeFill="accent6"/>
      </w:tcPr>
    </w:tblStylePr>
    <w:tblStylePr w:type="lastRow">
      <w:rPr>
        <w:b/>
        <w:bCs/>
      </w:rPr>
      <w:tblPr/>
      <w:tcPr>
        <w:tcBorders>
          <w:top w:val="double" w:sz="4" w:space="0" w:color="FF9933" w:themeColor="accent6"/>
        </w:tcBorders>
      </w:tcPr>
    </w:tblStylePr>
    <w:tblStylePr w:type="firstCol">
      <w:rPr>
        <w:b/>
        <w:bCs/>
      </w:rPr>
    </w:tblStylePr>
    <w:tblStylePr w:type="lastCol">
      <w:rPr>
        <w:b/>
        <w:bCs/>
      </w:rPr>
    </w:tblStylePr>
    <w:tblStylePr w:type="band1Vert">
      <w:tblPr/>
      <w:tcPr>
        <w:shd w:val="clear" w:color="auto" w:fill="FFEAD6" w:themeFill="accent6" w:themeFillTint="33"/>
      </w:tcPr>
    </w:tblStylePr>
    <w:tblStylePr w:type="band1Horz">
      <w:tblPr/>
      <w:tcPr>
        <w:shd w:val="clear" w:color="auto" w:fill="FFEAD6" w:themeFill="accent6" w:themeFillTint="33"/>
      </w:tcPr>
    </w:tblStylePr>
  </w:style>
  <w:style w:type="table" w:styleId="Tablaconcuadrcula2-nfasis3">
    <w:name w:val="Grid Table 2 Accent 3"/>
    <w:basedOn w:val="Tablanormal"/>
    <w:uiPriority w:val="47"/>
    <w:rsid w:val="0062687E"/>
    <w:pPr>
      <w:spacing w:after="0" w:line="240" w:lineRule="auto"/>
    </w:pPr>
    <w:tblPr>
      <w:tblStyleRowBandSize w:val="1"/>
      <w:tblStyleColBandSize w:val="1"/>
      <w:tblBorders>
        <w:top w:val="single" w:sz="2" w:space="0" w:color="FF47A2" w:themeColor="accent3" w:themeTint="99"/>
        <w:bottom w:val="single" w:sz="2" w:space="0" w:color="FF47A2" w:themeColor="accent3" w:themeTint="99"/>
        <w:insideH w:val="single" w:sz="2" w:space="0" w:color="FF47A2" w:themeColor="accent3" w:themeTint="99"/>
        <w:insideV w:val="single" w:sz="2" w:space="0" w:color="FF47A2" w:themeColor="accent3" w:themeTint="99"/>
      </w:tblBorders>
    </w:tblPr>
    <w:tblStylePr w:type="firstRow">
      <w:rPr>
        <w:b/>
        <w:bCs/>
      </w:rPr>
      <w:tblPr/>
      <w:tcPr>
        <w:tcBorders>
          <w:top w:val="nil"/>
          <w:bottom w:val="single" w:sz="12" w:space="0" w:color="FF47A2" w:themeColor="accent3" w:themeTint="99"/>
          <w:insideH w:val="nil"/>
          <w:insideV w:val="nil"/>
        </w:tcBorders>
        <w:shd w:val="clear" w:color="auto" w:fill="FFFFFF" w:themeFill="background1"/>
      </w:tcPr>
    </w:tblStylePr>
    <w:tblStylePr w:type="lastRow">
      <w:rPr>
        <w:b/>
        <w:bCs/>
      </w:rPr>
      <w:tblPr/>
      <w:tcPr>
        <w:tcBorders>
          <w:top w:val="double" w:sz="2" w:space="0" w:color="FF47A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0" w:themeFill="accent3" w:themeFillTint="33"/>
      </w:tcPr>
    </w:tblStylePr>
    <w:tblStylePr w:type="band1Horz">
      <w:tblPr/>
      <w:tcPr>
        <w:shd w:val="clear" w:color="auto" w:fill="FFC1E0" w:themeFill="accent3" w:themeFillTint="33"/>
      </w:tcPr>
    </w:tblStylePr>
  </w:style>
  <w:style w:type="table" w:styleId="Tablaconcuadrcula4-nfasis1">
    <w:name w:val="Grid Table 4 Accent 1"/>
    <w:basedOn w:val="Tablanormal"/>
    <w:uiPriority w:val="49"/>
    <w:rsid w:val="0062687E"/>
    <w:pPr>
      <w:spacing w:after="0" w:line="240" w:lineRule="auto"/>
    </w:pPr>
    <w:tblPr>
      <w:tblStyleRowBandSize w:val="1"/>
      <w:tblStyleColBandSize w:val="1"/>
      <w:tblBorders>
        <w:top w:val="single" w:sz="4" w:space="0" w:color="E0A3FF" w:themeColor="accent1" w:themeTint="99"/>
        <w:left w:val="single" w:sz="4" w:space="0" w:color="E0A3FF" w:themeColor="accent1" w:themeTint="99"/>
        <w:bottom w:val="single" w:sz="4" w:space="0" w:color="E0A3FF" w:themeColor="accent1" w:themeTint="99"/>
        <w:right w:val="single" w:sz="4" w:space="0" w:color="E0A3FF" w:themeColor="accent1" w:themeTint="99"/>
        <w:insideH w:val="single" w:sz="4" w:space="0" w:color="E0A3FF" w:themeColor="accent1" w:themeTint="99"/>
        <w:insideV w:val="single" w:sz="4" w:space="0" w:color="E0A3FF" w:themeColor="accent1" w:themeTint="99"/>
      </w:tblBorders>
    </w:tblPr>
    <w:tblStylePr w:type="firstRow">
      <w:rPr>
        <w:b/>
        <w:bCs/>
        <w:color w:val="FFFFFF" w:themeColor="background1"/>
      </w:rPr>
      <w:tblPr/>
      <w:tcPr>
        <w:tcBorders>
          <w:top w:val="single" w:sz="4" w:space="0" w:color="CC66FF" w:themeColor="accent1"/>
          <w:left w:val="single" w:sz="4" w:space="0" w:color="CC66FF" w:themeColor="accent1"/>
          <w:bottom w:val="single" w:sz="4" w:space="0" w:color="CC66FF" w:themeColor="accent1"/>
          <w:right w:val="single" w:sz="4" w:space="0" w:color="CC66FF" w:themeColor="accent1"/>
          <w:insideH w:val="nil"/>
          <w:insideV w:val="nil"/>
        </w:tcBorders>
        <w:shd w:val="clear" w:color="auto" w:fill="CC66FF" w:themeFill="accent1"/>
      </w:tcPr>
    </w:tblStylePr>
    <w:tblStylePr w:type="lastRow">
      <w:rPr>
        <w:b/>
        <w:bCs/>
      </w:rPr>
      <w:tblPr/>
      <w:tcPr>
        <w:tcBorders>
          <w:top w:val="double" w:sz="4" w:space="0" w:color="CC66FF" w:themeColor="accent1"/>
        </w:tcBorders>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paragraph" w:styleId="Revisin">
    <w:name w:val="Revision"/>
    <w:hidden/>
    <w:uiPriority w:val="99"/>
    <w:semiHidden/>
    <w:rsid w:val="008738BD"/>
    <w:pPr>
      <w:spacing w:after="0" w:line="240" w:lineRule="auto"/>
    </w:pPr>
    <w:rPr>
      <w:rFonts w:ascii="Times New Roman" w:eastAsia="Times New Roman" w:hAnsi="Times New Roman" w:cs="Times New Roman"/>
      <w:lang w:eastAsia="zh-CN"/>
    </w:rPr>
  </w:style>
  <w:style w:type="character" w:customStyle="1" w:styleId="Ttulo5Car">
    <w:name w:val="Título 5 Car"/>
    <w:basedOn w:val="Fuentedeprrafopredeter"/>
    <w:link w:val="Ttulo5"/>
    <w:uiPriority w:val="9"/>
    <w:rsid w:val="006219AF"/>
    <w:rPr>
      <w:caps/>
      <w:color w:val="AE0CFF" w:themeColor="accent1" w:themeShade="BF"/>
      <w:spacing w:val="10"/>
    </w:rPr>
  </w:style>
  <w:style w:type="paragraph" w:styleId="ndice1">
    <w:name w:val="index 1"/>
    <w:basedOn w:val="Normal"/>
    <w:next w:val="Normal"/>
    <w:autoRedefine/>
    <w:uiPriority w:val="99"/>
    <w:semiHidden/>
    <w:unhideWhenUsed/>
    <w:rsid w:val="003D34B4"/>
    <w:pPr>
      <w:ind w:left="240" w:hanging="240"/>
    </w:pPr>
  </w:style>
  <w:style w:type="table" w:styleId="Tablaconcuadrcula6concolores-nfasis1">
    <w:name w:val="Grid Table 6 Colorful Accent 1"/>
    <w:basedOn w:val="Tablanormal"/>
    <w:uiPriority w:val="51"/>
    <w:rsid w:val="00405DA3"/>
    <w:pPr>
      <w:spacing w:after="0" w:line="240" w:lineRule="auto"/>
    </w:pPr>
    <w:rPr>
      <w:color w:val="AE0CFF" w:themeColor="accent1" w:themeShade="BF"/>
    </w:rPr>
    <w:tblPr>
      <w:tblStyleRowBandSize w:val="1"/>
      <w:tblStyleColBandSize w:val="1"/>
      <w:tblBorders>
        <w:top w:val="single" w:sz="4" w:space="0" w:color="E0A3FF" w:themeColor="accent1" w:themeTint="99"/>
        <w:left w:val="single" w:sz="4" w:space="0" w:color="E0A3FF" w:themeColor="accent1" w:themeTint="99"/>
        <w:bottom w:val="single" w:sz="4" w:space="0" w:color="E0A3FF" w:themeColor="accent1" w:themeTint="99"/>
        <w:right w:val="single" w:sz="4" w:space="0" w:color="E0A3FF" w:themeColor="accent1" w:themeTint="99"/>
        <w:insideH w:val="single" w:sz="4" w:space="0" w:color="E0A3FF" w:themeColor="accent1" w:themeTint="99"/>
        <w:insideV w:val="single" w:sz="4" w:space="0" w:color="E0A3FF" w:themeColor="accent1" w:themeTint="99"/>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4" w:space="0" w:color="E0A3FF" w:themeColor="accent1" w:themeTint="99"/>
        </w:tcBorders>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character" w:customStyle="1" w:styleId="articlecitationyear">
    <w:name w:val="articlecitation_year"/>
    <w:basedOn w:val="Fuentedeprrafopredeter"/>
    <w:rsid w:val="00194C46"/>
  </w:style>
  <w:style w:type="character" w:customStyle="1" w:styleId="apple-converted-space">
    <w:name w:val="apple-converted-space"/>
    <w:basedOn w:val="Fuentedeprrafopredeter"/>
    <w:rsid w:val="00194C46"/>
  </w:style>
  <w:style w:type="character" w:customStyle="1" w:styleId="articlecitationvolume">
    <w:name w:val="articlecitation_volume"/>
    <w:basedOn w:val="Fuentedeprrafopredeter"/>
    <w:rsid w:val="00194C46"/>
  </w:style>
  <w:style w:type="character" w:customStyle="1" w:styleId="articlecitationpages">
    <w:name w:val="articlecitation_pages"/>
    <w:basedOn w:val="Fuentedeprrafopredeter"/>
    <w:rsid w:val="00194C46"/>
  </w:style>
  <w:style w:type="table" w:styleId="Tablaconcuadrcula1clara-nfasis1">
    <w:name w:val="Grid Table 1 Light Accent 1"/>
    <w:basedOn w:val="Tablanormal"/>
    <w:uiPriority w:val="46"/>
    <w:rsid w:val="008E4725"/>
    <w:pPr>
      <w:spacing w:after="0" w:line="240" w:lineRule="auto"/>
    </w:pPr>
    <w:tblPr>
      <w:tblStyleRowBandSize w:val="1"/>
      <w:tblStyleColBandSize w:val="1"/>
      <w:tblBorders>
        <w:top w:val="single" w:sz="4" w:space="0" w:color="EAC1FF" w:themeColor="accent1" w:themeTint="66"/>
        <w:left w:val="single" w:sz="4" w:space="0" w:color="EAC1FF" w:themeColor="accent1" w:themeTint="66"/>
        <w:bottom w:val="single" w:sz="4" w:space="0" w:color="EAC1FF" w:themeColor="accent1" w:themeTint="66"/>
        <w:right w:val="single" w:sz="4" w:space="0" w:color="EAC1FF" w:themeColor="accent1" w:themeTint="66"/>
        <w:insideH w:val="single" w:sz="4" w:space="0" w:color="EAC1FF" w:themeColor="accent1" w:themeTint="66"/>
        <w:insideV w:val="single" w:sz="4" w:space="0" w:color="EAC1FF" w:themeColor="accent1" w:themeTint="66"/>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2" w:space="0" w:color="E0A3FF" w:themeColor="accent1" w:themeTint="99"/>
        </w:tcBorders>
      </w:tcPr>
    </w:tblStylePr>
    <w:tblStylePr w:type="firstCol">
      <w:rPr>
        <w:b/>
        <w:bCs/>
      </w:rPr>
    </w:tblStylePr>
    <w:tblStylePr w:type="lastCol">
      <w:rPr>
        <w:b/>
        <w:bCs/>
      </w:rPr>
    </w:tblStylePr>
  </w:style>
  <w:style w:type="table" w:styleId="Tablaconcuadrcula2-nfasis6">
    <w:name w:val="Grid Table 2 Accent 6"/>
    <w:basedOn w:val="Tablanormal"/>
    <w:uiPriority w:val="47"/>
    <w:rsid w:val="00D75605"/>
    <w:pPr>
      <w:spacing w:after="0" w:line="240" w:lineRule="auto"/>
    </w:pPr>
    <w:tblPr>
      <w:tblStyleRowBandSize w:val="1"/>
      <w:tblStyleColBandSize w:val="1"/>
      <w:tblBorders>
        <w:top w:val="single" w:sz="2" w:space="0" w:color="FFC184" w:themeColor="accent6" w:themeTint="99"/>
        <w:bottom w:val="single" w:sz="2" w:space="0" w:color="FFC184" w:themeColor="accent6" w:themeTint="99"/>
        <w:insideH w:val="single" w:sz="2" w:space="0" w:color="FFC184" w:themeColor="accent6" w:themeTint="99"/>
        <w:insideV w:val="single" w:sz="2" w:space="0" w:color="FFC184" w:themeColor="accent6" w:themeTint="99"/>
      </w:tblBorders>
    </w:tblPr>
    <w:tblStylePr w:type="firstRow">
      <w:rPr>
        <w:b/>
        <w:bCs/>
      </w:rPr>
      <w:tblPr/>
      <w:tcPr>
        <w:tcBorders>
          <w:top w:val="nil"/>
          <w:bottom w:val="single" w:sz="12" w:space="0" w:color="FFC184" w:themeColor="accent6" w:themeTint="99"/>
          <w:insideH w:val="nil"/>
          <w:insideV w:val="nil"/>
        </w:tcBorders>
        <w:shd w:val="clear" w:color="auto" w:fill="FFFFFF" w:themeFill="background1"/>
      </w:tcPr>
    </w:tblStylePr>
    <w:tblStylePr w:type="lastRow">
      <w:rPr>
        <w:b/>
        <w:bCs/>
      </w:rPr>
      <w:tblPr/>
      <w:tcPr>
        <w:tcBorders>
          <w:top w:val="double" w:sz="2" w:space="0" w:color="FFC1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AD6" w:themeFill="accent6" w:themeFillTint="33"/>
      </w:tcPr>
    </w:tblStylePr>
    <w:tblStylePr w:type="band1Horz">
      <w:tblPr/>
      <w:tcPr>
        <w:shd w:val="clear" w:color="auto" w:fill="FFEAD6" w:themeFill="accent6" w:themeFillTint="33"/>
      </w:tcPr>
    </w:tblStylePr>
  </w:style>
  <w:style w:type="table" w:styleId="Tabladelista6concolores-nfasis3">
    <w:name w:val="List Table 6 Colorful Accent 3"/>
    <w:basedOn w:val="Tablanormal"/>
    <w:uiPriority w:val="51"/>
    <w:rsid w:val="00D75605"/>
    <w:pPr>
      <w:spacing w:after="0" w:line="240" w:lineRule="auto"/>
    </w:pPr>
    <w:rPr>
      <w:color w:val="98004C" w:themeColor="accent3" w:themeShade="BF"/>
    </w:rPr>
    <w:tblPr>
      <w:tblStyleRowBandSize w:val="1"/>
      <w:tblStyleColBandSize w:val="1"/>
      <w:tblBorders>
        <w:top w:val="single" w:sz="4" w:space="0" w:color="CC0066" w:themeColor="accent3"/>
        <w:bottom w:val="single" w:sz="4" w:space="0" w:color="CC0066" w:themeColor="accent3"/>
      </w:tblBorders>
    </w:tblPr>
    <w:tblStylePr w:type="firstRow">
      <w:rPr>
        <w:b/>
        <w:bCs/>
      </w:rPr>
      <w:tblPr/>
      <w:tcPr>
        <w:tcBorders>
          <w:bottom w:val="single" w:sz="4" w:space="0" w:color="CC0066" w:themeColor="accent3"/>
        </w:tcBorders>
      </w:tcPr>
    </w:tblStylePr>
    <w:tblStylePr w:type="lastRow">
      <w:rPr>
        <w:b/>
        <w:bCs/>
      </w:rPr>
      <w:tblPr/>
      <w:tcPr>
        <w:tcBorders>
          <w:top w:val="double" w:sz="4" w:space="0" w:color="CC0066" w:themeColor="accent3"/>
        </w:tcBorders>
      </w:tcPr>
    </w:tblStylePr>
    <w:tblStylePr w:type="firstCol">
      <w:rPr>
        <w:b/>
        <w:bCs/>
      </w:rPr>
    </w:tblStylePr>
    <w:tblStylePr w:type="lastCol">
      <w:rPr>
        <w:b/>
        <w:bCs/>
      </w:rPr>
    </w:tblStylePr>
    <w:tblStylePr w:type="band1Vert">
      <w:tblPr/>
      <w:tcPr>
        <w:shd w:val="clear" w:color="auto" w:fill="FFC1E0" w:themeFill="accent3" w:themeFillTint="33"/>
      </w:tcPr>
    </w:tblStylePr>
    <w:tblStylePr w:type="band1Horz">
      <w:tblPr/>
      <w:tcPr>
        <w:shd w:val="clear" w:color="auto" w:fill="FFC1E0" w:themeFill="accent3" w:themeFillTint="33"/>
      </w:tcPr>
    </w:tblStylePr>
  </w:style>
  <w:style w:type="paragraph" w:customStyle="1" w:styleId="abla">
    <w:name w:val="abla"/>
    <w:basedOn w:val="Normal"/>
    <w:link w:val="ablaCar"/>
    <w:rsid w:val="00036880"/>
    <w:rPr>
      <w:rFonts w:cs="Calibri"/>
      <w:color w:val="000000" w:themeColor="text1"/>
      <w:szCs w:val="18"/>
    </w:rPr>
  </w:style>
  <w:style w:type="table" w:styleId="Tablaconcuadrcula1clara-nfasis4">
    <w:name w:val="Grid Table 1 Light Accent 4"/>
    <w:basedOn w:val="Tablanormal"/>
    <w:uiPriority w:val="46"/>
    <w:rsid w:val="009D4345"/>
    <w:pPr>
      <w:spacing w:after="0" w:line="240" w:lineRule="auto"/>
    </w:pPr>
    <w:tblPr>
      <w:tblStyleRowBandSize w:val="1"/>
      <w:tblStyleColBandSize w:val="1"/>
      <w:tblBorders>
        <w:top w:val="single" w:sz="4" w:space="0" w:color="FF9999" w:themeColor="accent4" w:themeTint="66"/>
        <w:left w:val="single" w:sz="4" w:space="0" w:color="FF9999" w:themeColor="accent4" w:themeTint="66"/>
        <w:bottom w:val="single" w:sz="4" w:space="0" w:color="FF9999" w:themeColor="accent4" w:themeTint="66"/>
        <w:right w:val="single" w:sz="4" w:space="0" w:color="FF9999" w:themeColor="accent4" w:themeTint="66"/>
        <w:insideH w:val="single" w:sz="4" w:space="0" w:color="FF9999" w:themeColor="accent4" w:themeTint="66"/>
        <w:insideV w:val="single" w:sz="4" w:space="0" w:color="FF9999" w:themeColor="accent4" w:themeTint="66"/>
      </w:tblBorders>
    </w:tblPr>
    <w:tblStylePr w:type="firstRow">
      <w:rPr>
        <w:b/>
        <w:bCs/>
      </w:rPr>
      <w:tblPr/>
      <w:tcPr>
        <w:tcBorders>
          <w:bottom w:val="single" w:sz="12" w:space="0" w:color="FF6666" w:themeColor="accent4" w:themeTint="99"/>
        </w:tcBorders>
      </w:tcPr>
    </w:tblStylePr>
    <w:tblStylePr w:type="lastRow">
      <w:rPr>
        <w:b/>
        <w:bCs/>
      </w:rPr>
      <w:tblPr/>
      <w:tcPr>
        <w:tcBorders>
          <w:top w:val="double" w:sz="2" w:space="0" w:color="FF6666" w:themeColor="accent4" w:themeTint="99"/>
        </w:tcBorders>
      </w:tcPr>
    </w:tblStylePr>
    <w:tblStylePr w:type="firstCol">
      <w:rPr>
        <w:b/>
        <w:bCs/>
      </w:rPr>
    </w:tblStylePr>
    <w:tblStylePr w:type="lastCol">
      <w:rPr>
        <w:b/>
        <w:bCs/>
      </w:rPr>
    </w:tblStylePr>
  </w:style>
  <w:style w:type="character" w:customStyle="1" w:styleId="ablaCar">
    <w:name w:val="abla Car"/>
    <w:basedOn w:val="Fuentedeprrafopredeter"/>
    <w:link w:val="abla"/>
    <w:rsid w:val="00036880"/>
    <w:rPr>
      <w:rFonts w:ascii="Tw Cen MT" w:eastAsia="Times New Roman" w:hAnsi="Tw Cen MT" w:cs="Calibri"/>
      <w:color w:val="000000" w:themeColor="text1"/>
      <w:sz w:val="24"/>
      <w:szCs w:val="18"/>
      <w:lang w:eastAsia="zh-CN"/>
    </w:rPr>
  </w:style>
  <w:style w:type="table" w:styleId="Tablaconcuadrcula4-nfasis3">
    <w:name w:val="Grid Table 4 Accent 3"/>
    <w:basedOn w:val="Tablanormal"/>
    <w:uiPriority w:val="49"/>
    <w:rsid w:val="009D4345"/>
    <w:pPr>
      <w:spacing w:after="0" w:line="240" w:lineRule="auto"/>
    </w:pPr>
    <w:tblPr>
      <w:tblStyleRowBandSize w:val="1"/>
      <w:tblStyleColBandSize w:val="1"/>
      <w:tblBorders>
        <w:top w:val="single" w:sz="4" w:space="0" w:color="FF47A2" w:themeColor="accent3" w:themeTint="99"/>
        <w:left w:val="single" w:sz="4" w:space="0" w:color="FF47A2" w:themeColor="accent3" w:themeTint="99"/>
        <w:bottom w:val="single" w:sz="4" w:space="0" w:color="FF47A2" w:themeColor="accent3" w:themeTint="99"/>
        <w:right w:val="single" w:sz="4" w:space="0" w:color="FF47A2" w:themeColor="accent3" w:themeTint="99"/>
        <w:insideH w:val="single" w:sz="4" w:space="0" w:color="FF47A2" w:themeColor="accent3" w:themeTint="99"/>
        <w:insideV w:val="single" w:sz="4" w:space="0" w:color="FF47A2" w:themeColor="accent3" w:themeTint="99"/>
      </w:tblBorders>
    </w:tblPr>
    <w:tblStylePr w:type="firstRow">
      <w:rPr>
        <w:b/>
        <w:bCs/>
        <w:color w:val="FFFFFF" w:themeColor="background1"/>
      </w:rPr>
      <w:tblPr/>
      <w:tcPr>
        <w:tcBorders>
          <w:top w:val="single" w:sz="4" w:space="0" w:color="CC0066" w:themeColor="accent3"/>
          <w:left w:val="single" w:sz="4" w:space="0" w:color="CC0066" w:themeColor="accent3"/>
          <w:bottom w:val="single" w:sz="4" w:space="0" w:color="CC0066" w:themeColor="accent3"/>
          <w:right w:val="single" w:sz="4" w:space="0" w:color="CC0066" w:themeColor="accent3"/>
          <w:insideH w:val="nil"/>
          <w:insideV w:val="nil"/>
        </w:tcBorders>
        <w:shd w:val="clear" w:color="auto" w:fill="CC0066" w:themeFill="accent3"/>
      </w:tcPr>
    </w:tblStylePr>
    <w:tblStylePr w:type="lastRow">
      <w:rPr>
        <w:b/>
        <w:bCs/>
      </w:rPr>
      <w:tblPr/>
      <w:tcPr>
        <w:tcBorders>
          <w:top w:val="double" w:sz="4" w:space="0" w:color="CC0066" w:themeColor="accent3"/>
        </w:tcBorders>
      </w:tcPr>
    </w:tblStylePr>
    <w:tblStylePr w:type="firstCol">
      <w:rPr>
        <w:b/>
        <w:bCs/>
      </w:rPr>
    </w:tblStylePr>
    <w:tblStylePr w:type="lastCol">
      <w:rPr>
        <w:b/>
        <w:bCs/>
      </w:rPr>
    </w:tblStylePr>
    <w:tblStylePr w:type="band1Vert">
      <w:tblPr/>
      <w:tcPr>
        <w:shd w:val="clear" w:color="auto" w:fill="FFC1E0" w:themeFill="accent3" w:themeFillTint="33"/>
      </w:tcPr>
    </w:tblStylePr>
    <w:tblStylePr w:type="band1Horz">
      <w:tblPr/>
      <w:tcPr>
        <w:shd w:val="clear" w:color="auto" w:fill="FFC1E0" w:themeFill="accent3" w:themeFillTint="33"/>
      </w:tcPr>
    </w:tblStylePr>
  </w:style>
  <w:style w:type="character" w:styleId="Referenciasutil">
    <w:name w:val="Subtle Reference"/>
    <w:uiPriority w:val="31"/>
    <w:qFormat/>
    <w:rsid w:val="006219AF"/>
    <w:rPr>
      <w:b/>
      <w:bCs/>
      <w:color w:val="CC66FF" w:themeColor="accent1"/>
    </w:rPr>
  </w:style>
  <w:style w:type="table" w:styleId="Tabladelista3-nfasis1">
    <w:name w:val="List Table 3 Accent 1"/>
    <w:basedOn w:val="Tablanormal"/>
    <w:uiPriority w:val="48"/>
    <w:rsid w:val="008A0507"/>
    <w:pPr>
      <w:spacing w:after="0" w:line="240" w:lineRule="auto"/>
    </w:pPr>
    <w:tblPr>
      <w:tblStyleRowBandSize w:val="1"/>
      <w:tblStyleColBandSize w:val="1"/>
      <w:tblBorders>
        <w:top w:val="single" w:sz="4" w:space="0" w:color="CC66FF" w:themeColor="accent1"/>
        <w:left w:val="single" w:sz="4" w:space="0" w:color="CC66FF" w:themeColor="accent1"/>
        <w:bottom w:val="single" w:sz="4" w:space="0" w:color="CC66FF" w:themeColor="accent1"/>
        <w:right w:val="single" w:sz="4" w:space="0" w:color="CC66FF" w:themeColor="accent1"/>
      </w:tblBorders>
    </w:tblPr>
    <w:tblStylePr w:type="firstRow">
      <w:rPr>
        <w:b/>
        <w:bCs/>
        <w:color w:val="FFFFFF" w:themeColor="background1"/>
      </w:rPr>
      <w:tblPr/>
      <w:tcPr>
        <w:shd w:val="clear" w:color="auto" w:fill="CC66FF" w:themeFill="accent1"/>
      </w:tcPr>
    </w:tblStylePr>
    <w:tblStylePr w:type="lastRow">
      <w:rPr>
        <w:b/>
        <w:bCs/>
      </w:rPr>
      <w:tblPr/>
      <w:tcPr>
        <w:tcBorders>
          <w:top w:val="double" w:sz="4" w:space="0" w:color="CC66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66FF" w:themeColor="accent1"/>
          <w:right w:val="single" w:sz="4" w:space="0" w:color="CC66FF" w:themeColor="accent1"/>
        </w:tcBorders>
      </w:tcPr>
    </w:tblStylePr>
    <w:tblStylePr w:type="band1Horz">
      <w:tblPr/>
      <w:tcPr>
        <w:tcBorders>
          <w:top w:val="single" w:sz="4" w:space="0" w:color="CC66FF" w:themeColor="accent1"/>
          <w:bottom w:val="single" w:sz="4" w:space="0" w:color="CC66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66FF" w:themeColor="accent1"/>
          <w:left w:val="nil"/>
        </w:tcBorders>
      </w:tcPr>
    </w:tblStylePr>
    <w:tblStylePr w:type="swCell">
      <w:tblPr/>
      <w:tcPr>
        <w:tcBorders>
          <w:top w:val="double" w:sz="4" w:space="0" w:color="CC66FF" w:themeColor="accent1"/>
          <w:right w:val="nil"/>
        </w:tcBorders>
      </w:tcPr>
    </w:tblStylePr>
  </w:style>
  <w:style w:type="character" w:styleId="nfasisintenso">
    <w:name w:val="Intense Emphasis"/>
    <w:uiPriority w:val="21"/>
    <w:qFormat/>
    <w:rsid w:val="006219AF"/>
    <w:rPr>
      <w:b/>
      <w:bCs/>
      <w:caps/>
      <w:color w:val="7600B1" w:themeColor="accent1" w:themeShade="7F"/>
      <w:spacing w:val="10"/>
    </w:rPr>
  </w:style>
  <w:style w:type="table" w:styleId="Tablaconcuadrcula1clara">
    <w:name w:val="Grid Table 1 Light"/>
    <w:basedOn w:val="Tablanormal"/>
    <w:uiPriority w:val="46"/>
    <w:rsid w:val="000632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7F45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9"/>
    <w:rsid w:val="006219AF"/>
    <w:rPr>
      <w:caps/>
      <w:color w:val="AE0CFF" w:themeColor="accent1" w:themeShade="BF"/>
      <w:spacing w:val="10"/>
    </w:rPr>
  </w:style>
  <w:style w:type="character" w:styleId="Ttulodellibro">
    <w:name w:val="Book Title"/>
    <w:uiPriority w:val="33"/>
    <w:qFormat/>
    <w:rsid w:val="006219AF"/>
    <w:rPr>
      <w:b/>
      <w:bCs/>
      <w:i/>
      <w:iCs/>
      <w:spacing w:val="0"/>
    </w:rPr>
  </w:style>
  <w:style w:type="paragraph" w:styleId="Textoindependiente">
    <w:name w:val="Body Text"/>
    <w:basedOn w:val="Normal"/>
    <w:link w:val="TextoindependienteCar"/>
    <w:uiPriority w:val="99"/>
    <w:semiHidden/>
    <w:unhideWhenUsed/>
    <w:rsid w:val="00E45304"/>
    <w:pPr>
      <w:spacing w:after="120"/>
    </w:pPr>
  </w:style>
  <w:style w:type="character" w:customStyle="1" w:styleId="TextoindependienteCar">
    <w:name w:val="Texto independiente Car"/>
    <w:basedOn w:val="Fuentedeprrafopredeter"/>
    <w:link w:val="Textoindependiente"/>
    <w:uiPriority w:val="99"/>
    <w:semiHidden/>
    <w:rsid w:val="00E45304"/>
    <w:rPr>
      <w:rFonts w:ascii="Century Gothic" w:eastAsia="Times New Roman" w:hAnsi="Century Gothic" w:cs="Times New Roman"/>
      <w:sz w:val="20"/>
      <w:szCs w:val="24"/>
      <w:lang w:eastAsia="zh-CN"/>
    </w:rPr>
  </w:style>
  <w:style w:type="paragraph" w:styleId="Textonotaalfinal">
    <w:name w:val="endnote text"/>
    <w:basedOn w:val="Normal"/>
    <w:link w:val="TextonotaalfinalCar"/>
    <w:uiPriority w:val="99"/>
    <w:semiHidden/>
    <w:unhideWhenUsed/>
    <w:rsid w:val="00CE1F27"/>
  </w:style>
  <w:style w:type="character" w:customStyle="1" w:styleId="TextonotaalfinalCar">
    <w:name w:val="Texto nota al final Car"/>
    <w:basedOn w:val="Fuentedeprrafopredeter"/>
    <w:link w:val="Textonotaalfinal"/>
    <w:uiPriority w:val="99"/>
    <w:semiHidden/>
    <w:rsid w:val="00CE1F27"/>
    <w:rPr>
      <w:rFonts w:ascii="Century Gothic" w:eastAsia="Times New Roman" w:hAnsi="Century Gothic" w:cs="Times New Roman"/>
      <w:sz w:val="20"/>
      <w:szCs w:val="20"/>
      <w:lang w:eastAsia="zh-CN"/>
    </w:rPr>
  </w:style>
  <w:style w:type="character" w:styleId="Refdenotaalfinal">
    <w:name w:val="endnote reference"/>
    <w:basedOn w:val="Fuentedeprrafopredeter"/>
    <w:uiPriority w:val="99"/>
    <w:semiHidden/>
    <w:unhideWhenUsed/>
    <w:rsid w:val="00CE1F27"/>
    <w:rPr>
      <w:vertAlign w:val="superscript"/>
    </w:rPr>
  </w:style>
  <w:style w:type="character" w:customStyle="1" w:styleId="Mencinsinresolver1">
    <w:name w:val="Mención sin resolver1"/>
    <w:basedOn w:val="Fuentedeprrafopredeter"/>
    <w:uiPriority w:val="99"/>
    <w:semiHidden/>
    <w:unhideWhenUsed/>
    <w:rsid w:val="00CE1F27"/>
    <w:rPr>
      <w:color w:val="605E5C"/>
      <w:shd w:val="clear" w:color="auto" w:fill="E1DFDD"/>
    </w:rPr>
  </w:style>
  <w:style w:type="table" w:customStyle="1" w:styleId="TableNormal">
    <w:name w:val="Table Normal"/>
    <w:uiPriority w:val="2"/>
    <w:semiHidden/>
    <w:unhideWhenUsed/>
    <w:qFormat/>
    <w:rsid w:val="009E767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9E767E"/>
    <w:pPr>
      <w:widowControl w:val="0"/>
      <w:autoSpaceDE w:val="0"/>
      <w:autoSpaceDN w:val="0"/>
      <w:spacing w:before="150" w:line="240" w:lineRule="auto"/>
      <w:jc w:val="center"/>
    </w:pPr>
    <w:rPr>
      <w:rFonts w:ascii="Arial Black" w:eastAsia="Arial Black" w:hAnsi="Arial Black" w:cs="Arial Black"/>
      <w:szCs w:val="22"/>
      <w:lang w:eastAsia="es-ES" w:bidi="es-ES"/>
    </w:rPr>
  </w:style>
  <w:style w:type="table" w:styleId="Tabladelista3-nfasis3">
    <w:name w:val="List Table 3 Accent 3"/>
    <w:basedOn w:val="Tablanormal"/>
    <w:uiPriority w:val="48"/>
    <w:rsid w:val="00DC5334"/>
    <w:pPr>
      <w:spacing w:after="0" w:line="240" w:lineRule="auto"/>
    </w:pPr>
    <w:tblPr>
      <w:tblStyleRowBandSize w:val="1"/>
      <w:tblStyleColBandSize w:val="1"/>
      <w:tblBorders>
        <w:top w:val="single" w:sz="4" w:space="0" w:color="CC0066" w:themeColor="accent3"/>
        <w:left w:val="single" w:sz="4" w:space="0" w:color="CC0066" w:themeColor="accent3"/>
        <w:bottom w:val="single" w:sz="4" w:space="0" w:color="CC0066" w:themeColor="accent3"/>
        <w:right w:val="single" w:sz="4" w:space="0" w:color="CC0066" w:themeColor="accent3"/>
      </w:tblBorders>
    </w:tblPr>
    <w:tblStylePr w:type="firstRow">
      <w:rPr>
        <w:b/>
        <w:bCs/>
        <w:color w:val="FFFFFF" w:themeColor="background1"/>
      </w:rPr>
      <w:tblPr/>
      <w:tcPr>
        <w:shd w:val="clear" w:color="auto" w:fill="CC0066" w:themeFill="accent3"/>
      </w:tcPr>
    </w:tblStylePr>
    <w:tblStylePr w:type="lastRow">
      <w:rPr>
        <w:b/>
        <w:bCs/>
      </w:rPr>
      <w:tblPr/>
      <w:tcPr>
        <w:tcBorders>
          <w:top w:val="double" w:sz="4" w:space="0" w:color="CC006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0066" w:themeColor="accent3"/>
          <w:right w:val="single" w:sz="4" w:space="0" w:color="CC0066" w:themeColor="accent3"/>
        </w:tcBorders>
      </w:tcPr>
    </w:tblStylePr>
    <w:tblStylePr w:type="band1Horz">
      <w:tblPr/>
      <w:tcPr>
        <w:tcBorders>
          <w:top w:val="single" w:sz="4" w:space="0" w:color="CC0066" w:themeColor="accent3"/>
          <w:bottom w:val="single" w:sz="4" w:space="0" w:color="CC006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0066" w:themeColor="accent3"/>
          <w:left w:val="nil"/>
        </w:tcBorders>
      </w:tcPr>
    </w:tblStylePr>
    <w:tblStylePr w:type="swCell">
      <w:tblPr/>
      <w:tcPr>
        <w:tcBorders>
          <w:top w:val="double" w:sz="4" w:space="0" w:color="CC0066" w:themeColor="accent3"/>
          <w:right w:val="nil"/>
        </w:tcBorders>
      </w:tcPr>
    </w:tblStylePr>
  </w:style>
  <w:style w:type="character" w:styleId="Hipervnculovisitado">
    <w:name w:val="FollowedHyperlink"/>
    <w:basedOn w:val="Fuentedeprrafopredeter"/>
    <w:uiPriority w:val="99"/>
    <w:semiHidden/>
    <w:unhideWhenUsed/>
    <w:rsid w:val="000F7490"/>
    <w:rPr>
      <w:color w:val="954F72" w:themeColor="followedHyperlink"/>
      <w:u w:val="single"/>
    </w:rPr>
  </w:style>
  <w:style w:type="character" w:customStyle="1" w:styleId="Textodemarcadordeposicin">
    <w:name w:val="Texto de marcador de posición"/>
    <w:basedOn w:val="Fuentedeprrafopredeter"/>
    <w:uiPriority w:val="99"/>
    <w:semiHidden/>
    <w:rsid w:val="003573B9"/>
    <w:rPr>
      <w:color w:val="808080"/>
    </w:rPr>
  </w:style>
  <w:style w:type="paragraph" w:styleId="TDC4">
    <w:name w:val="toc 4"/>
    <w:basedOn w:val="Normal"/>
    <w:next w:val="Normal"/>
    <w:autoRedefine/>
    <w:uiPriority w:val="39"/>
    <w:unhideWhenUsed/>
    <w:rsid w:val="00C12D18"/>
    <w:pPr>
      <w:spacing w:after="0"/>
      <w:ind w:left="720"/>
    </w:pPr>
  </w:style>
  <w:style w:type="paragraph" w:styleId="TDC5">
    <w:name w:val="toc 5"/>
    <w:basedOn w:val="Normal"/>
    <w:next w:val="Normal"/>
    <w:autoRedefine/>
    <w:uiPriority w:val="39"/>
    <w:unhideWhenUsed/>
    <w:rsid w:val="00C12D18"/>
    <w:pPr>
      <w:spacing w:after="0"/>
      <w:ind w:left="960"/>
    </w:pPr>
  </w:style>
  <w:style w:type="paragraph" w:styleId="TDC6">
    <w:name w:val="toc 6"/>
    <w:basedOn w:val="Normal"/>
    <w:next w:val="Normal"/>
    <w:autoRedefine/>
    <w:uiPriority w:val="39"/>
    <w:unhideWhenUsed/>
    <w:rsid w:val="00C12D18"/>
    <w:pPr>
      <w:spacing w:after="0"/>
      <w:ind w:left="1200"/>
    </w:pPr>
  </w:style>
  <w:style w:type="paragraph" w:styleId="TDC7">
    <w:name w:val="toc 7"/>
    <w:basedOn w:val="Normal"/>
    <w:next w:val="Normal"/>
    <w:autoRedefine/>
    <w:uiPriority w:val="39"/>
    <w:unhideWhenUsed/>
    <w:rsid w:val="00C12D18"/>
    <w:pPr>
      <w:spacing w:after="0"/>
      <w:ind w:left="1440"/>
    </w:pPr>
  </w:style>
  <w:style w:type="paragraph" w:styleId="TDC8">
    <w:name w:val="toc 8"/>
    <w:basedOn w:val="Normal"/>
    <w:next w:val="Normal"/>
    <w:autoRedefine/>
    <w:uiPriority w:val="39"/>
    <w:unhideWhenUsed/>
    <w:rsid w:val="00C12D18"/>
    <w:pPr>
      <w:spacing w:after="0"/>
      <w:ind w:left="1680"/>
    </w:pPr>
  </w:style>
  <w:style w:type="paragraph" w:styleId="TDC9">
    <w:name w:val="toc 9"/>
    <w:basedOn w:val="Normal"/>
    <w:next w:val="Normal"/>
    <w:autoRedefine/>
    <w:uiPriority w:val="39"/>
    <w:unhideWhenUsed/>
    <w:rsid w:val="00C12D18"/>
    <w:pPr>
      <w:spacing w:after="0"/>
      <w:ind w:left="1920"/>
    </w:pPr>
  </w:style>
  <w:style w:type="table" w:styleId="Tabladelista4-nfasis5">
    <w:name w:val="List Table 4 Accent 5"/>
    <w:basedOn w:val="Tablanormal"/>
    <w:uiPriority w:val="49"/>
    <w:rsid w:val="00404510"/>
    <w:pPr>
      <w:spacing w:after="0" w:line="240" w:lineRule="auto"/>
    </w:pPr>
    <w:tblPr>
      <w:tblStyleRowBandSize w:val="1"/>
      <w:tblStyleColBandSize w:val="1"/>
      <w:tblBorders>
        <w:top w:val="single" w:sz="4" w:space="0" w:color="FFA366" w:themeColor="accent5" w:themeTint="99"/>
        <w:left w:val="single" w:sz="4" w:space="0" w:color="FFA366" w:themeColor="accent5" w:themeTint="99"/>
        <w:bottom w:val="single" w:sz="4" w:space="0" w:color="FFA366" w:themeColor="accent5" w:themeTint="99"/>
        <w:right w:val="single" w:sz="4" w:space="0" w:color="FFA366" w:themeColor="accent5" w:themeTint="99"/>
        <w:insideH w:val="single" w:sz="4" w:space="0" w:color="FFA366" w:themeColor="accent5" w:themeTint="99"/>
      </w:tblBorders>
    </w:tblPr>
    <w:tblStylePr w:type="firstRow">
      <w:rPr>
        <w:b/>
        <w:bCs/>
        <w:color w:val="FFFFFF" w:themeColor="background1"/>
      </w:rPr>
      <w:tblPr/>
      <w:tcPr>
        <w:tcBorders>
          <w:top w:val="single" w:sz="4" w:space="0" w:color="FF6600" w:themeColor="accent5"/>
          <w:left w:val="single" w:sz="4" w:space="0" w:color="FF6600" w:themeColor="accent5"/>
          <w:bottom w:val="single" w:sz="4" w:space="0" w:color="FF6600" w:themeColor="accent5"/>
          <w:right w:val="single" w:sz="4" w:space="0" w:color="FF6600" w:themeColor="accent5"/>
          <w:insideH w:val="nil"/>
        </w:tcBorders>
        <w:shd w:val="clear" w:color="auto" w:fill="FF6600" w:themeFill="accent5"/>
      </w:tcPr>
    </w:tblStylePr>
    <w:tblStylePr w:type="lastRow">
      <w:rPr>
        <w:b/>
        <w:bCs/>
      </w:rPr>
      <w:tblPr/>
      <w:tcPr>
        <w:tcBorders>
          <w:top w:val="double" w:sz="4" w:space="0" w:color="FFA366" w:themeColor="accent5" w:themeTint="99"/>
        </w:tcBorders>
      </w:tcPr>
    </w:tblStylePr>
    <w:tblStylePr w:type="firstCol">
      <w:rPr>
        <w:b/>
        <w:bCs/>
      </w:rPr>
    </w:tblStylePr>
    <w:tblStylePr w:type="lastCol">
      <w:rPr>
        <w:b/>
        <w:bCs/>
      </w:rPr>
    </w:tblStylePr>
    <w:tblStylePr w:type="band1Vert">
      <w:tblPr/>
      <w:tcPr>
        <w:shd w:val="clear" w:color="auto" w:fill="FFE0CC" w:themeFill="accent5" w:themeFillTint="33"/>
      </w:tcPr>
    </w:tblStylePr>
    <w:tblStylePr w:type="band1Horz">
      <w:tblPr/>
      <w:tcPr>
        <w:shd w:val="clear" w:color="auto" w:fill="FFE0CC" w:themeFill="accent5" w:themeFillTint="33"/>
      </w:tcPr>
    </w:tblStylePr>
  </w:style>
  <w:style w:type="table" w:styleId="Tabladelista3-nfasis4">
    <w:name w:val="List Table 3 Accent 4"/>
    <w:basedOn w:val="Tablanormal"/>
    <w:uiPriority w:val="48"/>
    <w:rsid w:val="00404510"/>
    <w:pPr>
      <w:spacing w:after="0" w:line="240" w:lineRule="auto"/>
    </w:pPr>
    <w:tblPr>
      <w:tblStyleRowBandSize w:val="1"/>
      <w:tblStyleColBandSize w:val="1"/>
      <w:tblBorders>
        <w:top w:val="single" w:sz="4" w:space="0" w:color="FF0000" w:themeColor="accent4"/>
        <w:left w:val="single" w:sz="4" w:space="0" w:color="FF0000" w:themeColor="accent4"/>
        <w:bottom w:val="single" w:sz="4" w:space="0" w:color="FF0000" w:themeColor="accent4"/>
        <w:right w:val="single" w:sz="4" w:space="0" w:color="FF0000" w:themeColor="accent4"/>
      </w:tblBorders>
    </w:tblPr>
    <w:tblStylePr w:type="firstRow">
      <w:rPr>
        <w:b/>
        <w:bCs/>
        <w:color w:val="FFFFFF" w:themeColor="background1"/>
      </w:rPr>
      <w:tblPr/>
      <w:tcPr>
        <w:shd w:val="clear" w:color="auto" w:fill="FF0000" w:themeFill="accent4"/>
      </w:tcPr>
    </w:tblStylePr>
    <w:tblStylePr w:type="lastRow">
      <w:rPr>
        <w:b/>
        <w:bCs/>
      </w:rPr>
      <w:tblPr/>
      <w:tcPr>
        <w:tcBorders>
          <w:top w:val="double" w:sz="4" w:space="0" w:color="FF0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4"/>
          <w:right w:val="single" w:sz="4" w:space="0" w:color="FF0000" w:themeColor="accent4"/>
        </w:tcBorders>
      </w:tcPr>
    </w:tblStylePr>
    <w:tblStylePr w:type="band1Horz">
      <w:tblPr/>
      <w:tcPr>
        <w:tcBorders>
          <w:top w:val="single" w:sz="4" w:space="0" w:color="FF0000" w:themeColor="accent4"/>
          <w:bottom w:val="single" w:sz="4" w:space="0" w:color="FF0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4"/>
          <w:left w:val="nil"/>
        </w:tcBorders>
      </w:tcPr>
    </w:tblStylePr>
    <w:tblStylePr w:type="swCell">
      <w:tblPr/>
      <w:tcPr>
        <w:tcBorders>
          <w:top w:val="double" w:sz="4" w:space="0" w:color="FF0000" w:themeColor="accent4"/>
          <w:right w:val="nil"/>
        </w:tcBorders>
      </w:tcPr>
    </w:tblStylePr>
  </w:style>
  <w:style w:type="paragraph" w:customStyle="1" w:styleId="m-740160870015040853gmail-m3921496554965377597msolistparagraph">
    <w:name w:val="m_-740160870015040853gmail-m3921496554965377597msolistparagraph"/>
    <w:basedOn w:val="Normal"/>
    <w:rsid w:val="00082C69"/>
    <w:pPr>
      <w:spacing w:beforeAutospacing="1" w:after="100" w:afterAutospacing="1" w:line="240" w:lineRule="auto"/>
    </w:pPr>
    <w:rPr>
      <w:rFonts w:ascii="Times New Roman" w:eastAsia="Times New Roman" w:hAnsi="Times New Roman" w:cs="Times New Roman"/>
      <w:lang w:eastAsia="es-ES"/>
    </w:rPr>
  </w:style>
  <w:style w:type="table" w:styleId="Tablaconcuadrcula1clara-nfasis3">
    <w:name w:val="Grid Table 1 Light Accent 3"/>
    <w:basedOn w:val="Tablanormal"/>
    <w:uiPriority w:val="46"/>
    <w:rsid w:val="001E17C6"/>
    <w:pPr>
      <w:spacing w:after="0" w:line="240" w:lineRule="auto"/>
    </w:pPr>
    <w:tblPr>
      <w:tblStyleRowBandSize w:val="1"/>
      <w:tblStyleColBandSize w:val="1"/>
      <w:tblBorders>
        <w:top w:val="single" w:sz="4" w:space="0" w:color="FF84C1" w:themeColor="accent3" w:themeTint="66"/>
        <w:left w:val="single" w:sz="4" w:space="0" w:color="FF84C1" w:themeColor="accent3" w:themeTint="66"/>
        <w:bottom w:val="single" w:sz="4" w:space="0" w:color="FF84C1" w:themeColor="accent3" w:themeTint="66"/>
        <w:right w:val="single" w:sz="4" w:space="0" w:color="FF84C1" w:themeColor="accent3" w:themeTint="66"/>
        <w:insideH w:val="single" w:sz="4" w:space="0" w:color="FF84C1" w:themeColor="accent3" w:themeTint="66"/>
        <w:insideV w:val="single" w:sz="4" w:space="0" w:color="FF84C1" w:themeColor="accent3" w:themeTint="66"/>
      </w:tblBorders>
    </w:tblPr>
    <w:tblStylePr w:type="firstRow">
      <w:rPr>
        <w:b/>
        <w:bCs/>
      </w:rPr>
      <w:tblPr/>
      <w:tcPr>
        <w:tcBorders>
          <w:bottom w:val="single" w:sz="12" w:space="0" w:color="FF47A2" w:themeColor="accent3" w:themeTint="99"/>
        </w:tcBorders>
      </w:tcPr>
    </w:tblStylePr>
    <w:tblStylePr w:type="lastRow">
      <w:rPr>
        <w:b/>
        <w:bCs/>
      </w:rPr>
      <w:tblPr/>
      <w:tcPr>
        <w:tcBorders>
          <w:top w:val="double" w:sz="2" w:space="0" w:color="FF47A2" w:themeColor="accent3" w:themeTint="99"/>
        </w:tcBorders>
      </w:tcPr>
    </w:tblStylePr>
    <w:tblStylePr w:type="firstCol">
      <w:rPr>
        <w:b/>
        <w:bCs/>
      </w:rPr>
    </w:tblStylePr>
    <w:tblStylePr w:type="lastCol">
      <w:rPr>
        <w:b/>
        <w:bCs/>
      </w:rPr>
    </w:tblStylePr>
  </w:style>
  <w:style w:type="paragraph" w:customStyle="1" w:styleId="item-link">
    <w:name w:val="item-link"/>
    <w:basedOn w:val="Normal"/>
    <w:rsid w:val="005B2BA2"/>
    <w:pPr>
      <w:spacing w:beforeAutospacing="1" w:after="100" w:afterAutospacing="1" w:line="240" w:lineRule="auto"/>
    </w:pPr>
    <w:rPr>
      <w:rFonts w:ascii="Times New Roman" w:eastAsia="Times New Roman" w:hAnsi="Times New Roman" w:cs="Times New Roman"/>
      <w:lang w:eastAsia="es-ES"/>
    </w:rPr>
  </w:style>
  <w:style w:type="table" w:styleId="Tablanormal5">
    <w:name w:val="Plain Table 5"/>
    <w:basedOn w:val="Tablanormal"/>
    <w:uiPriority w:val="45"/>
    <w:rsid w:val="00061F0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7Car">
    <w:name w:val="Título 7 Car"/>
    <w:basedOn w:val="Fuentedeprrafopredeter"/>
    <w:link w:val="Ttulo7"/>
    <w:uiPriority w:val="9"/>
    <w:semiHidden/>
    <w:rsid w:val="006219AF"/>
    <w:rPr>
      <w:caps/>
      <w:color w:val="AE0CFF" w:themeColor="accent1" w:themeShade="BF"/>
      <w:spacing w:val="10"/>
    </w:rPr>
  </w:style>
  <w:style w:type="character" w:styleId="nfasis">
    <w:name w:val="Emphasis"/>
    <w:uiPriority w:val="20"/>
    <w:qFormat/>
    <w:rsid w:val="006219AF"/>
    <w:rPr>
      <w:caps/>
      <w:color w:val="7600B1" w:themeColor="accent1" w:themeShade="7F"/>
      <w:spacing w:val="5"/>
    </w:rPr>
  </w:style>
  <w:style w:type="paragraph" w:styleId="Cita">
    <w:name w:val="Quote"/>
    <w:basedOn w:val="Normal"/>
    <w:next w:val="Normal"/>
    <w:link w:val="CitaCar"/>
    <w:uiPriority w:val="29"/>
    <w:qFormat/>
    <w:rsid w:val="006219AF"/>
    <w:rPr>
      <w:i/>
      <w:iCs/>
      <w:sz w:val="24"/>
      <w:szCs w:val="24"/>
    </w:rPr>
  </w:style>
  <w:style w:type="character" w:customStyle="1" w:styleId="CitaCar">
    <w:name w:val="Cita Car"/>
    <w:basedOn w:val="Fuentedeprrafopredeter"/>
    <w:link w:val="Cita"/>
    <w:uiPriority w:val="29"/>
    <w:rsid w:val="006219AF"/>
    <w:rPr>
      <w:i/>
      <w:iCs/>
      <w:sz w:val="24"/>
      <w:szCs w:val="24"/>
    </w:rPr>
  </w:style>
  <w:style w:type="character" w:styleId="nfasissutil">
    <w:name w:val="Subtle Emphasis"/>
    <w:uiPriority w:val="19"/>
    <w:qFormat/>
    <w:rsid w:val="006219AF"/>
    <w:rPr>
      <w:i/>
      <w:iCs/>
      <w:color w:val="7600B1" w:themeColor="accent1" w:themeShade="7F"/>
    </w:rPr>
  </w:style>
  <w:style w:type="character" w:styleId="Referenciaintensa">
    <w:name w:val="Intense Reference"/>
    <w:uiPriority w:val="32"/>
    <w:qFormat/>
    <w:rsid w:val="006219AF"/>
    <w:rPr>
      <w:b/>
      <w:bCs/>
      <w:i/>
      <w:iCs/>
      <w:caps/>
      <w:color w:val="CC66FF"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457">
      <w:bodyDiv w:val="1"/>
      <w:marLeft w:val="0"/>
      <w:marRight w:val="0"/>
      <w:marTop w:val="0"/>
      <w:marBottom w:val="0"/>
      <w:divBdr>
        <w:top w:val="none" w:sz="0" w:space="0" w:color="auto"/>
        <w:left w:val="none" w:sz="0" w:space="0" w:color="auto"/>
        <w:bottom w:val="none" w:sz="0" w:space="0" w:color="auto"/>
        <w:right w:val="none" w:sz="0" w:space="0" w:color="auto"/>
      </w:divBdr>
    </w:div>
    <w:div w:id="6950837">
      <w:bodyDiv w:val="1"/>
      <w:marLeft w:val="0"/>
      <w:marRight w:val="0"/>
      <w:marTop w:val="0"/>
      <w:marBottom w:val="0"/>
      <w:divBdr>
        <w:top w:val="none" w:sz="0" w:space="0" w:color="auto"/>
        <w:left w:val="none" w:sz="0" w:space="0" w:color="auto"/>
        <w:bottom w:val="none" w:sz="0" w:space="0" w:color="auto"/>
        <w:right w:val="none" w:sz="0" w:space="0" w:color="auto"/>
      </w:divBdr>
      <w:divsChild>
        <w:div w:id="182213875">
          <w:marLeft w:val="547"/>
          <w:marRight w:val="0"/>
          <w:marTop w:val="0"/>
          <w:marBottom w:val="0"/>
          <w:divBdr>
            <w:top w:val="none" w:sz="0" w:space="0" w:color="auto"/>
            <w:left w:val="none" w:sz="0" w:space="0" w:color="auto"/>
            <w:bottom w:val="none" w:sz="0" w:space="0" w:color="auto"/>
            <w:right w:val="none" w:sz="0" w:space="0" w:color="auto"/>
          </w:divBdr>
        </w:div>
      </w:divsChild>
    </w:div>
    <w:div w:id="15736227">
      <w:bodyDiv w:val="1"/>
      <w:marLeft w:val="0"/>
      <w:marRight w:val="0"/>
      <w:marTop w:val="0"/>
      <w:marBottom w:val="0"/>
      <w:divBdr>
        <w:top w:val="none" w:sz="0" w:space="0" w:color="auto"/>
        <w:left w:val="none" w:sz="0" w:space="0" w:color="auto"/>
        <w:bottom w:val="none" w:sz="0" w:space="0" w:color="auto"/>
        <w:right w:val="none" w:sz="0" w:space="0" w:color="auto"/>
      </w:divBdr>
      <w:divsChild>
        <w:div w:id="1588877423">
          <w:marLeft w:val="0"/>
          <w:marRight w:val="0"/>
          <w:marTop w:val="0"/>
          <w:marBottom w:val="0"/>
          <w:divBdr>
            <w:top w:val="none" w:sz="0" w:space="0" w:color="auto"/>
            <w:left w:val="none" w:sz="0" w:space="0" w:color="auto"/>
            <w:bottom w:val="none" w:sz="0" w:space="0" w:color="auto"/>
            <w:right w:val="none" w:sz="0" w:space="0" w:color="auto"/>
          </w:divBdr>
        </w:div>
        <w:div w:id="876627078">
          <w:marLeft w:val="0"/>
          <w:marRight w:val="0"/>
          <w:marTop w:val="0"/>
          <w:marBottom w:val="0"/>
          <w:divBdr>
            <w:top w:val="none" w:sz="0" w:space="0" w:color="auto"/>
            <w:left w:val="none" w:sz="0" w:space="0" w:color="auto"/>
            <w:bottom w:val="none" w:sz="0" w:space="0" w:color="auto"/>
            <w:right w:val="none" w:sz="0" w:space="0" w:color="auto"/>
          </w:divBdr>
        </w:div>
        <w:div w:id="462697060">
          <w:marLeft w:val="0"/>
          <w:marRight w:val="0"/>
          <w:marTop w:val="0"/>
          <w:marBottom w:val="0"/>
          <w:divBdr>
            <w:top w:val="none" w:sz="0" w:space="0" w:color="auto"/>
            <w:left w:val="none" w:sz="0" w:space="0" w:color="auto"/>
            <w:bottom w:val="none" w:sz="0" w:space="0" w:color="auto"/>
            <w:right w:val="none" w:sz="0" w:space="0" w:color="auto"/>
          </w:divBdr>
        </w:div>
        <w:div w:id="831719261">
          <w:marLeft w:val="0"/>
          <w:marRight w:val="0"/>
          <w:marTop w:val="0"/>
          <w:marBottom w:val="0"/>
          <w:divBdr>
            <w:top w:val="none" w:sz="0" w:space="0" w:color="auto"/>
            <w:left w:val="none" w:sz="0" w:space="0" w:color="auto"/>
            <w:bottom w:val="none" w:sz="0" w:space="0" w:color="auto"/>
            <w:right w:val="none" w:sz="0" w:space="0" w:color="auto"/>
          </w:divBdr>
        </w:div>
        <w:div w:id="159085014">
          <w:marLeft w:val="0"/>
          <w:marRight w:val="0"/>
          <w:marTop w:val="0"/>
          <w:marBottom w:val="0"/>
          <w:divBdr>
            <w:top w:val="none" w:sz="0" w:space="0" w:color="auto"/>
            <w:left w:val="none" w:sz="0" w:space="0" w:color="auto"/>
            <w:bottom w:val="none" w:sz="0" w:space="0" w:color="auto"/>
            <w:right w:val="none" w:sz="0" w:space="0" w:color="auto"/>
          </w:divBdr>
        </w:div>
        <w:div w:id="35158994">
          <w:marLeft w:val="0"/>
          <w:marRight w:val="0"/>
          <w:marTop w:val="0"/>
          <w:marBottom w:val="0"/>
          <w:divBdr>
            <w:top w:val="none" w:sz="0" w:space="0" w:color="auto"/>
            <w:left w:val="none" w:sz="0" w:space="0" w:color="auto"/>
            <w:bottom w:val="none" w:sz="0" w:space="0" w:color="auto"/>
            <w:right w:val="none" w:sz="0" w:space="0" w:color="auto"/>
          </w:divBdr>
        </w:div>
        <w:div w:id="1792093448">
          <w:marLeft w:val="0"/>
          <w:marRight w:val="0"/>
          <w:marTop w:val="0"/>
          <w:marBottom w:val="0"/>
          <w:divBdr>
            <w:top w:val="none" w:sz="0" w:space="0" w:color="auto"/>
            <w:left w:val="none" w:sz="0" w:space="0" w:color="auto"/>
            <w:bottom w:val="none" w:sz="0" w:space="0" w:color="auto"/>
            <w:right w:val="none" w:sz="0" w:space="0" w:color="auto"/>
          </w:divBdr>
        </w:div>
        <w:div w:id="1599678056">
          <w:marLeft w:val="0"/>
          <w:marRight w:val="0"/>
          <w:marTop w:val="0"/>
          <w:marBottom w:val="0"/>
          <w:divBdr>
            <w:top w:val="none" w:sz="0" w:space="0" w:color="auto"/>
            <w:left w:val="none" w:sz="0" w:space="0" w:color="auto"/>
            <w:bottom w:val="none" w:sz="0" w:space="0" w:color="auto"/>
            <w:right w:val="none" w:sz="0" w:space="0" w:color="auto"/>
          </w:divBdr>
        </w:div>
      </w:divsChild>
    </w:div>
    <w:div w:id="35545131">
      <w:bodyDiv w:val="1"/>
      <w:marLeft w:val="0"/>
      <w:marRight w:val="0"/>
      <w:marTop w:val="0"/>
      <w:marBottom w:val="0"/>
      <w:divBdr>
        <w:top w:val="none" w:sz="0" w:space="0" w:color="auto"/>
        <w:left w:val="none" w:sz="0" w:space="0" w:color="auto"/>
        <w:bottom w:val="none" w:sz="0" w:space="0" w:color="auto"/>
        <w:right w:val="none" w:sz="0" w:space="0" w:color="auto"/>
      </w:divBdr>
    </w:div>
    <w:div w:id="56713243">
      <w:bodyDiv w:val="1"/>
      <w:marLeft w:val="0"/>
      <w:marRight w:val="0"/>
      <w:marTop w:val="0"/>
      <w:marBottom w:val="0"/>
      <w:divBdr>
        <w:top w:val="none" w:sz="0" w:space="0" w:color="auto"/>
        <w:left w:val="none" w:sz="0" w:space="0" w:color="auto"/>
        <w:bottom w:val="none" w:sz="0" w:space="0" w:color="auto"/>
        <w:right w:val="none" w:sz="0" w:space="0" w:color="auto"/>
      </w:divBdr>
    </w:div>
    <w:div w:id="67460430">
      <w:bodyDiv w:val="1"/>
      <w:marLeft w:val="0"/>
      <w:marRight w:val="0"/>
      <w:marTop w:val="0"/>
      <w:marBottom w:val="0"/>
      <w:divBdr>
        <w:top w:val="none" w:sz="0" w:space="0" w:color="auto"/>
        <w:left w:val="none" w:sz="0" w:space="0" w:color="auto"/>
        <w:bottom w:val="none" w:sz="0" w:space="0" w:color="auto"/>
        <w:right w:val="none" w:sz="0" w:space="0" w:color="auto"/>
      </w:divBdr>
    </w:div>
    <w:div w:id="80415271">
      <w:bodyDiv w:val="1"/>
      <w:marLeft w:val="0"/>
      <w:marRight w:val="0"/>
      <w:marTop w:val="0"/>
      <w:marBottom w:val="0"/>
      <w:divBdr>
        <w:top w:val="none" w:sz="0" w:space="0" w:color="auto"/>
        <w:left w:val="none" w:sz="0" w:space="0" w:color="auto"/>
        <w:bottom w:val="none" w:sz="0" w:space="0" w:color="auto"/>
        <w:right w:val="none" w:sz="0" w:space="0" w:color="auto"/>
      </w:divBdr>
    </w:div>
    <w:div w:id="93406995">
      <w:bodyDiv w:val="1"/>
      <w:marLeft w:val="0"/>
      <w:marRight w:val="0"/>
      <w:marTop w:val="0"/>
      <w:marBottom w:val="0"/>
      <w:divBdr>
        <w:top w:val="none" w:sz="0" w:space="0" w:color="auto"/>
        <w:left w:val="none" w:sz="0" w:space="0" w:color="auto"/>
        <w:bottom w:val="none" w:sz="0" w:space="0" w:color="auto"/>
        <w:right w:val="none" w:sz="0" w:space="0" w:color="auto"/>
      </w:divBdr>
    </w:div>
    <w:div w:id="105003377">
      <w:bodyDiv w:val="1"/>
      <w:marLeft w:val="0"/>
      <w:marRight w:val="0"/>
      <w:marTop w:val="0"/>
      <w:marBottom w:val="0"/>
      <w:divBdr>
        <w:top w:val="none" w:sz="0" w:space="0" w:color="auto"/>
        <w:left w:val="none" w:sz="0" w:space="0" w:color="auto"/>
        <w:bottom w:val="none" w:sz="0" w:space="0" w:color="auto"/>
        <w:right w:val="none" w:sz="0" w:space="0" w:color="auto"/>
      </w:divBdr>
    </w:div>
    <w:div w:id="105733813">
      <w:bodyDiv w:val="1"/>
      <w:marLeft w:val="0"/>
      <w:marRight w:val="0"/>
      <w:marTop w:val="0"/>
      <w:marBottom w:val="0"/>
      <w:divBdr>
        <w:top w:val="none" w:sz="0" w:space="0" w:color="auto"/>
        <w:left w:val="none" w:sz="0" w:space="0" w:color="auto"/>
        <w:bottom w:val="none" w:sz="0" w:space="0" w:color="auto"/>
        <w:right w:val="none" w:sz="0" w:space="0" w:color="auto"/>
      </w:divBdr>
    </w:div>
    <w:div w:id="115374924">
      <w:bodyDiv w:val="1"/>
      <w:marLeft w:val="0"/>
      <w:marRight w:val="0"/>
      <w:marTop w:val="0"/>
      <w:marBottom w:val="0"/>
      <w:divBdr>
        <w:top w:val="none" w:sz="0" w:space="0" w:color="auto"/>
        <w:left w:val="none" w:sz="0" w:space="0" w:color="auto"/>
        <w:bottom w:val="none" w:sz="0" w:space="0" w:color="auto"/>
        <w:right w:val="none" w:sz="0" w:space="0" w:color="auto"/>
      </w:divBdr>
    </w:div>
    <w:div w:id="118885938">
      <w:bodyDiv w:val="1"/>
      <w:marLeft w:val="0"/>
      <w:marRight w:val="0"/>
      <w:marTop w:val="0"/>
      <w:marBottom w:val="0"/>
      <w:divBdr>
        <w:top w:val="none" w:sz="0" w:space="0" w:color="auto"/>
        <w:left w:val="none" w:sz="0" w:space="0" w:color="auto"/>
        <w:bottom w:val="none" w:sz="0" w:space="0" w:color="auto"/>
        <w:right w:val="none" w:sz="0" w:space="0" w:color="auto"/>
      </w:divBdr>
    </w:div>
    <w:div w:id="123470045">
      <w:bodyDiv w:val="1"/>
      <w:marLeft w:val="0"/>
      <w:marRight w:val="0"/>
      <w:marTop w:val="0"/>
      <w:marBottom w:val="0"/>
      <w:divBdr>
        <w:top w:val="none" w:sz="0" w:space="0" w:color="auto"/>
        <w:left w:val="none" w:sz="0" w:space="0" w:color="auto"/>
        <w:bottom w:val="none" w:sz="0" w:space="0" w:color="auto"/>
        <w:right w:val="none" w:sz="0" w:space="0" w:color="auto"/>
      </w:divBdr>
    </w:div>
    <w:div w:id="124280967">
      <w:bodyDiv w:val="1"/>
      <w:marLeft w:val="0"/>
      <w:marRight w:val="0"/>
      <w:marTop w:val="0"/>
      <w:marBottom w:val="0"/>
      <w:divBdr>
        <w:top w:val="none" w:sz="0" w:space="0" w:color="auto"/>
        <w:left w:val="none" w:sz="0" w:space="0" w:color="auto"/>
        <w:bottom w:val="none" w:sz="0" w:space="0" w:color="auto"/>
        <w:right w:val="none" w:sz="0" w:space="0" w:color="auto"/>
      </w:divBdr>
    </w:div>
    <w:div w:id="153836410">
      <w:bodyDiv w:val="1"/>
      <w:marLeft w:val="0"/>
      <w:marRight w:val="0"/>
      <w:marTop w:val="0"/>
      <w:marBottom w:val="0"/>
      <w:divBdr>
        <w:top w:val="none" w:sz="0" w:space="0" w:color="auto"/>
        <w:left w:val="none" w:sz="0" w:space="0" w:color="auto"/>
        <w:bottom w:val="none" w:sz="0" w:space="0" w:color="auto"/>
        <w:right w:val="none" w:sz="0" w:space="0" w:color="auto"/>
      </w:divBdr>
    </w:div>
    <w:div w:id="155414880">
      <w:bodyDiv w:val="1"/>
      <w:marLeft w:val="0"/>
      <w:marRight w:val="0"/>
      <w:marTop w:val="0"/>
      <w:marBottom w:val="0"/>
      <w:divBdr>
        <w:top w:val="none" w:sz="0" w:space="0" w:color="auto"/>
        <w:left w:val="none" w:sz="0" w:space="0" w:color="auto"/>
        <w:bottom w:val="none" w:sz="0" w:space="0" w:color="auto"/>
        <w:right w:val="none" w:sz="0" w:space="0" w:color="auto"/>
      </w:divBdr>
    </w:div>
    <w:div w:id="157500551">
      <w:bodyDiv w:val="1"/>
      <w:marLeft w:val="0"/>
      <w:marRight w:val="0"/>
      <w:marTop w:val="0"/>
      <w:marBottom w:val="0"/>
      <w:divBdr>
        <w:top w:val="none" w:sz="0" w:space="0" w:color="auto"/>
        <w:left w:val="none" w:sz="0" w:space="0" w:color="auto"/>
        <w:bottom w:val="none" w:sz="0" w:space="0" w:color="auto"/>
        <w:right w:val="none" w:sz="0" w:space="0" w:color="auto"/>
      </w:divBdr>
      <w:divsChild>
        <w:div w:id="435633267">
          <w:marLeft w:val="547"/>
          <w:marRight w:val="0"/>
          <w:marTop w:val="0"/>
          <w:marBottom w:val="0"/>
          <w:divBdr>
            <w:top w:val="none" w:sz="0" w:space="0" w:color="auto"/>
            <w:left w:val="none" w:sz="0" w:space="0" w:color="auto"/>
            <w:bottom w:val="none" w:sz="0" w:space="0" w:color="auto"/>
            <w:right w:val="none" w:sz="0" w:space="0" w:color="auto"/>
          </w:divBdr>
        </w:div>
        <w:div w:id="1641301747">
          <w:marLeft w:val="1166"/>
          <w:marRight w:val="0"/>
          <w:marTop w:val="0"/>
          <w:marBottom w:val="0"/>
          <w:divBdr>
            <w:top w:val="none" w:sz="0" w:space="0" w:color="auto"/>
            <w:left w:val="none" w:sz="0" w:space="0" w:color="auto"/>
            <w:bottom w:val="none" w:sz="0" w:space="0" w:color="auto"/>
            <w:right w:val="none" w:sz="0" w:space="0" w:color="auto"/>
          </w:divBdr>
        </w:div>
        <w:div w:id="1572038368">
          <w:marLeft w:val="547"/>
          <w:marRight w:val="0"/>
          <w:marTop w:val="0"/>
          <w:marBottom w:val="0"/>
          <w:divBdr>
            <w:top w:val="none" w:sz="0" w:space="0" w:color="auto"/>
            <w:left w:val="none" w:sz="0" w:space="0" w:color="auto"/>
            <w:bottom w:val="none" w:sz="0" w:space="0" w:color="auto"/>
            <w:right w:val="none" w:sz="0" w:space="0" w:color="auto"/>
          </w:divBdr>
        </w:div>
        <w:div w:id="1410007860">
          <w:marLeft w:val="1166"/>
          <w:marRight w:val="0"/>
          <w:marTop w:val="0"/>
          <w:marBottom w:val="0"/>
          <w:divBdr>
            <w:top w:val="none" w:sz="0" w:space="0" w:color="auto"/>
            <w:left w:val="none" w:sz="0" w:space="0" w:color="auto"/>
            <w:bottom w:val="none" w:sz="0" w:space="0" w:color="auto"/>
            <w:right w:val="none" w:sz="0" w:space="0" w:color="auto"/>
          </w:divBdr>
        </w:div>
        <w:div w:id="2129927804">
          <w:marLeft w:val="1166"/>
          <w:marRight w:val="0"/>
          <w:marTop w:val="0"/>
          <w:marBottom w:val="0"/>
          <w:divBdr>
            <w:top w:val="none" w:sz="0" w:space="0" w:color="auto"/>
            <w:left w:val="none" w:sz="0" w:space="0" w:color="auto"/>
            <w:bottom w:val="none" w:sz="0" w:space="0" w:color="auto"/>
            <w:right w:val="none" w:sz="0" w:space="0" w:color="auto"/>
          </w:divBdr>
        </w:div>
        <w:div w:id="2076779956">
          <w:marLeft w:val="1166"/>
          <w:marRight w:val="0"/>
          <w:marTop w:val="0"/>
          <w:marBottom w:val="0"/>
          <w:divBdr>
            <w:top w:val="none" w:sz="0" w:space="0" w:color="auto"/>
            <w:left w:val="none" w:sz="0" w:space="0" w:color="auto"/>
            <w:bottom w:val="none" w:sz="0" w:space="0" w:color="auto"/>
            <w:right w:val="none" w:sz="0" w:space="0" w:color="auto"/>
          </w:divBdr>
        </w:div>
        <w:div w:id="1069882888">
          <w:marLeft w:val="1166"/>
          <w:marRight w:val="0"/>
          <w:marTop w:val="0"/>
          <w:marBottom w:val="0"/>
          <w:divBdr>
            <w:top w:val="none" w:sz="0" w:space="0" w:color="auto"/>
            <w:left w:val="none" w:sz="0" w:space="0" w:color="auto"/>
            <w:bottom w:val="none" w:sz="0" w:space="0" w:color="auto"/>
            <w:right w:val="none" w:sz="0" w:space="0" w:color="auto"/>
          </w:divBdr>
        </w:div>
        <w:div w:id="1191452030">
          <w:marLeft w:val="1800"/>
          <w:marRight w:val="0"/>
          <w:marTop w:val="0"/>
          <w:marBottom w:val="0"/>
          <w:divBdr>
            <w:top w:val="none" w:sz="0" w:space="0" w:color="auto"/>
            <w:left w:val="none" w:sz="0" w:space="0" w:color="auto"/>
            <w:bottom w:val="none" w:sz="0" w:space="0" w:color="auto"/>
            <w:right w:val="none" w:sz="0" w:space="0" w:color="auto"/>
          </w:divBdr>
        </w:div>
        <w:div w:id="1665860696">
          <w:marLeft w:val="1800"/>
          <w:marRight w:val="0"/>
          <w:marTop w:val="0"/>
          <w:marBottom w:val="0"/>
          <w:divBdr>
            <w:top w:val="none" w:sz="0" w:space="0" w:color="auto"/>
            <w:left w:val="none" w:sz="0" w:space="0" w:color="auto"/>
            <w:bottom w:val="none" w:sz="0" w:space="0" w:color="auto"/>
            <w:right w:val="none" w:sz="0" w:space="0" w:color="auto"/>
          </w:divBdr>
        </w:div>
        <w:div w:id="1166744852">
          <w:marLeft w:val="1800"/>
          <w:marRight w:val="0"/>
          <w:marTop w:val="0"/>
          <w:marBottom w:val="0"/>
          <w:divBdr>
            <w:top w:val="none" w:sz="0" w:space="0" w:color="auto"/>
            <w:left w:val="none" w:sz="0" w:space="0" w:color="auto"/>
            <w:bottom w:val="none" w:sz="0" w:space="0" w:color="auto"/>
            <w:right w:val="none" w:sz="0" w:space="0" w:color="auto"/>
          </w:divBdr>
        </w:div>
        <w:div w:id="880871338">
          <w:marLeft w:val="1800"/>
          <w:marRight w:val="0"/>
          <w:marTop w:val="0"/>
          <w:marBottom w:val="0"/>
          <w:divBdr>
            <w:top w:val="none" w:sz="0" w:space="0" w:color="auto"/>
            <w:left w:val="none" w:sz="0" w:space="0" w:color="auto"/>
            <w:bottom w:val="none" w:sz="0" w:space="0" w:color="auto"/>
            <w:right w:val="none" w:sz="0" w:space="0" w:color="auto"/>
          </w:divBdr>
        </w:div>
        <w:div w:id="1645623420">
          <w:marLeft w:val="1800"/>
          <w:marRight w:val="0"/>
          <w:marTop w:val="0"/>
          <w:marBottom w:val="0"/>
          <w:divBdr>
            <w:top w:val="none" w:sz="0" w:space="0" w:color="auto"/>
            <w:left w:val="none" w:sz="0" w:space="0" w:color="auto"/>
            <w:bottom w:val="none" w:sz="0" w:space="0" w:color="auto"/>
            <w:right w:val="none" w:sz="0" w:space="0" w:color="auto"/>
          </w:divBdr>
        </w:div>
      </w:divsChild>
    </w:div>
    <w:div w:id="194511247">
      <w:bodyDiv w:val="1"/>
      <w:marLeft w:val="0"/>
      <w:marRight w:val="0"/>
      <w:marTop w:val="0"/>
      <w:marBottom w:val="0"/>
      <w:divBdr>
        <w:top w:val="none" w:sz="0" w:space="0" w:color="auto"/>
        <w:left w:val="none" w:sz="0" w:space="0" w:color="auto"/>
        <w:bottom w:val="none" w:sz="0" w:space="0" w:color="auto"/>
        <w:right w:val="none" w:sz="0" w:space="0" w:color="auto"/>
      </w:divBdr>
    </w:div>
    <w:div w:id="202180184">
      <w:bodyDiv w:val="1"/>
      <w:marLeft w:val="0"/>
      <w:marRight w:val="0"/>
      <w:marTop w:val="0"/>
      <w:marBottom w:val="0"/>
      <w:divBdr>
        <w:top w:val="none" w:sz="0" w:space="0" w:color="auto"/>
        <w:left w:val="none" w:sz="0" w:space="0" w:color="auto"/>
        <w:bottom w:val="none" w:sz="0" w:space="0" w:color="auto"/>
        <w:right w:val="none" w:sz="0" w:space="0" w:color="auto"/>
      </w:divBdr>
    </w:div>
    <w:div w:id="205025220">
      <w:bodyDiv w:val="1"/>
      <w:marLeft w:val="0"/>
      <w:marRight w:val="0"/>
      <w:marTop w:val="0"/>
      <w:marBottom w:val="0"/>
      <w:divBdr>
        <w:top w:val="none" w:sz="0" w:space="0" w:color="auto"/>
        <w:left w:val="none" w:sz="0" w:space="0" w:color="auto"/>
        <w:bottom w:val="none" w:sz="0" w:space="0" w:color="auto"/>
        <w:right w:val="none" w:sz="0" w:space="0" w:color="auto"/>
      </w:divBdr>
    </w:div>
    <w:div w:id="225838941">
      <w:bodyDiv w:val="1"/>
      <w:marLeft w:val="0"/>
      <w:marRight w:val="0"/>
      <w:marTop w:val="0"/>
      <w:marBottom w:val="0"/>
      <w:divBdr>
        <w:top w:val="none" w:sz="0" w:space="0" w:color="auto"/>
        <w:left w:val="none" w:sz="0" w:space="0" w:color="auto"/>
        <w:bottom w:val="none" w:sz="0" w:space="0" w:color="auto"/>
        <w:right w:val="none" w:sz="0" w:space="0" w:color="auto"/>
      </w:divBdr>
    </w:div>
    <w:div w:id="250160146">
      <w:bodyDiv w:val="1"/>
      <w:marLeft w:val="0"/>
      <w:marRight w:val="0"/>
      <w:marTop w:val="0"/>
      <w:marBottom w:val="0"/>
      <w:divBdr>
        <w:top w:val="none" w:sz="0" w:space="0" w:color="auto"/>
        <w:left w:val="none" w:sz="0" w:space="0" w:color="auto"/>
        <w:bottom w:val="none" w:sz="0" w:space="0" w:color="auto"/>
        <w:right w:val="none" w:sz="0" w:space="0" w:color="auto"/>
      </w:divBdr>
    </w:div>
    <w:div w:id="276835760">
      <w:bodyDiv w:val="1"/>
      <w:marLeft w:val="0"/>
      <w:marRight w:val="0"/>
      <w:marTop w:val="0"/>
      <w:marBottom w:val="0"/>
      <w:divBdr>
        <w:top w:val="none" w:sz="0" w:space="0" w:color="auto"/>
        <w:left w:val="none" w:sz="0" w:space="0" w:color="auto"/>
        <w:bottom w:val="none" w:sz="0" w:space="0" w:color="auto"/>
        <w:right w:val="none" w:sz="0" w:space="0" w:color="auto"/>
      </w:divBdr>
      <w:divsChild>
        <w:div w:id="991178109">
          <w:marLeft w:val="547"/>
          <w:marRight w:val="0"/>
          <w:marTop w:val="0"/>
          <w:marBottom w:val="0"/>
          <w:divBdr>
            <w:top w:val="none" w:sz="0" w:space="0" w:color="auto"/>
            <w:left w:val="none" w:sz="0" w:space="0" w:color="auto"/>
            <w:bottom w:val="none" w:sz="0" w:space="0" w:color="auto"/>
            <w:right w:val="none" w:sz="0" w:space="0" w:color="auto"/>
          </w:divBdr>
        </w:div>
        <w:div w:id="132605877">
          <w:marLeft w:val="1166"/>
          <w:marRight w:val="0"/>
          <w:marTop w:val="0"/>
          <w:marBottom w:val="0"/>
          <w:divBdr>
            <w:top w:val="none" w:sz="0" w:space="0" w:color="auto"/>
            <w:left w:val="none" w:sz="0" w:space="0" w:color="auto"/>
            <w:bottom w:val="none" w:sz="0" w:space="0" w:color="auto"/>
            <w:right w:val="none" w:sz="0" w:space="0" w:color="auto"/>
          </w:divBdr>
        </w:div>
        <w:div w:id="142237975">
          <w:marLeft w:val="1166"/>
          <w:marRight w:val="0"/>
          <w:marTop w:val="0"/>
          <w:marBottom w:val="0"/>
          <w:divBdr>
            <w:top w:val="none" w:sz="0" w:space="0" w:color="auto"/>
            <w:left w:val="none" w:sz="0" w:space="0" w:color="auto"/>
            <w:bottom w:val="none" w:sz="0" w:space="0" w:color="auto"/>
            <w:right w:val="none" w:sz="0" w:space="0" w:color="auto"/>
          </w:divBdr>
        </w:div>
        <w:div w:id="2044552864">
          <w:marLeft w:val="1800"/>
          <w:marRight w:val="0"/>
          <w:marTop w:val="0"/>
          <w:marBottom w:val="0"/>
          <w:divBdr>
            <w:top w:val="none" w:sz="0" w:space="0" w:color="auto"/>
            <w:left w:val="none" w:sz="0" w:space="0" w:color="auto"/>
            <w:bottom w:val="none" w:sz="0" w:space="0" w:color="auto"/>
            <w:right w:val="none" w:sz="0" w:space="0" w:color="auto"/>
          </w:divBdr>
        </w:div>
        <w:div w:id="614092540">
          <w:marLeft w:val="1800"/>
          <w:marRight w:val="0"/>
          <w:marTop w:val="0"/>
          <w:marBottom w:val="0"/>
          <w:divBdr>
            <w:top w:val="none" w:sz="0" w:space="0" w:color="auto"/>
            <w:left w:val="none" w:sz="0" w:space="0" w:color="auto"/>
            <w:bottom w:val="none" w:sz="0" w:space="0" w:color="auto"/>
            <w:right w:val="none" w:sz="0" w:space="0" w:color="auto"/>
          </w:divBdr>
        </w:div>
        <w:div w:id="620956314">
          <w:marLeft w:val="1800"/>
          <w:marRight w:val="0"/>
          <w:marTop w:val="0"/>
          <w:marBottom w:val="0"/>
          <w:divBdr>
            <w:top w:val="none" w:sz="0" w:space="0" w:color="auto"/>
            <w:left w:val="none" w:sz="0" w:space="0" w:color="auto"/>
            <w:bottom w:val="none" w:sz="0" w:space="0" w:color="auto"/>
            <w:right w:val="none" w:sz="0" w:space="0" w:color="auto"/>
          </w:divBdr>
        </w:div>
        <w:div w:id="1420638844">
          <w:marLeft w:val="547"/>
          <w:marRight w:val="0"/>
          <w:marTop w:val="0"/>
          <w:marBottom w:val="0"/>
          <w:divBdr>
            <w:top w:val="none" w:sz="0" w:space="0" w:color="auto"/>
            <w:left w:val="none" w:sz="0" w:space="0" w:color="auto"/>
            <w:bottom w:val="none" w:sz="0" w:space="0" w:color="auto"/>
            <w:right w:val="none" w:sz="0" w:space="0" w:color="auto"/>
          </w:divBdr>
        </w:div>
        <w:div w:id="8603387">
          <w:marLeft w:val="1166"/>
          <w:marRight w:val="0"/>
          <w:marTop w:val="0"/>
          <w:marBottom w:val="0"/>
          <w:divBdr>
            <w:top w:val="none" w:sz="0" w:space="0" w:color="auto"/>
            <w:left w:val="none" w:sz="0" w:space="0" w:color="auto"/>
            <w:bottom w:val="none" w:sz="0" w:space="0" w:color="auto"/>
            <w:right w:val="none" w:sz="0" w:space="0" w:color="auto"/>
          </w:divBdr>
        </w:div>
        <w:div w:id="1694962975">
          <w:marLeft w:val="1166"/>
          <w:marRight w:val="0"/>
          <w:marTop w:val="0"/>
          <w:marBottom w:val="0"/>
          <w:divBdr>
            <w:top w:val="none" w:sz="0" w:space="0" w:color="auto"/>
            <w:left w:val="none" w:sz="0" w:space="0" w:color="auto"/>
            <w:bottom w:val="none" w:sz="0" w:space="0" w:color="auto"/>
            <w:right w:val="none" w:sz="0" w:space="0" w:color="auto"/>
          </w:divBdr>
        </w:div>
        <w:div w:id="2053382094">
          <w:marLeft w:val="1166"/>
          <w:marRight w:val="0"/>
          <w:marTop w:val="0"/>
          <w:marBottom w:val="0"/>
          <w:divBdr>
            <w:top w:val="none" w:sz="0" w:space="0" w:color="auto"/>
            <w:left w:val="none" w:sz="0" w:space="0" w:color="auto"/>
            <w:bottom w:val="none" w:sz="0" w:space="0" w:color="auto"/>
            <w:right w:val="none" w:sz="0" w:space="0" w:color="auto"/>
          </w:divBdr>
        </w:div>
        <w:div w:id="887571803">
          <w:marLeft w:val="1166"/>
          <w:marRight w:val="0"/>
          <w:marTop w:val="0"/>
          <w:marBottom w:val="0"/>
          <w:divBdr>
            <w:top w:val="none" w:sz="0" w:space="0" w:color="auto"/>
            <w:left w:val="none" w:sz="0" w:space="0" w:color="auto"/>
            <w:bottom w:val="none" w:sz="0" w:space="0" w:color="auto"/>
            <w:right w:val="none" w:sz="0" w:space="0" w:color="auto"/>
          </w:divBdr>
        </w:div>
        <w:div w:id="1740010695">
          <w:marLeft w:val="1166"/>
          <w:marRight w:val="0"/>
          <w:marTop w:val="0"/>
          <w:marBottom w:val="0"/>
          <w:divBdr>
            <w:top w:val="none" w:sz="0" w:space="0" w:color="auto"/>
            <w:left w:val="none" w:sz="0" w:space="0" w:color="auto"/>
            <w:bottom w:val="none" w:sz="0" w:space="0" w:color="auto"/>
            <w:right w:val="none" w:sz="0" w:space="0" w:color="auto"/>
          </w:divBdr>
        </w:div>
        <w:div w:id="1692220234">
          <w:marLeft w:val="1166"/>
          <w:marRight w:val="0"/>
          <w:marTop w:val="0"/>
          <w:marBottom w:val="0"/>
          <w:divBdr>
            <w:top w:val="none" w:sz="0" w:space="0" w:color="auto"/>
            <w:left w:val="none" w:sz="0" w:space="0" w:color="auto"/>
            <w:bottom w:val="none" w:sz="0" w:space="0" w:color="auto"/>
            <w:right w:val="none" w:sz="0" w:space="0" w:color="auto"/>
          </w:divBdr>
        </w:div>
        <w:div w:id="1559316485">
          <w:marLeft w:val="1166"/>
          <w:marRight w:val="0"/>
          <w:marTop w:val="0"/>
          <w:marBottom w:val="0"/>
          <w:divBdr>
            <w:top w:val="none" w:sz="0" w:space="0" w:color="auto"/>
            <w:left w:val="none" w:sz="0" w:space="0" w:color="auto"/>
            <w:bottom w:val="none" w:sz="0" w:space="0" w:color="auto"/>
            <w:right w:val="none" w:sz="0" w:space="0" w:color="auto"/>
          </w:divBdr>
        </w:div>
      </w:divsChild>
    </w:div>
    <w:div w:id="293483710">
      <w:bodyDiv w:val="1"/>
      <w:marLeft w:val="0"/>
      <w:marRight w:val="0"/>
      <w:marTop w:val="0"/>
      <w:marBottom w:val="0"/>
      <w:divBdr>
        <w:top w:val="none" w:sz="0" w:space="0" w:color="auto"/>
        <w:left w:val="none" w:sz="0" w:space="0" w:color="auto"/>
        <w:bottom w:val="none" w:sz="0" w:space="0" w:color="auto"/>
        <w:right w:val="none" w:sz="0" w:space="0" w:color="auto"/>
      </w:divBdr>
    </w:div>
    <w:div w:id="297493079">
      <w:bodyDiv w:val="1"/>
      <w:marLeft w:val="0"/>
      <w:marRight w:val="0"/>
      <w:marTop w:val="0"/>
      <w:marBottom w:val="0"/>
      <w:divBdr>
        <w:top w:val="none" w:sz="0" w:space="0" w:color="auto"/>
        <w:left w:val="none" w:sz="0" w:space="0" w:color="auto"/>
        <w:bottom w:val="none" w:sz="0" w:space="0" w:color="auto"/>
        <w:right w:val="none" w:sz="0" w:space="0" w:color="auto"/>
      </w:divBdr>
    </w:div>
    <w:div w:id="302196360">
      <w:bodyDiv w:val="1"/>
      <w:marLeft w:val="0"/>
      <w:marRight w:val="0"/>
      <w:marTop w:val="0"/>
      <w:marBottom w:val="0"/>
      <w:divBdr>
        <w:top w:val="none" w:sz="0" w:space="0" w:color="auto"/>
        <w:left w:val="none" w:sz="0" w:space="0" w:color="auto"/>
        <w:bottom w:val="none" w:sz="0" w:space="0" w:color="auto"/>
        <w:right w:val="none" w:sz="0" w:space="0" w:color="auto"/>
      </w:divBdr>
      <w:divsChild>
        <w:div w:id="332491285">
          <w:marLeft w:val="547"/>
          <w:marRight w:val="0"/>
          <w:marTop w:val="0"/>
          <w:marBottom w:val="0"/>
          <w:divBdr>
            <w:top w:val="none" w:sz="0" w:space="0" w:color="auto"/>
            <w:left w:val="none" w:sz="0" w:space="0" w:color="auto"/>
            <w:bottom w:val="none" w:sz="0" w:space="0" w:color="auto"/>
            <w:right w:val="none" w:sz="0" w:space="0" w:color="auto"/>
          </w:divBdr>
        </w:div>
        <w:div w:id="623465159">
          <w:marLeft w:val="547"/>
          <w:marRight w:val="0"/>
          <w:marTop w:val="0"/>
          <w:marBottom w:val="0"/>
          <w:divBdr>
            <w:top w:val="none" w:sz="0" w:space="0" w:color="auto"/>
            <w:left w:val="none" w:sz="0" w:space="0" w:color="auto"/>
            <w:bottom w:val="none" w:sz="0" w:space="0" w:color="auto"/>
            <w:right w:val="none" w:sz="0" w:space="0" w:color="auto"/>
          </w:divBdr>
        </w:div>
        <w:div w:id="938488086">
          <w:marLeft w:val="547"/>
          <w:marRight w:val="0"/>
          <w:marTop w:val="0"/>
          <w:marBottom w:val="0"/>
          <w:divBdr>
            <w:top w:val="none" w:sz="0" w:space="0" w:color="auto"/>
            <w:left w:val="none" w:sz="0" w:space="0" w:color="auto"/>
            <w:bottom w:val="none" w:sz="0" w:space="0" w:color="auto"/>
            <w:right w:val="none" w:sz="0" w:space="0" w:color="auto"/>
          </w:divBdr>
        </w:div>
        <w:div w:id="32585031">
          <w:marLeft w:val="547"/>
          <w:marRight w:val="0"/>
          <w:marTop w:val="0"/>
          <w:marBottom w:val="0"/>
          <w:divBdr>
            <w:top w:val="none" w:sz="0" w:space="0" w:color="auto"/>
            <w:left w:val="none" w:sz="0" w:space="0" w:color="auto"/>
            <w:bottom w:val="none" w:sz="0" w:space="0" w:color="auto"/>
            <w:right w:val="none" w:sz="0" w:space="0" w:color="auto"/>
          </w:divBdr>
        </w:div>
        <w:div w:id="712651316">
          <w:marLeft w:val="547"/>
          <w:marRight w:val="0"/>
          <w:marTop w:val="0"/>
          <w:marBottom w:val="0"/>
          <w:divBdr>
            <w:top w:val="none" w:sz="0" w:space="0" w:color="auto"/>
            <w:left w:val="none" w:sz="0" w:space="0" w:color="auto"/>
            <w:bottom w:val="none" w:sz="0" w:space="0" w:color="auto"/>
            <w:right w:val="none" w:sz="0" w:space="0" w:color="auto"/>
          </w:divBdr>
        </w:div>
      </w:divsChild>
    </w:div>
    <w:div w:id="327825772">
      <w:bodyDiv w:val="1"/>
      <w:marLeft w:val="0"/>
      <w:marRight w:val="0"/>
      <w:marTop w:val="0"/>
      <w:marBottom w:val="0"/>
      <w:divBdr>
        <w:top w:val="none" w:sz="0" w:space="0" w:color="auto"/>
        <w:left w:val="none" w:sz="0" w:space="0" w:color="auto"/>
        <w:bottom w:val="none" w:sz="0" w:space="0" w:color="auto"/>
        <w:right w:val="none" w:sz="0" w:space="0" w:color="auto"/>
      </w:divBdr>
    </w:div>
    <w:div w:id="354306737">
      <w:bodyDiv w:val="1"/>
      <w:marLeft w:val="0"/>
      <w:marRight w:val="0"/>
      <w:marTop w:val="0"/>
      <w:marBottom w:val="0"/>
      <w:divBdr>
        <w:top w:val="none" w:sz="0" w:space="0" w:color="auto"/>
        <w:left w:val="none" w:sz="0" w:space="0" w:color="auto"/>
        <w:bottom w:val="none" w:sz="0" w:space="0" w:color="auto"/>
        <w:right w:val="none" w:sz="0" w:space="0" w:color="auto"/>
      </w:divBdr>
    </w:div>
    <w:div w:id="357388192">
      <w:bodyDiv w:val="1"/>
      <w:marLeft w:val="0"/>
      <w:marRight w:val="0"/>
      <w:marTop w:val="0"/>
      <w:marBottom w:val="0"/>
      <w:divBdr>
        <w:top w:val="none" w:sz="0" w:space="0" w:color="auto"/>
        <w:left w:val="none" w:sz="0" w:space="0" w:color="auto"/>
        <w:bottom w:val="none" w:sz="0" w:space="0" w:color="auto"/>
        <w:right w:val="none" w:sz="0" w:space="0" w:color="auto"/>
      </w:divBdr>
    </w:div>
    <w:div w:id="371612617">
      <w:bodyDiv w:val="1"/>
      <w:marLeft w:val="0"/>
      <w:marRight w:val="0"/>
      <w:marTop w:val="0"/>
      <w:marBottom w:val="0"/>
      <w:divBdr>
        <w:top w:val="none" w:sz="0" w:space="0" w:color="auto"/>
        <w:left w:val="none" w:sz="0" w:space="0" w:color="auto"/>
        <w:bottom w:val="none" w:sz="0" w:space="0" w:color="auto"/>
        <w:right w:val="none" w:sz="0" w:space="0" w:color="auto"/>
      </w:divBdr>
    </w:div>
    <w:div w:id="394789895">
      <w:bodyDiv w:val="1"/>
      <w:marLeft w:val="0"/>
      <w:marRight w:val="0"/>
      <w:marTop w:val="0"/>
      <w:marBottom w:val="0"/>
      <w:divBdr>
        <w:top w:val="none" w:sz="0" w:space="0" w:color="auto"/>
        <w:left w:val="none" w:sz="0" w:space="0" w:color="auto"/>
        <w:bottom w:val="none" w:sz="0" w:space="0" w:color="auto"/>
        <w:right w:val="none" w:sz="0" w:space="0" w:color="auto"/>
      </w:divBdr>
      <w:divsChild>
        <w:div w:id="198275769">
          <w:marLeft w:val="0"/>
          <w:marRight w:val="0"/>
          <w:marTop w:val="0"/>
          <w:marBottom w:val="0"/>
          <w:divBdr>
            <w:top w:val="none" w:sz="0" w:space="0" w:color="auto"/>
            <w:left w:val="none" w:sz="0" w:space="0" w:color="auto"/>
            <w:bottom w:val="none" w:sz="0" w:space="0" w:color="auto"/>
            <w:right w:val="none" w:sz="0" w:space="0" w:color="auto"/>
          </w:divBdr>
        </w:div>
        <w:div w:id="310837789">
          <w:marLeft w:val="0"/>
          <w:marRight w:val="0"/>
          <w:marTop w:val="0"/>
          <w:marBottom w:val="0"/>
          <w:divBdr>
            <w:top w:val="none" w:sz="0" w:space="0" w:color="auto"/>
            <w:left w:val="none" w:sz="0" w:space="0" w:color="auto"/>
            <w:bottom w:val="none" w:sz="0" w:space="0" w:color="auto"/>
            <w:right w:val="none" w:sz="0" w:space="0" w:color="auto"/>
          </w:divBdr>
          <w:divsChild>
            <w:div w:id="153108435">
              <w:marLeft w:val="0"/>
              <w:marRight w:val="0"/>
              <w:marTop w:val="0"/>
              <w:marBottom w:val="0"/>
              <w:divBdr>
                <w:top w:val="none" w:sz="0" w:space="0" w:color="auto"/>
                <w:left w:val="none" w:sz="0" w:space="0" w:color="auto"/>
                <w:bottom w:val="none" w:sz="0" w:space="0" w:color="auto"/>
                <w:right w:val="none" w:sz="0" w:space="0" w:color="auto"/>
              </w:divBdr>
              <w:divsChild>
                <w:div w:id="1429499572">
                  <w:marLeft w:val="0"/>
                  <w:marRight w:val="0"/>
                  <w:marTop w:val="0"/>
                  <w:marBottom w:val="0"/>
                  <w:divBdr>
                    <w:top w:val="none" w:sz="0" w:space="0" w:color="auto"/>
                    <w:left w:val="none" w:sz="0" w:space="0" w:color="auto"/>
                    <w:bottom w:val="none" w:sz="0" w:space="0" w:color="auto"/>
                    <w:right w:val="none" w:sz="0" w:space="0" w:color="auto"/>
                  </w:divBdr>
                </w:div>
                <w:div w:id="609049196">
                  <w:marLeft w:val="1140"/>
                  <w:marRight w:val="0"/>
                  <w:marTop w:val="0"/>
                  <w:marBottom w:val="0"/>
                  <w:divBdr>
                    <w:top w:val="none" w:sz="0" w:space="0" w:color="auto"/>
                    <w:left w:val="none" w:sz="0" w:space="0" w:color="auto"/>
                    <w:bottom w:val="none" w:sz="0" w:space="0" w:color="auto"/>
                    <w:right w:val="none" w:sz="0" w:space="0" w:color="auto"/>
                  </w:divBdr>
                  <w:divsChild>
                    <w:div w:id="447043861">
                      <w:marLeft w:val="0"/>
                      <w:marRight w:val="0"/>
                      <w:marTop w:val="0"/>
                      <w:marBottom w:val="0"/>
                      <w:divBdr>
                        <w:top w:val="none" w:sz="0" w:space="0" w:color="auto"/>
                        <w:left w:val="none" w:sz="0" w:space="0" w:color="auto"/>
                        <w:bottom w:val="none" w:sz="0" w:space="0" w:color="auto"/>
                        <w:right w:val="none" w:sz="0" w:space="0" w:color="auto"/>
                      </w:divBdr>
                      <w:divsChild>
                        <w:div w:id="1653948668">
                          <w:marLeft w:val="0"/>
                          <w:marRight w:val="0"/>
                          <w:marTop w:val="0"/>
                          <w:marBottom w:val="0"/>
                          <w:divBdr>
                            <w:top w:val="none" w:sz="0" w:space="0" w:color="auto"/>
                            <w:left w:val="none" w:sz="0" w:space="0" w:color="auto"/>
                            <w:bottom w:val="none" w:sz="0" w:space="0" w:color="auto"/>
                            <w:right w:val="none" w:sz="0" w:space="0" w:color="auto"/>
                          </w:divBdr>
                          <w:divsChild>
                            <w:div w:id="30547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714485">
      <w:bodyDiv w:val="1"/>
      <w:marLeft w:val="0"/>
      <w:marRight w:val="0"/>
      <w:marTop w:val="0"/>
      <w:marBottom w:val="0"/>
      <w:divBdr>
        <w:top w:val="none" w:sz="0" w:space="0" w:color="auto"/>
        <w:left w:val="none" w:sz="0" w:space="0" w:color="auto"/>
        <w:bottom w:val="none" w:sz="0" w:space="0" w:color="auto"/>
        <w:right w:val="none" w:sz="0" w:space="0" w:color="auto"/>
      </w:divBdr>
    </w:div>
    <w:div w:id="403993312">
      <w:bodyDiv w:val="1"/>
      <w:marLeft w:val="0"/>
      <w:marRight w:val="0"/>
      <w:marTop w:val="0"/>
      <w:marBottom w:val="0"/>
      <w:divBdr>
        <w:top w:val="none" w:sz="0" w:space="0" w:color="auto"/>
        <w:left w:val="none" w:sz="0" w:space="0" w:color="auto"/>
        <w:bottom w:val="none" w:sz="0" w:space="0" w:color="auto"/>
        <w:right w:val="none" w:sz="0" w:space="0" w:color="auto"/>
      </w:divBdr>
    </w:div>
    <w:div w:id="418986791">
      <w:bodyDiv w:val="1"/>
      <w:marLeft w:val="0"/>
      <w:marRight w:val="0"/>
      <w:marTop w:val="0"/>
      <w:marBottom w:val="0"/>
      <w:divBdr>
        <w:top w:val="none" w:sz="0" w:space="0" w:color="auto"/>
        <w:left w:val="none" w:sz="0" w:space="0" w:color="auto"/>
        <w:bottom w:val="none" w:sz="0" w:space="0" w:color="auto"/>
        <w:right w:val="none" w:sz="0" w:space="0" w:color="auto"/>
      </w:divBdr>
    </w:div>
    <w:div w:id="431554699">
      <w:bodyDiv w:val="1"/>
      <w:marLeft w:val="0"/>
      <w:marRight w:val="0"/>
      <w:marTop w:val="0"/>
      <w:marBottom w:val="0"/>
      <w:divBdr>
        <w:top w:val="none" w:sz="0" w:space="0" w:color="auto"/>
        <w:left w:val="none" w:sz="0" w:space="0" w:color="auto"/>
        <w:bottom w:val="none" w:sz="0" w:space="0" w:color="auto"/>
        <w:right w:val="none" w:sz="0" w:space="0" w:color="auto"/>
      </w:divBdr>
    </w:div>
    <w:div w:id="431973994">
      <w:bodyDiv w:val="1"/>
      <w:marLeft w:val="0"/>
      <w:marRight w:val="0"/>
      <w:marTop w:val="0"/>
      <w:marBottom w:val="0"/>
      <w:divBdr>
        <w:top w:val="none" w:sz="0" w:space="0" w:color="auto"/>
        <w:left w:val="none" w:sz="0" w:space="0" w:color="auto"/>
        <w:bottom w:val="none" w:sz="0" w:space="0" w:color="auto"/>
        <w:right w:val="none" w:sz="0" w:space="0" w:color="auto"/>
      </w:divBdr>
    </w:div>
    <w:div w:id="433938233">
      <w:bodyDiv w:val="1"/>
      <w:marLeft w:val="0"/>
      <w:marRight w:val="0"/>
      <w:marTop w:val="0"/>
      <w:marBottom w:val="0"/>
      <w:divBdr>
        <w:top w:val="none" w:sz="0" w:space="0" w:color="auto"/>
        <w:left w:val="none" w:sz="0" w:space="0" w:color="auto"/>
        <w:bottom w:val="none" w:sz="0" w:space="0" w:color="auto"/>
        <w:right w:val="none" w:sz="0" w:space="0" w:color="auto"/>
      </w:divBdr>
    </w:div>
    <w:div w:id="450632525">
      <w:bodyDiv w:val="1"/>
      <w:marLeft w:val="0"/>
      <w:marRight w:val="0"/>
      <w:marTop w:val="0"/>
      <w:marBottom w:val="0"/>
      <w:divBdr>
        <w:top w:val="none" w:sz="0" w:space="0" w:color="auto"/>
        <w:left w:val="none" w:sz="0" w:space="0" w:color="auto"/>
        <w:bottom w:val="none" w:sz="0" w:space="0" w:color="auto"/>
        <w:right w:val="none" w:sz="0" w:space="0" w:color="auto"/>
      </w:divBdr>
    </w:div>
    <w:div w:id="453717723">
      <w:bodyDiv w:val="1"/>
      <w:marLeft w:val="0"/>
      <w:marRight w:val="0"/>
      <w:marTop w:val="0"/>
      <w:marBottom w:val="0"/>
      <w:divBdr>
        <w:top w:val="none" w:sz="0" w:space="0" w:color="auto"/>
        <w:left w:val="none" w:sz="0" w:space="0" w:color="auto"/>
        <w:bottom w:val="none" w:sz="0" w:space="0" w:color="auto"/>
        <w:right w:val="none" w:sz="0" w:space="0" w:color="auto"/>
      </w:divBdr>
    </w:div>
    <w:div w:id="473328256">
      <w:bodyDiv w:val="1"/>
      <w:marLeft w:val="0"/>
      <w:marRight w:val="0"/>
      <w:marTop w:val="0"/>
      <w:marBottom w:val="0"/>
      <w:divBdr>
        <w:top w:val="none" w:sz="0" w:space="0" w:color="auto"/>
        <w:left w:val="none" w:sz="0" w:space="0" w:color="auto"/>
        <w:bottom w:val="none" w:sz="0" w:space="0" w:color="auto"/>
        <w:right w:val="none" w:sz="0" w:space="0" w:color="auto"/>
      </w:divBdr>
    </w:div>
    <w:div w:id="478616447">
      <w:bodyDiv w:val="1"/>
      <w:marLeft w:val="0"/>
      <w:marRight w:val="0"/>
      <w:marTop w:val="0"/>
      <w:marBottom w:val="0"/>
      <w:divBdr>
        <w:top w:val="none" w:sz="0" w:space="0" w:color="auto"/>
        <w:left w:val="none" w:sz="0" w:space="0" w:color="auto"/>
        <w:bottom w:val="none" w:sz="0" w:space="0" w:color="auto"/>
        <w:right w:val="none" w:sz="0" w:space="0" w:color="auto"/>
      </w:divBdr>
    </w:div>
    <w:div w:id="483352423">
      <w:bodyDiv w:val="1"/>
      <w:marLeft w:val="0"/>
      <w:marRight w:val="0"/>
      <w:marTop w:val="0"/>
      <w:marBottom w:val="0"/>
      <w:divBdr>
        <w:top w:val="none" w:sz="0" w:space="0" w:color="auto"/>
        <w:left w:val="none" w:sz="0" w:space="0" w:color="auto"/>
        <w:bottom w:val="none" w:sz="0" w:space="0" w:color="auto"/>
        <w:right w:val="none" w:sz="0" w:space="0" w:color="auto"/>
      </w:divBdr>
    </w:div>
    <w:div w:id="503133162">
      <w:bodyDiv w:val="1"/>
      <w:marLeft w:val="0"/>
      <w:marRight w:val="0"/>
      <w:marTop w:val="0"/>
      <w:marBottom w:val="0"/>
      <w:divBdr>
        <w:top w:val="none" w:sz="0" w:space="0" w:color="auto"/>
        <w:left w:val="none" w:sz="0" w:space="0" w:color="auto"/>
        <w:bottom w:val="none" w:sz="0" w:space="0" w:color="auto"/>
        <w:right w:val="none" w:sz="0" w:space="0" w:color="auto"/>
      </w:divBdr>
    </w:div>
    <w:div w:id="506529140">
      <w:bodyDiv w:val="1"/>
      <w:marLeft w:val="0"/>
      <w:marRight w:val="0"/>
      <w:marTop w:val="0"/>
      <w:marBottom w:val="0"/>
      <w:divBdr>
        <w:top w:val="none" w:sz="0" w:space="0" w:color="auto"/>
        <w:left w:val="none" w:sz="0" w:space="0" w:color="auto"/>
        <w:bottom w:val="none" w:sz="0" w:space="0" w:color="auto"/>
        <w:right w:val="none" w:sz="0" w:space="0" w:color="auto"/>
      </w:divBdr>
    </w:div>
    <w:div w:id="519971182">
      <w:bodyDiv w:val="1"/>
      <w:marLeft w:val="0"/>
      <w:marRight w:val="0"/>
      <w:marTop w:val="0"/>
      <w:marBottom w:val="0"/>
      <w:divBdr>
        <w:top w:val="none" w:sz="0" w:space="0" w:color="auto"/>
        <w:left w:val="none" w:sz="0" w:space="0" w:color="auto"/>
        <w:bottom w:val="none" w:sz="0" w:space="0" w:color="auto"/>
        <w:right w:val="none" w:sz="0" w:space="0" w:color="auto"/>
      </w:divBdr>
    </w:div>
    <w:div w:id="522327952">
      <w:bodyDiv w:val="1"/>
      <w:marLeft w:val="0"/>
      <w:marRight w:val="0"/>
      <w:marTop w:val="0"/>
      <w:marBottom w:val="0"/>
      <w:divBdr>
        <w:top w:val="none" w:sz="0" w:space="0" w:color="auto"/>
        <w:left w:val="none" w:sz="0" w:space="0" w:color="auto"/>
        <w:bottom w:val="none" w:sz="0" w:space="0" w:color="auto"/>
        <w:right w:val="none" w:sz="0" w:space="0" w:color="auto"/>
      </w:divBdr>
    </w:div>
    <w:div w:id="527528332">
      <w:bodyDiv w:val="1"/>
      <w:marLeft w:val="0"/>
      <w:marRight w:val="0"/>
      <w:marTop w:val="0"/>
      <w:marBottom w:val="0"/>
      <w:divBdr>
        <w:top w:val="none" w:sz="0" w:space="0" w:color="auto"/>
        <w:left w:val="none" w:sz="0" w:space="0" w:color="auto"/>
        <w:bottom w:val="none" w:sz="0" w:space="0" w:color="auto"/>
        <w:right w:val="none" w:sz="0" w:space="0" w:color="auto"/>
      </w:divBdr>
    </w:div>
    <w:div w:id="538277081">
      <w:bodyDiv w:val="1"/>
      <w:marLeft w:val="0"/>
      <w:marRight w:val="0"/>
      <w:marTop w:val="0"/>
      <w:marBottom w:val="0"/>
      <w:divBdr>
        <w:top w:val="none" w:sz="0" w:space="0" w:color="auto"/>
        <w:left w:val="none" w:sz="0" w:space="0" w:color="auto"/>
        <w:bottom w:val="none" w:sz="0" w:space="0" w:color="auto"/>
        <w:right w:val="none" w:sz="0" w:space="0" w:color="auto"/>
      </w:divBdr>
    </w:div>
    <w:div w:id="553202482">
      <w:bodyDiv w:val="1"/>
      <w:marLeft w:val="0"/>
      <w:marRight w:val="0"/>
      <w:marTop w:val="0"/>
      <w:marBottom w:val="0"/>
      <w:divBdr>
        <w:top w:val="none" w:sz="0" w:space="0" w:color="auto"/>
        <w:left w:val="none" w:sz="0" w:space="0" w:color="auto"/>
        <w:bottom w:val="none" w:sz="0" w:space="0" w:color="auto"/>
        <w:right w:val="none" w:sz="0" w:space="0" w:color="auto"/>
      </w:divBdr>
    </w:div>
    <w:div w:id="561988350">
      <w:bodyDiv w:val="1"/>
      <w:marLeft w:val="0"/>
      <w:marRight w:val="0"/>
      <w:marTop w:val="0"/>
      <w:marBottom w:val="0"/>
      <w:divBdr>
        <w:top w:val="none" w:sz="0" w:space="0" w:color="auto"/>
        <w:left w:val="none" w:sz="0" w:space="0" w:color="auto"/>
        <w:bottom w:val="none" w:sz="0" w:space="0" w:color="auto"/>
        <w:right w:val="none" w:sz="0" w:space="0" w:color="auto"/>
      </w:divBdr>
    </w:div>
    <w:div w:id="574895871">
      <w:bodyDiv w:val="1"/>
      <w:marLeft w:val="0"/>
      <w:marRight w:val="0"/>
      <w:marTop w:val="0"/>
      <w:marBottom w:val="0"/>
      <w:divBdr>
        <w:top w:val="none" w:sz="0" w:space="0" w:color="auto"/>
        <w:left w:val="none" w:sz="0" w:space="0" w:color="auto"/>
        <w:bottom w:val="none" w:sz="0" w:space="0" w:color="auto"/>
        <w:right w:val="none" w:sz="0" w:space="0" w:color="auto"/>
      </w:divBdr>
    </w:div>
    <w:div w:id="588005154">
      <w:bodyDiv w:val="1"/>
      <w:marLeft w:val="0"/>
      <w:marRight w:val="0"/>
      <w:marTop w:val="0"/>
      <w:marBottom w:val="0"/>
      <w:divBdr>
        <w:top w:val="none" w:sz="0" w:space="0" w:color="auto"/>
        <w:left w:val="none" w:sz="0" w:space="0" w:color="auto"/>
        <w:bottom w:val="none" w:sz="0" w:space="0" w:color="auto"/>
        <w:right w:val="none" w:sz="0" w:space="0" w:color="auto"/>
      </w:divBdr>
    </w:div>
    <w:div w:id="591471369">
      <w:bodyDiv w:val="1"/>
      <w:marLeft w:val="0"/>
      <w:marRight w:val="0"/>
      <w:marTop w:val="0"/>
      <w:marBottom w:val="0"/>
      <w:divBdr>
        <w:top w:val="none" w:sz="0" w:space="0" w:color="auto"/>
        <w:left w:val="none" w:sz="0" w:space="0" w:color="auto"/>
        <w:bottom w:val="none" w:sz="0" w:space="0" w:color="auto"/>
        <w:right w:val="none" w:sz="0" w:space="0" w:color="auto"/>
      </w:divBdr>
    </w:div>
    <w:div w:id="631591975">
      <w:bodyDiv w:val="1"/>
      <w:marLeft w:val="0"/>
      <w:marRight w:val="0"/>
      <w:marTop w:val="0"/>
      <w:marBottom w:val="0"/>
      <w:divBdr>
        <w:top w:val="none" w:sz="0" w:space="0" w:color="auto"/>
        <w:left w:val="none" w:sz="0" w:space="0" w:color="auto"/>
        <w:bottom w:val="none" w:sz="0" w:space="0" w:color="auto"/>
        <w:right w:val="none" w:sz="0" w:space="0" w:color="auto"/>
      </w:divBdr>
    </w:div>
    <w:div w:id="634220679">
      <w:bodyDiv w:val="1"/>
      <w:marLeft w:val="0"/>
      <w:marRight w:val="0"/>
      <w:marTop w:val="0"/>
      <w:marBottom w:val="0"/>
      <w:divBdr>
        <w:top w:val="none" w:sz="0" w:space="0" w:color="auto"/>
        <w:left w:val="none" w:sz="0" w:space="0" w:color="auto"/>
        <w:bottom w:val="none" w:sz="0" w:space="0" w:color="auto"/>
        <w:right w:val="none" w:sz="0" w:space="0" w:color="auto"/>
      </w:divBdr>
    </w:div>
    <w:div w:id="640773977">
      <w:bodyDiv w:val="1"/>
      <w:marLeft w:val="0"/>
      <w:marRight w:val="0"/>
      <w:marTop w:val="0"/>
      <w:marBottom w:val="0"/>
      <w:divBdr>
        <w:top w:val="none" w:sz="0" w:space="0" w:color="auto"/>
        <w:left w:val="none" w:sz="0" w:space="0" w:color="auto"/>
        <w:bottom w:val="none" w:sz="0" w:space="0" w:color="auto"/>
        <w:right w:val="none" w:sz="0" w:space="0" w:color="auto"/>
      </w:divBdr>
    </w:div>
    <w:div w:id="652412140">
      <w:bodyDiv w:val="1"/>
      <w:marLeft w:val="0"/>
      <w:marRight w:val="0"/>
      <w:marTop w:val="0"/>
      <w:marBottom w:val="0"/>
      <w:divBdr>
        <w:top w:val="none" w:sz="0" w:space="0" w:color="auto"/>
        <w:left w:val="none" w:sz="0" w:space="0" w:color="auto"/>
        <w:bottom w:val="none" w:sz="0" w:space="0" w:color="auto"/>
        <w:right w:val="none" w:sz="0" w:space="0" w:color="auto"/>
      </w:divBdr>
    </w:div>
    <w:div w:id="669917684">
      <w:bodyDiv w:val="1"/>
      <w:marLeft w:val="0"/>
      <w:marRight w:val="0"/>
      <w:marTop w:val="0"/>
      <w:marBottom w:val="0"/>
      <w:divBdr>
        <w:top w:val="none" w:sz="0" w:space="0" w:color="auto"/>
        <w:left w:val="none" w:sz="0" w:space="0" w:color="auto"/>
        <w:bottom w:val="none" w:sz="0" w:space="0" w:color="auto"/>
        <w:right w:val="none" w:sz="0" w:space="0" w:color="auto"/>
      </w:divBdr>
    </w:div>
    <w:div w:id="714741276">
      <w:bodyDiv w:val="1"/>
      <w:marLeft w:val="0"/>
      <w:marRight w:val="0"/>
      <w:marTop w:val="0"/>
      <w:marBottom w:val="0"/>
      <w:divBdr>
        <w:top w:val="none" w:sz="0" w:space="0" w:color="auto"/>
        <w:left w:val="none" w:sz="0" w:space="0" w:color="auto"/>
        <w:bottom w:val="none" w:sz="0" w:space="0" w:color="auto"/>
        <w:right w:val="none" w:sz="0" w:space="0" w:color="auto"/>
      </w:divBdr>
      <w:divsChild>
        <w:div w:id="1656839255">
          <w:marLeft w:val="547"/>
          <w:marRight w:val="0"/>
          <w:marTop w:val="0"/>
          <w:marBottom w:val="0"/>
          <w:divBdr>
            <w:top w:val="none" w:sz="0" w:space="0" w:color="auto"/>
            <w:left w:val="none" w:sz="0" w:space="0" w:color="auto"/>
            <w:bottom w:val="none" w:sz="0" w:space="0" w:color="auto"/>
            <w:right w:val="none" w:sz="0" w:space="0" w:color="auto"/>
          </w:divBdr>
        </w:div>
      </w:divsChild>
    </w:div>
    <w:div w:id="731543110">
      <w:bodyDiv w:val="1"/>
      <w:marLeft w:val="0"/>
      <w:marRight w:val="0"/>
      <w:marTop w:val="0"/>
      <w:marBottom w:val="0"/>
      <w:divBdr>
        <w:top w:val="none" w:sz="0" w:space="0" w:color="auto"/>
        <w:left w:val="none" w:sz="0" w:space="0" w:color="auto"/>
        <w:bottom w:val="none" w:sz="0" w:space="0" w:color="auto"/>
        <w:right w:val="none" w:sz="0" w:space="0" w:color="auto"/>
      </w:divBdr>
    </w:div>
    <w:div w:id="765686161">
      <w:bodyDiv w:val="1"/>
      <w:marLeft w:val="0"/>
      <w:marRight w:val="0"/>
      <w:marTop w:val="0"/>
      <w:marBottom w:val="0"/>
      <w:divBdr>
        <w:top w:val="none" w:sz="0" w:space="0" w:color="auto"/>
        <w:left w:val="none" w:sz="0" w:space="0" w:color="auto"/>
        <w:bottom w:val="none" w:sz="0" w:space="0" w:color="auto"/>
        <w:right w:val="none" w:sz="0" w:space="0" w:color="auto"/>
      </w:divBdr>
      <w:divsChild>
        <w:div w:id="2096852104">
          <w:marLeft w:val="1166"/>
          <w:marRight w:val="0"/>
          <w:marTop w:val="0"/>
          <w:marBottom w:val="0"/>
          <w:divBdr>
            <w:top w:val="none" w:sz="0" w:space="0" w:color="auto"/>
            <w:left w:val="none" w:sz="0" w:space="0" w:color="auto"/>
            <w:bottom w:val="none" w:sz="0" w:space="0" w:color="auto"/>
            <w:right w:val="none" w:sz="0" w:space="0" w:color="auto"/>
          </w:divBdr>
        </w:div>
        <w:div w:id="1501043805">
          <w:marLeft w:val="547"/>
          <w:marRight w:val="0"/>
          <w:marTop w:val="0"/>
          <w:marBottom w:val="0"/>
          <w:divBdr>
            <w:top w:val="none" w:sz="0" w:space="0" w:color="auto"/>
            <w:left w:val="none" w:sz="0" w:space="0" w:color="auto"/>
            <w:bottom w:val="none" w:sz="0" w:space="0" w:color="auto"/>
            <w:right w:val="none" w:sz="0" w:space="0" w:color="auto"/>
          </w:divBdr>
        </w:div>
        <w:div w:id="1858501819">
          <w:marLeft w:val="1166"/>
          <w:marRight w:val="0"/>
          <w:marTop w:val="0"/>
          <w:marBottom w:val="0"/>
          <w:divBdr>
            <w:top w:val="none" w:sz="0" w:space="0" w:color="auto"/>
            <w:left w:val="none" w:sz="0" w:space="0" w:color="auto"/>
            <w:bottom w:val="none" w:sz="0" w:space="0" w:color="auto"/>
            <w:right w:val="none" w:sz="0" w:space="0" w:color="auto"/>
          </w:divBdr>
        </w:div>
        <w:div w:id="1674185940">
          <w:marLeft w:val="547"/>
          <w:marRight w:val="0"/>
          <w:marTop w:val="0"/>
          <w:marBottom w:val="0"/>
          <w:divBdr>
            <w:top w:val="none" w:sz="0" w:space="0" w:color="auto"/>
            <w:left w:val="none" w:sz="0" w:space="0" w:color="auto"/>
            <w:bottom w:val="none" w:sz="0" w:space="0" w:color="auto"/>
            <w:right w:val="none" w:sz="0" w:space="0" w:color="auto"/>
          </w:divBdr>
        </w:div>
        <w:div w:id="1860850509">
          <w:marLeft w:val="1166"/>
          <w:marRight w:val="0"/>
          <w:marTop w:val="0"/>
          <w:marBottom w:val="0"/>
          <w:divBdr>
            <w:top w:val="none" w:sz="0" w:space="0" w:color="auto"/>
            <w:left w:val="none" w:sz="0" w:space="0" w:color="auto"/>
            <w:bottom w:val="none" w:sz="0" w:space="0" w:color="auto"/>
            <w:right w:val="none" w:sz="0" w:space="0" w:color="auto"/>
          </w:divBdr>
        </w:div>
        <w:div w:id="418410985">
          <w:marLeft w:val="547"/>
          <w:marRight w:val="0"/>
          <w:marTop w:val="0"/>
          <w:marBottom w:val="0"/>
          <w:divBdr>
            <w:top w:val="none" w:sz="0" w:space="0" w:color="auto"/>
            <w:left w:val="none" w:sz="0" w:space="0" w:color="auto"/>
            <w:bottom w:val="none" w:sz="0" w:space="0" w:color="auto"/>
            <w:right w:val="none" w:sz="0" w:space="0" w:color="auto"/>
          </w:divBdr>
        </w:div>
        <w:div w:id="1845585034">
          <w:marLeft w:val="1166"/>
          <w:marRight w:val="0"/>
          <w:marTop w:val="0"/>
          <w:marBottom w:val="0"/>
          <w:divBdr>
            <w:top w:val="none" w:sz="0" w:space="0" w:color="auto"/>
            <w:left w:val="none" w:sz="0" w:space="0" w:color="auto"/>
            <w:bottom w:val="none" w:sz="0" w:space="0" w:color="auto"/>
            <w:right w:val="none" w:sz="0" w:space="0" w:color="auto"/>
          </w:divBdr>
        </w:div>
      </w:divsChild>
    </w:div>
    <w:div w:id="768698418">
      <w:bodyDiv w:val="1"/>
      <w:marLeft w:val="0"/>
      <w:marRight w:val="0"/>
      <w:marTop w:val="0"/>
      <w:marBottom w:val="0"/>
      <w:divBdr>
        <w:top w:val="none" w:sz="0" w:space="0" w:color="auto"/>
        <w:left w:val="none" w:sz="0" w:space="0" w:color="auto"/>
        <w:bottom w:val="none" w:sz="0" w:space="0" w:color="auto"/>
        <w:right w:val="none" w:sz="0" w:space="0" w:color="auto"/>
      </w:divBdr>
    </w:div>
    <w:div w:id="778642823">
      <w:bodyDiv w:val="1"/>
      <w:marLeft w:val="0"/>
      <w:marRight w:val="0"/>
      <w:marTop w:val="0"/>
      <w:marBottom w:val="0"/>
      <w:divBdr>
        <w:top w:val="none" w:sz="0" w:space="0" w:color="auto"/>
        <w:left w:val="none" w:sz="0" w:space="0" w:color="auto"/>
        <w:bottom w:val="none" w:sz="0" w:space="0" w:color="auto"/>
        <w:right w:val="none" w:sz="0" w:space="0" w:color="auto"/>
      </w:divBdr>
    </w:div>
    <w:div w:id="797066206">
      <w:bodyDiv w:val="1"/>
      <w:marLeft w:val="0"/>
      <w:marRight w:val="0"/>
      <w:marTop w:val="0"/>
      <w:marBottom w:val="0"/>
      <w:divBdr>
        <w:top w:val="none" w:sz="0" w:space="0" w:color="auto"/>
        <w:left w:val="none" w:sz="0" w:space="0" w:color="auto"/>
        <w:bottom w:val="none" w:sz="0" w:space="0" w:color="auto"/>
        <w:right w:val="none" w:sz="0" w:space="0" w:color="auto"/>
      </w:divBdr>
    </w:div>
    <w:div w:id="808786199">
      <w:bodyDiv w:val="1"/>
      <w:marLeft w:val="0"/>
      <w:marRight w:val="0"/>
      <w:marTop w:val="0"/>
      <w:marBottom w:val="0"/>
      <w:divBdr>
        <w:top w:val="none" w:sz="0" w:space="0" w:color="auto"/>
        <w:left w:val="none" w:sz="0" w:space="0" w:color="auto"/>
        <w:bottom w:val="none" w:sz="0" w:space="0" w:color="auto"/>
        <w:right w:val="none" w:sz="0" w:space="0" w:color="auto"/>
      </w:divBdr>
    </w:div>
    <w:div w:id="818114935">
      <w:bodyDiv w:val="1"/>
      <w:marLeft w:val="0"/>
      <w:marRight w:val="0"/>
      <w:marTop w:val="0"/>
      <w:marBottom w:val="0"/>
      <w:divBdr>
        <w:top w:val="none" w:sz="0" w:space="0" w:color="auto"/>
        <w:left w:val="none" w:sz="0" w:space="0" w:color="auto"/>
        <w:bottom w:val="none" w:sz="0" w:space="0" w:color="auto"/>
        <w:right w:val="none" w:sz="0" w:space="0" w:color="auto"/>
      </w:divBdr>
      <w:divsChild>
        <w:div w:id="1032876610">
          <w:marLeft w:val="547"/>
          <w:marRight w:val="0"/>
          <w:marTop w:val="0"/>
          <w:marBottom w:val="0"/>
          <w:divBdr>
            <w:top w:val="none" w:sz="0" w:space="0" w:color="auto"/>
            <w:left w:val="none" w:sz="0" w:space="0" w:color="auto"/>
            <w:bottom w:val="none" w:sz="0" w:space="0" w:color="auto"/>
            <w:right w:val="none" w:sz="0" w:space="0" w:color="auto"/>
          </w:divBdr>
        </w:div>
        <w:div w:id="674497623">
          <w:marLeft w:val="1800"/>
          <w:marRight w:val="0"/>
          <w:marTop w:val="0"/>
          <w:marBottom w:val="0"/>
          <w:divBdr>
            <w:top w:val="none" w:sz="0" w:space="0" w:color="auto"/>
            <w:left w:val="none" w:sz="0" w:space="0" w:color="auto"/>
            <w:bottom w:val="none" w:sz="0" w:space="0" w:color="auto"/>
            <w:right w:val="none" w:sz="0" w:space="0" w:color="auto"/>
          </w:divBdr>
        </w:div>
        <w:div w:id="1693919177">
          <w:marLeft w:val="1800"/>
          <w:marRight w:val="0"/>
          <w:marTop w:val="0"/>
          <w:marBottom w:val="0"/>
          <w:divBdr>
            <w:top w:val="none" w:sz="0" w:space="0" w:color="auto"/>
            <w:left w:val="none" w:sz="0" w:space="0" w:color="auto"/>
            <w:bottom w:val="none" w:sz="0" w:space="0" w:color="auto"/>
            <w:right w:val="none" w:sz="0" w:space="0" w:color="auto"/>
          </w:divBdr>
        </w:div>
        <w:div w:id="1699626651">
          <w:marLeft w:val="1800"/>
          <w:marRight w:val="0"/>
          <w:marTop w:val="0"/>
          <w:marBottom w:val="0"/>
          <w:divBdr>
            <w:top w:val="none" w:sz="0" w:space="0" w:color="auto"/>
            <w:left w:val="none" w:sz="0" w:space="0" w:color="auto"/>
            <w:bottom w:val="none" w:sz="0" w:space="0" w:color="auto"/>
            <w:right w:val="none" w:sz="0" w:space="0" w:color="auto"/>
          </w:divBdr>
        </w:div>
        <w:div w:id="1502156644">
          <w:marLeft w:val="1800"/>
          <w:marRight w:val="0"/>
          <w:marTop w:val="0"/>
          <w:marBottom w:val="0"/>
          <w:divBdr>
            <w:top w:val="none" w:sz="0" w:space="0" w:color="auto"/>
            <w:left w:val="none" w:sz="0" w:space="0" w:color="auto"/>
            <w:bottom w:val="none" w:sz="0" w:space="0" w:color="auto"/>
            <w:right w:val="none" w:sz="0" w:space="0" w:color="auto"/>
          </w:divBdr>
        </w:div>
        <w:div w:id="531502119">
          <w:marLeft w:val="1800"/>
          <w:marRight w:val="0"/>
          <w:marTop w:val="0"/>
          <w:marBottom w:val="0"/>
          <w:divBdr>
            <w:top w:val="none" w:sz="0" w:space="0" w:color="auto"/>
            <w:left w:val="none" w:sz="0" w:space="0" w:color="auto"/>
            <w:bottom w:val="none" w:sz="0" w:space="0" w:color="auto"/>
            <w:right w:val="none" w:sz="0" w:space="0" w:color="auto"/>
          </w:divBdr>
        </w:div>
      </w:divsChild>
    </w:div>
    <w:div w:id="858272303">
      <w:bodyDiv w:val="1"/>
      <w:marLeft w:val="0"/>
      <w:marRight w:val="0"/>
      <w:marTop w:val="0"/>
      <w:marBottom w:val="0"/>
      <w:divBdr>
        <w:top w:val="none" w:sz="0" w:space="0" w:color="auto"/>
        <w:left w:val="none" w:sz="0" w:space="0" w:color="auto"/>
        <w:bottom w:val="none" w:sz="0" w:space="0" w:color="auto"/>
        <w:right w:val="none" w:sz="0" w:space="0" w:color="auto"/>
      </w:divBdr>
      <w:divsChild>
        <w:div w:id="1261182538">
          <w:marLeft w:val="547"/>
          <w:marRight w:val="0"/>
          <w:marTop w:val="0"/>
          <w:marBottom w:val="0"/>
          <w:divBdr>
            <w:top w:val="none" w:sz="0" w:space="0" w:color="auto"/>
            <w:left w:val="none" w:sz="0" w:space="0" w:color="auto"/>
            <w:bottom w:val="none" w:sz="0" w:space="0" w:color="auto"/>
            <w:right w:val="none" w:sz="0" w:space="0" w:color="auto"/>
          </w:divBdr>
        </w:div>
        <w:div w:id="2119791436">
          <w:marLeft w:val="1166"/>
          <w:marRight w:val="0"/>
          <w:marTop w:val="0"/>
          <w:marBottom w:val="0"/>
          <w:divBdr>
            <w:top w:val="none" w:sz="0" w:space="0" w:color="auto"/>
            <w:left w:val="none" w:sz="0" w:space="0" w:color="auto"/>
            <w:bottom w:val="none" w:sz="0" w:space="0" w:color="auto"/>
            <w:right w:val="none" w:sz="0" w:space="0" w:color="auto"/>
          </w:divBdr>
        </w:div>
        <w:div w:id="163398033">
          <w:marLeft w:val="1166"/>
          <w:marRight w:val="0"/>
          <w:marTop w:val="0"/>
          <w:marBottom w:val="0"/>
          <w:divBdr>
            <w:top w:val="none" w:sz="0" w:space="0" w:color="auto"/>
            <w:left w:val="none" w:sz="0" w:space="0" w:color="auto"/>
            <w:bottom w:val="none" w:sz="0" w:space="0" w:color="auto"/>
            <w:right w:val="none" w:sz="0" w:space="0" w:color="auto"/>
          </w:divBdr>
        </w:div>
        <w:div w:id="1816989623">
          <w:marLeft w:val="1166"/>
          <w:marRight w:val="0"/>
          <w:marTop w:val="0"/>
          <w:marBottom w:val="0"/>
          <w:divBdr>
            <w:top w:val="none" w:sz="0" w:space="0" w:color="auto"/>
            <w:left w:val="none" w:sz="0" w:space="0" w:color="auto"/>
            <w:bottom w:val="none" w:sz="0" w:space="0" w:color="auto"/>
            <w:right w:val="none" w:sz="0" w:space="0" w:color="auto"/>
          </w:divBdr>
        </w:div>
        <w:div w:id="1528567452">
          <w:marLeft w:val="1166"/>
          <w:marRight w:val="0"/>
          <w:marTop w:val="0"/>
          <w:marBottom w:val="0"/>
          <w:divBdr>
            <w:top w:val="none" w:sz="0" w:space="0" w:color="auto"/>
            <w:left w:val="none" w:sz="0" w:space="0" w:color="auto"/>
            <w:bottom w:val="none" w:sz="0" w:space="0" w:color="auto"/>
            <w:right w:val="none" w:sz="0" w:space="0" w:color="auto"/>
          </w:divBdr>
        </w:div>
        <w:div w:id="178928931">
          <w:marLeft w:val="1166"/>
          <w:marRight w:val="0"/>
          <w:marTop w:val="0"/>
          <w:marBottom w:val="0"/>
          <w:divBdr>
            <w:top w:val="none" w:sz="0" w:space="0" w:color="auto"/>
            <w:left w:val="none" w:sz="0" w:space="0" w:color="auto"/>
            <w:bottom w:val="none" w:sz="0" w:space="0" w:color="auto"/>
            <w:right w:val="none" w:sz="0" w:space="0" w:color="auto"/>
          </w:divBdr>
        </w:div>
        <w:div w:id="1151750618">
          <w:marLeft w:val="1166"/>
          <w:marRight w:val="0"/>
          <w:marTop w:val="0"/>
          <w:marBottom w:val="0"/>
          <w:divBdr>
            <w:top w:val="none" w:sz="0" w:space="0" w:color="auto"/>
            <w:left w:val="none" w:sz="0" w:space="0" w:color="auto"/>
            <w:bottom w:val="none" w:sz="0" w:space="0" w:color="auto"/>
            <w:right w:val="none" w:sz="0" w:space="0" w:color="auto"/>
          </w:divBdr>
        </w:div>
        <w:div w:id="1448623710">
          <w:marLeft w:val="547"/>
          <w:marRight w:val="0"/>
          <w:marTop w:val="0"/>
          <w:marBottom w:val="0"/>
          <w:divBdr>
            <w:top w:val="none" w:sz="0" w:space="0" w:color="auto"/>
            <w:left w:val="none" w:sz="0" w:space="0" w:color="auto"/>
            <w:bottom w:val="none" w:sz="0" w:space="0" w:color="auto"/>
            <w:right w:val="none" w:sz="0" w:space="0" w:color="auto"/>
          </w:divBdr>
        </w:div>
        <w:div w:id="689650562">
          <w:marLeft w:val="1166"/>
          <w:marRight w:val="0"/>
          <w:marTop w:val="0"/>
          <w:marBottom w:val="0"/>
          <w:divBdr>
            <w:top w:val="none" w:sz="0" w:space="0" w:color="auto"/>
            <w:left w:val="none" w:sz="0" w:space="0" w:color="auto"/>
            <w:bottom w:val="none" w:sz="0" w:space="0" w:color="auto"/>
            <w:right w:val="none" w:sz="0" w:space="0" w:color="auto"/>
          </w:divBdr>
        </w:div>
        <w:div w:id="192230698">
          <w:marLeft w:val="1166"/>
          <w:marRight w:val="0"/>
          <w:marTop w:val="0"/>
          <w:marBottom w:val="0"/>
          <w:divBdr>
            <w:top w:val="none" w:sz="0" w:space="0" w:color="auto"/>
            <w:left w:val="none" w:sz="0" w:space="0" w:color="auto"/>
            <w:bottom w:val="none" w:sz="0" w:space="0" w:color="auto"/>
            <w:right w:val="none" w:sz="0" w:space="0" w:color="auto"/>
          </w:divBdr>
        </w:div>
        <w:div w:id="1022904730">
          <w:marLeft w:val="1166"/>
          <w:marRight w:val="0"/>
          <w:marTop w:val="0"/>
          <w:marBottom w:val="0"/>
          <w:divBdr>
            <w:top w:val="none" w:sz="0" w:space="0" w:color="auto"/>
            <w:left w:val="none" w:sz="0" w:space="0" w:color="auto"/>
            <w:bottom w:val="none" w:sz="0" w:space="0" w:color="auto"/>
            <w:right w:val="none" w:sz="0" w:space="0" w:color="auto"/>
          </w:divBdr>
        </w:div>
        <w:div w:id="1779527327">
          <w:marLeft w:val="1166"/>
          <w:marRight w:val="0"/>
          <w:marTop w:val="0"/>
          <w:marBottom w:val="0"/>
          <w:divBdr>
            <w:top w:val="none" w:sz="0" w:space="0" w:color="auto"/>
            <w:left w:val="none" w:sz="0" w:space="0" w:color="auto"/>
            <w:bottom w:val="none" w:sz="0" w:space="0" w:color="auto"/>
            <w:right w:val="none" w:sz="0" w:space="0" w:color="auto"/>
          </w:divBdr>
        </w:div>
        <w:div w:id="676425531">
          <w:marLeft w:val="1166"/>
          <w:marRight w:val="0"/>
          <w:marTop w:val="0"/>
          <w:marBottom w:val="0"/>
          <w:divBdr>
            <w:top w:val="none" w:sz="0" w:space="0" w:color="auto"/>
            <w:left w:val="none" w:sz="0" w:space="0" w:color="auto"/>
            <w:bottom w:val="none" w:sz="0" w:space="0" w:color="auto"/>
            <w:right w:val="none" w:sz="0" w:space="0" w:color="auto"/>
          </w:divBdr>
        </w:div>
        <w:div w:id="1310011174">
          <w:marLeft w:val="1166"/>
          <w:marRight w:val="0"/>
          <w:marTop w:val="0"/>
          <w:marBottom w:val="0"/>
          <w:divBdr>
            <w:top w:val="none" w:sz="0" w:space="0" w:color="auto"/>
            <w:left w:val="none" w:sz="0" w:space="0" w:color="auto"/>
            <w:bottom w:val="none" w:sz="0" w:space="0" w:color="auto"/>
            <w:right w:val="none" w:sz="0" w:space="0" w:color="auto"/>
          </w:divBdr>
        </w:div>
        <w:div w:id="1332373269">
          <w:marLeft w:val="1166"/>
          <w:marRight w:val="0"/>
          <w:marTop w:val="0"/>
          <w:marBottom w:val="0"/>
          <w:divBdr>
            <w:top w:val="none" w:sz="0" w:space="0" w:color="auto"/>
            <w:left w:val="none" w:sz="0" w:space="0" w:color="auto"/>
            <w:bottom w:val="none" w:sz="0" w:space="0" w:color="auto"/>
            <w:right w:val="none" w:sz="0" w:space="0" w:color="auto"/>
          </w:divBdr>
        </w:div>
      </w:divsChild>
    </w:div>
    <w:div w:id="874931668">
      <w:bodyDiv w:val="1"/>
      <w:marLeft w:val="0"/>
      <w:marRight w:val="0"/>
      <w:marTop w:val="0"/>
      <w:marBottom w:val="0"/>
      <w:divBdr>
        <w:top w:val="none" w:sz="0" w:space="0" w:color="auto"/>
        <w:left w:val="none" w:sz="0" w:space="0" w:color="auto"/>
        <w:bottom w:val="none" w:sz="0" w:space="0" w:color="auto"/>
        <w:right w:val="none" w:sz="0" w:space="0" w:color="auto"/>
      </w:divBdr>
    </w:div>
    <w:div w:id="877283751">
      <w:bodyDiv w:val="1"/>
      <w:marLeft w:val="0"/>
      <w:marRight w:val="0"/>
      <w:marTop w:val="0"/>
      <w:marBottom w:val="0"/>
      <w:divBdr>
        <w:top w:val="none" w:sz="0" w:space="0" w:color="auto"/>
        <w:left w:val="none" w:sz="0" w:space="0" w:color="auto"/>
        <w:bottom w:val="none" w:sz="0" w:space="0" w:color="auto"/>
        <w:right w:val="none" w:sz="0" w:space="0" w:color="auto"/>
      </w:divBdr>
    </w:div>
    <w:div w:id="882206582">
      <w:bodyDiv w:val="1"/>
      <w:marLeft w:val="0"/>
      <w:marRight w:val="0"/>
      <w:marTop w:val="0"/>
      <w:marBottom w:val="0"/>
      <w:divBdr>
        <w:top w:val="none" w:sz="0" w:space="0" w:color="auto"/>
        <w:left w:val="none" w:sz="0" w:space="0" w:color="auto"/>
        <w:bottom w:val="none" w:sz="0" w:space="0" w:color="auto"/>
        <w:right w:val="none" w:sz="0" w:space="0" w:color="auto"/>
      </w:divBdr>
    </w:div>
    <w:div w:id="903947768">
      <w:bodyDiv w:val="1"/>
      <w:marLeft w:val="0"/>
      <w:marRight w:val="0"/>
      <w:marTop w:val="0"/>
      <w:marBottom w:val="0"/>
      <w:divBdr>
        <w:top w:val="none" w:sz="0" w:space="0" w:color="auto"/>
        <w:left w:val="none" w:sz="0" w:space="0" w:color="auto"/>
        <w:bottom w:val="none" w:sz="0" w:space="0" w:color="auto"/>
        <w:right w:val="none" w:sz="0" w:space="0" w:color="auto"/>
      </w:divBdr>
      <w:divsChild>
        <w:div w:id="656344813">
          <w:marLeft w:val="547"/>
          <w:marRight w:val="0"/>
          <w:marTop w:val="0"/>
          <w:marBottom w:val="0"/>
          <w:divBdr>
            <w:top w:val="none" w:sz="0" w:space="0" w:color="auto"/>
            <w:left w:val="none" w:sz="0" w:space="0" w:color="auto"/>
            <w:bottom w:val="none" w:sz="0" w:space="0" w:color="auto"/>
            <w:right w:val="none" w:sz="0" w:space="0" w:color="auto"/>
          </w:divBdr>
        </w:div>
      </w:divsChild>
    </w:div>
    <w:div w:id="914901795">
      <w:bodyDiv w:val="1"/>
      <w:marLeft w:val="0"/>
      <w:marRight w:val="0"/>
      <w:marTop w:val="0"/>
      <w:marBottom w:val="0"/>
      <w:divBdr>
        <w:top w:val="none" w:sz="0" w:space="0" w:color="auto"/>
        <w:left w:val="none" w:sz="0" w:space="0" w:color="auto"/>
        <w:bottom w:val="none" w:sz="0" w:space="0" w:color="auto"/>
        <w:right w:val="none" w:sz="0" w:space="0" w:color="auto"/>
      </w:divBdr>
    </w:div>
    <w:div w:id="922178861">
      <w:bodyDiv w:val="1"/>
      <w:marLeft w:val="0"/>
      <w:marRight w:val="0"/>
      <w:marTop w:val="0"/>
      <w:marBottom w:val="0"/>
      <w:divBdr>
        <w:top w:val="none" w:sz="0" w:space="0" w:color="auto"/>
        <w:left w:val="none" w:sz="0" w:space="0" w:color="auto"/>
        <w:bottom w:val="none" w:sz="0" w:space="0" w:color="auto"/>
        <w:right w:val="none" w:sz="0" w:space="0" w:color="auto"/>
      </w:divBdr>
    </w:div>
    <w:div w:id="933591045">
      <w:bodyDiv w:val="1"/>
      <w:marLeft w:val="0"/>
      <w:marRight w:val="0"/>
      <w:marTop w:val="0"/>
      <w:marBottom w:val="0"/>
      <w:divBdr>
        <w:top w:val="none" w:sz="0" w:space="0" w:color="auto"/>
        <w:left w:val="none" w:sz="0" w:space="0" w:color="auto"/>
        <w:bottom w:val="none" w:sz="0" w:space="0" w:color="auto"/>
        <w:right w:val="none" w:sz="0" w:space="0" w:color="auto"/>
      </w:divBdr>
    </w:div>
    <w:div w:id="963194481">
      <w:bodyDiv w:val="1"/>
      <w:marLeft w:val="0"/>
      <w:marRight w:val="0"/>
      <w:marTop w:val="0"/>
      <w:marBottom w:val="0"/>
      <w:divBdr>
        <w:top w:val="none" w:sz="0" w:space="0" w:color="auto"/>
        <w:left w:val="none" w:sz="0" w:space="0" w:color="auto"/>
        <w:bottom w:val="none" w:sz="0" w:space="0" w:color="auto"/>
        <w:right w:val="none" w:sz="0" w:space="0" w:color="auto"/>
      </w:divBdr>
    </w:div>
    <w:div w:id="970401772">
      <w:bodyDiv w:val="1"/>
      <w:marLeft w:val="0"/>
      <w:marRight w:val="0"/>
      <w:marTop w:val="0"/>
      <w:marBottom w:val="0"/>
      <w:divBdr>
        <w:top w:val="none" w:sz="0" w:space="0" w:color="auto"/>
        <w:left w:val="none" w:sz="0" w:space="0" w:color="auto"/>
        <w:bottom w:val="none" w:sz="0" w:space="0" w:color="auto"/>
        <w:right w:val="none" w:sz="0" w:space="0" w:color="auto"/>
      </w:divBdr>
    </w:div>
    <w:div w:id="998389750">
      <w:bodyDiv w:val="1"/>
      <w:marLeft w:val="0"/>
      <w:marRight w:val="0"/>
      <w:marTop w:val="0"/>
      <w:marBottom w:val="0"/>
      <w:divBdr>
        <w:top w:val="none" w:sz="0" w:space="0" w:color="auto"/>
        <w:left w:val="none" w:sz="0" w:space="0" w:color="auto"/>
        <w:bottom w:val="none" w:sz="0" w:space="0" w:color="auto"/>
        <w:right w:val="none" w:sz="0" w:space="0" w:color="auto"/>
      </w:divBdr>
    </w:div>
    <w:div w:id="998576749">
      <w:bodyDiv w:val="1"/>
      <w:marLeft w:val="0"/>
      <w:marRight w:val="0"/>
      <w:marTop w:val="0"/>
      <w:marBottom w:val="0"/>
      <w:divBdr>
        <w:top w:val="none" w:sz="0" w:space="0" w:color="auto"/>
        <w:left w:val="none" w:sz="0" w:space="0" w:color="auto"/>
        <w:bottom w:val="none" w:sz="0" w:space="0" w:color="auto"/>
        <w:right w:val="none" w:sz="0" w:space="0" w:color="auto"/>
      </w:divBdr>
      <w:divsChild>
        <w:div w:id="204097945">
          <w:marLeft w:val="547"/>
          <w:marRight w:val="0"/>
          <w:marTop w:val="0"/>
          <w:marBottom w:val="0"/>
          <w:divBdr>
            <w:top w:val="none" w:sz="0" w:space="0" w:color="auto"/>
            <w:left w:val="none" w:sz="0" w:space="0" w:color="auto"/>
            <w:bottom w:val="none" w:sz="0" w:space="0" w:color="auto"/>
            <w:right w:val="none" w:sz="0" w:space="0" w:color="auto"/>
          </w:divBdr>
        </w:div>
        <w:div w:id="1523010608">
          <w:marLeft w:val="547"/>
          <w:marRight w:val="0"/>
          <w:marTop w:val="0"/>
          <w:marBottom w:val="0"/>
          <w:divBdr>
            <w:top w:val="none" w:sz="0" w:space="0" w:color="auto"/>
            <w:left w:val="none" w:sz="0" w:space="0" w:color="auto"/>
            <w:bottom w:val="none" w:sz="0" w:space="0" w:color="auto"/>
            <w:right w:val="none" w:sz="0" w:space="0" w:color="auto"/>
          </w:divBdr>
        </w:div>
        <w:div w:id="765538993">
          <w:marLeft w:val="547"/>
          <w:marRight w:val="0"/>
          <w:marTop w:val="0"/>
          <w:marBottom w:val="0"/>
          <w:divBdr>
            <w:top w:val="none" w:sz="0" w:space="0" w:color="auto"/>
            <w:left w:val="none" w:sz="0" w:space="0" w:color="auto"/>
            <w:bottom w:val="none" w:sz="0" w:space="0" w:color="auto"/>
            <w:right w:val="none" w:sz="0" w:space="0" w:color="auto"/>
          </w:divBdr>
        </w:div>
        <w:div w:id="1625624228">
          <w:marLeft w:val="547"/>
          <w:marRight w:val="0"/>
          <w:marTop w:val="0"/>
          <w:marBottom w:val="0"/>
          <w:divBdr>
            <w:top w:val="none" w:sz="0" w:space="0" w:color="auto"/>
            <w:left w:val="none" w:sz="0" w:space="0" w:color="auto"/>
            <w:bottom w:val="none" w:sz="0" w:space="0" w:color="auto"/>
            <w:right w:val="none" w:sz="0" w:space="0" w:color="auto"/>
          </w:divBdr>
        </w:div>
      </w:divsChild>
    </w:div>
    <w:div w:id="1009480420">
      <w:bodyDiv w:val="1"/>
      <w:marLeft w:val="0"/>
      <w:marRight w:val="0"/>
      <w:marTop w:val="0"/>
      <w:marBottom w:val="0"/>
      <w:divBdr>
        <w:top w:val="none" w:sz="0" w:space="0" w:color="auto"/>
        <w:left w:val="none" w:sz="0" w:space="0" w:color="auto"/>
        <w:bottom w:val="none" w:sz="0" w:space="0" w:color="auto"/>
        <w:right w:val="none" w:sz="0" w:space="0" w:color="auto"/>
      </w:divBdr>
      <w:divsChild>
        <w:div w:id="911046682">
          <w:marLeft w:val="547"/>
          <w:marRight w:val="0"/>
          <w:marTop w:val="0"/>
          <w:marBottom w:val="0"/>
          <w:divBdr>
            <w:top w:val="none" w:sz="0" w:space="0" w:color="auto"/>
            <w:left w:val="none" w:sz="0" w:space="0" w:color="auto"/>
            <w:bottom w:val="none" w:sz="0" w:space="0" w:color="auto"/>
            <w:right w:val="none" w:sz="0" w:space="0" w:color="auto"/>
          </w:divBdr>
        </w:div>
      </w:divsChild>
    </w:div>
    <w:div w:id="1009873915">
      <w:bodyDiv w:val="1"/>
      <w:marLeft w:val="0"/>
      <w:marRight w:val="0"/>
      <w:marTop w:val="0"/>
      <w:marBottom w:val="0"/>
      <w:divBdr>
        <w:top w:val="none" w:sz="0" w:space="0" w:color="auto"/>
        <w:left w:val="none" w:sz="0" w:space="0" w:color="auto"/>
        <w:bottom w:val="none" w:sz="0" w:space="0" w:color="auto"/>
        <w:right w:val="none" w:sz="0" w:space="0" w:color="auto"/>
      </w:divBdr>
    </w:div>
    <w:div w:id="1034237319">
      <w:bodyDiv w:val="1"/>
      <w:marLeft w:val="0"/>
      <w:marRight w:val="0"/>
      <w:marTop w:val="0"/>
      <w:marBottom w:val="0"/>
      <w:divBdr>
        <w:top w:val="none" w:sz="0" w:space="0" w:color="auto"/>
        <w:left w:val="none" w:sz="0" w:space="0" w:color="auto"/>
        <w:bottom w:val="none" w:sz="0" w:space="0" w:color="auto"/>
        <w:right w:val="none" w:sz="0" w:space="0" w:color="auto"/>
      </w:divBdr>
    </w:div>
    <w:div w:id="1036544161">
      <w:bodyDiv w:val="1"/>
      <w:marLeft w:val="0"/>
      <w:marRight w:val="0"/>
      <w:marTop w:val="0"/>
      <w:marBottom w:val="0"/>
      <w:divBdr>
        <w:top w:val="none" w:sz="0" w:space="0" w:color="auto"/>
        <w:left w:val="none" w:sz="0" w:space="0" w:color="auto"/>
        <w:bottom w:val="none" w:sz="0" w:space="0" w:color="auto"/>
        <w:right w:val="none" w:sz="0" w:space="0" w:color="auto"/>
      </w:divBdr>
      <w:divsChild>
        <w:div w:id="139729945">
          <w:marLeft w:val="1742"/>
          <w:marRight w:val="0"/>
          <w:marTop w:val="48"/>
          <w:marBottom w:val="0"/>
          <w:divBdr>
            <w:top w:val="none" w:sz="0" w:space="0" w:color="auto"/>
            <w:left w:val="none" w:sz="0" w:space="0" w:color="auto"/>
            <w:bottom w:val="none" w:sz="0" w:space="0" w:color="auto"/>
            <w:right w:val="none" w:sz="0" w:space="0" w:color="auto"/>
          </w:divBdr>
        </w:div>
        <w:div w:id="526673159">
          <w:marLeft w:val="1742"/>
          <w:marRight w:val="0"/>
          <w:marTop w:val="48"/>
          <w:marBottom w:val="0"/>
          <w:divBdr>
            <w:top w:val="none" w:sz="0" w:space="0" w:color="auto"/>
            <w:left w:val="none" w:sz="0" w:space="0" w:color="auto"/>
            <w:bottom w:val="none" w:sz="0" w:space="0" w:color="auto"/>
            <w:right w:val="none" w:sz="0" w:space="0" w:color="auto"/>
          </w:divBdr>
        </w:div>
        <w:div w:id="1077895337">
          <w:marLeft w:val="1742"/>
          <w:marRight w:val="0"/>
          <w:marTop w:val="48"/>
          <w:marBottom w:val="0"/>
          <w:divBdr>
            <w:top w:val="none" w:sz="0" w:space="0" w:color="auto"/>
            <w:left w:val="none" w:sz="0" w:space="0" w:color="auto"/>
            <w:bottom w:val="none" w:sz="0" w:space="0" w:color="auto"/>
            <w:right w:val="none" w:sz="0" w:space="0" w:color="auto"/>
          </w:divBdr>
        </w:div>
        <w:div w:id="1086531808">
          <w:marLeft w:val="1742"/>
          <w:marRight w:val="0"/>
          <w:marTop w:val="48"/>
          <w:marBottom w:val="0"/>
          <w:divBdr>
            <w:top w:val="none" w:sz="0" w:space="0" w:color="auto"/>
            <w:left w:val="none" w:sz="0" w:space="0" w:color="auto"/>
            <w:bottom w:val="none" w:sz="0" w:space="0" w:color="auto"/>
            <w:right w:val="none" w:sz="0" w:space="0" w:color="auto"/>
          </w:divBdr>
        </w:div>
        <w:div w:id="1293171526">
          <w:marLeft w:val="1742"/>
          <w:marRight w:val="0"/>
          <w:marTop w:val="48"/>
          <w:marBottom w:val="0"/>
          <w:divBdr>
            <w:top w:val="none" w:sz="0" w:space="0" w:color="auto"/>
            <w:left w:val="none" w:sz="0" w:space="0" w:color="auto"/>
            <w:bottom w:val="none" w:sz="0" w:space="0" w:color="auto"/>
            <w:right w:val="none" w:sz="0" w:space="0" w:color="auto"/>
          </w:divBdr>
        </w:div>
        <w:div w:id="1505196230">
          <w:marLeft w:val="1742"/>
          <w:marRight w:val="0"/>
          <w:marTop w:val="48"/>
          <w:marBottom w:val="0"/>
          <w:divBdr>
            <w:top w:val="none" w:sz="0" w:space="0" w:color="auto"/>
            <w:left w:val="none" w:sz="0" w:space="0" w:color="auto"/>
            <w:bottom w:val="none" w:sz="0" w:space="0" w:color="auto"/>
            <w:right w:val="none" w:sz="0" w:space="0" w:color="auto"/>
          </w:divBdr>
        </w:div>
        <w:div w:id="2103065555">
          <w:marLeft w:val="1742"/>
          <w:marRight w:val="0"/>
          <w:marTop w:val="48"/>
          <w:marBottom w:val="0"/>
          <w:divBdr>
            <w:top w:val="none" w:sz="0" w:space="0" w:color="auto"/>
            <w:left w:val="none" w:sz="0" w:space="0" w:color="auto"/>
            <w:bottom w:val="none" w:sz="0" w:space="0" w:color="auto"/>
            <w:right w:val="none" w:sz="0" w:space="0" w:color="auto"/>
          </w:divBdr>
        </w:div>
      </w:divsChild>
    </w:div>
    <w:div w:id="1039359878">
      <w:bodyDiv w:val="1"/>
      <w:marLeft w:val="0"/>
      <w:marRight w:val="0"/>
      <w:marTop w:val="0"/>
      <w:marBottom w:val="0"/>
      <w:divBdr>
        <w:top w:val="none" w:sz="0" w:space="0" w:color="auto"/>
        <w:left w:val="none" w:sz="0" w:space="0" w:color="auto"/>
        <w:bottom w:val="none" w:sz="0" w:space="0" w:color="auto"/>
        <w:right w:val="none" w:sz="0" w:space="0" w:color="auto"/>
      </w:divBdr>
    </w:div>
    <w:div w:id="1042361155">
      <w:bodyDiv w:val="1"/>
      <w:marLeft w:val="0"/>
      <w:marRight w:val="0"/>
      <w:marTop w:val="0"/>
      <w:marBottom w:val="0"/>
      <w:divBdr>
        <w:top w:val="none" w:sz="0" w:space="0" w:color="auto"/>
        <w:left w:val="none" w:sz="0" w:space="0" w:color="auto"/>
        <w:bottom w:val="none" w:sz="0" w:space="0" w:color="auto"/>
        <w:right w:val="none" w:sz="0" w:space="0" w:color="auto"/>
      </w:divBdr>
    </w:div>
    <w:div w:id="1045182863">
      <w:bodyDiv w:val="1"/>
      <w:marLeft w:val="0"/>
      <w:marRight w:val="0"/>
      <w:marTop w:val="0"/>
      <w:marBottom w:val="0"/>
      <w:divBdr>
        <w:top w:val="none" w:sz="0" w:space="0" w:color="auto"/>
        <w:left w:val="none" w:sz="0" w:space="0" w:color="auto"/>
        <w:bottom w:val="none" w:sz="0" w:space="0" w:color="auto"/>
        <w:right w:val="none" w:sz="0" w:space="0" w:color="auto"/>
      </w:divBdr>
    </w:div>
    <w:div w:id="1054504301">
      <w:bodyDiv w:val="1"/>
      <w:marLeft w:val="0"/>
      <w:marRight w:val="0"/>
      <w:marTop w:val="0"/>
      <w:marBottom w:val="0"/>
      <w:divBdr>
        <w:top w:val="none" w:sz="0" w:space="0" w:color="auto"/>
        <w:left w:val="none" w:sz="0" w:space="0" w:color="auto"/>
        <w:bottom w:val="none" w:sz="0" w:space="0" w:color="auto"/>
        <w:right w:val="none" w:sz="0" w:space="0" w:color="auto"/>
      </w:divBdr>
    </w:div>
    <w:div w:id="1057626006">
      <w:bodyDiv w:val="1"/>
      <w:marLeft w:val="0"/>
      <w:marRight w:val="0"/>
      <w:marTop w:val="0"/>
      <w:marBottom w:val="0"/>
      <w:divBdr>
        <w:top w:val="none" w:sz="0" w:space="0" w:color="auto"/>
        <w:left w:val="none" w:sz="0" w:space="0" w:color="auto"/>
        <w:bottom w:val="none" w:sz="0" w:space="0" w:color="auto"/>
        <w:right w:val="none" w:sz="0" w:space="0" w:color="auto"/>
      </w:divBdr>
      <w:divsChild>
        <w:div w:id="2064595994">
          <w:marLeft w:val="533"/>
          <w:marRight w:val="0"/>
          <w:marTop w:val="58"/>
          <w:marBottom w:val="0"/>
          <w:divBdr>
            <w:top w:val="none" w:sz="0" w:space="0" w:color="auto"/>
            <w:left w:val="none" w:sz="0" w:space="0" w:color="auto"/>
            <w:bottom w:val="none" w:sz="0" w:space="0" w:color="auto"/>
            <w:right w:val="none" w:sz="0" w:space="0" w:color="auto"/>
          </w:divBdr>
        </w:div>
      </w:divsChild>
    </w:div>
    <w:div w:id="1072197946">
      <w:bodyDiv w:val="1"/>
      <w:marLeft w:val="0"/>
      <w:marRight w:val="0"/>
      <w:marTop w:val="0"/>
      <w:marBottom w:val="0"/>
      <w:divBdr>
        <w:top w:val="none" w:sz="0" w:space="0" w:color="auto"/>
        <w:left w:val="none" w:sz="0" w:space="0" w:color="auto"/>
        <w:bottom w:val="none" w:sz="0" w:space="0" w:color="auto"/>
        <w:right w:val="none" w:sz="0" w:space="0" w:color="auto"/>
      </w:divBdr>
    </w:div>
    <w:div w:id="1158770732">
      <w:bodyDiv w:val="1"/>
      <w:marLeft w:val="0"/>
      <w:marRight w:val="0"/>
      <w:marTop w:val="0"/>
      <w:marBottom w:val="0"/>
      <w:divBdr>
        <w:top w:val="none" w:sz="0" w:space="0" w:color="auto"/>
        <w:left w:val="none" w:sz="0" w:space="0" w:color="auto"/>
        <w:bottom w:val="none" w:sz="0" w:space="0" w:color="auto"/>
        <w:right w:val="none" w:sz="0" w:space="0" w:color="auto"/>
      </w:divBdr>
      <w:divsChild>
        <w:div w:id="1257788403">
          <w:marLeft w:val="0"/>
          <w:marRight w:val="0"/>
          <w:marTop w:val="0"/>
          <w:marBottom w:val="0"/>
          <w:divBdr>
            <w:top w:val="none" w:sz="0" w:space="0" w:color="auto"/>
            <w:left w:val="none" w:sz="0" w:space="0" w:color="auto"/>
            <w:bottom w:val="none" w:sz="0" w:space="0" w:color="auto"/>
            <w:right w:val="none" w:sz="0" w:space="0" w:color="auto"/>
          </w:divBdr>
          <w:divsChild>
            <w:div w:id="2118329842">
              <w:marLeft w:val="0"/>
              <w:marRight w:val="0"/>
              <w:marTop w:val="0"/>
              <w:marBottom w:val="0"/>
              <w:divBdr>
                <w:top w:val="none" w:sz="0" w:space="0" w:color="auto"/>
                <w:left w:val="none" w:sz="0" w:space="0" w:color="auto"/>
                <w:bottom w:val="none" w:sz="0" w:space="0" w:color="auto"/>
                <w:right w:val="none" w:sz="0" w:space="0" w:color="auto"/>
              </w:divBdr>
              <w:divsChild>
                <w:div w:id="4826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041227">
      <w:bodyDiv w:val="1"/>
      <w:marLeft w:val="0"/>
      <w:marRight w:val="0"/>
      <w:marTop w:val="0"/>
      <w:marBottom w:val="0"/>
      <w:divBdr>
        <w:top w:val="none" w:sz="0" w:space="0" w:color="auto"/>
        <w:left w:val="none" w:sz="0" w:space="0" w:color="auto"/>
        <w:bottom w:val="none" w:sz="0" w:space="0" w:color="auto"/>
        <w:right w:val="none" w:sz="0" w:space="0" w:color="auto"/>
      </w:divBdr>
    </w:div>
    <w:div w:id="1194685709">
      <w:bodyDiv w:val="1"/>
      <w:marLeft w:val="0"/>
      <w:marRight w:val="0"/>
      <w:marTop w:val="0"/>
      <w:marBottom w:val="0"/>
      <w:divBdr>
        <w:top w:val="none" w:sz="0" w:space="0" w:color="auto"/>
        <w:left w:val="none" w:sz="0" w:space="0" w:color="auto"/>
        <w:bottom w:val="none" w:sz="0" w:space="0" w:color="auto"/>
        <w:right w:val="none" w:sz="0" w:space="0" w:color="auto"/>
      </w:divBdr>
    </w:div>
    <w:div w:id="1216283409">
      <w:bodyDiv w:val="1"/>
      <w:marLeft w:val="0"/>
      <w:marRight w:val="0"/>
      <w:marTop w:val="0"/>
      <w:marBottom w:val="0"/>
      <w:divBdr>
        <w:top w:val="none" w:sz="0" w:space="0" w:color="auto"/>
        <w:left w:val="none" w:sz="0" w:space="0" w:color="auto"/>
        <w:bottom w:val="none" w:sz="0" w:space="0" w:color="auto"/>
        <w:right w:val="none" w:sz="0" w:space="0" w:color="auto"/>
      </w:divBdr>
    </w:div>
    <w:div w:id="1224484717">
      <w:bodyDiv w:val="1"/>
      <w:marLeft w:val="0"/>
      <w:marRight w:val="0"/>
      <w:marTop w:val="0"/>
      <w:marBottom w:val="0"/>
      <w:divBdr>
        <w:top w:val="none" w:sz="0" w:space="0" w:color="auto"/>
        <w:left w:val="none" w:sz="0" w:space="0" w:color="auto"/>
        <w:bottom w:val="none" w:sz="0" w:space="0" w:color="auto"/>
        <w:right w:val="none" w:sz="0" w:space="0" w:color="auto"/>
      </w:divBdr>
    </w:div>
    <w:div w:id="1240210189">
      <w:bodyDiv w:val="1"/>
      <w:marLeft w:val="0"/>
      <w:marRight w:val="0"/>
      <w:marTop w:val="0"/>
      <w:marBottom w:val="0"/>
      <w:divBdr>
        <w:top w:val="none" w:sz="0" w:space="0" w:color="auto"/>
        <w:left w:val="none" w:sz="0" w:space="0" w:color="auto"/>
        <w:bottom w:val="none" w:sz="0" w:space="0" w:color="auto"/>
        <w:right w:val="none" w:sz="0" w:space="0" w:color="auto"/>
      </w:divBdr>
      <w:divsChild>
        <w:div w:id="1006978892">
          <w:marLeft w:val="547"/>
          <w:marRight w:val="0"/>
          <w:marTop w:val="0"/>
          <w:marBottom w:val="0"/>
          <w:divBdr>
            <w:top w:val="none" w:sz="0" w:space="0" w:color="auto"/>
            <w:left w:val="none" w:sz="0" w:space="0" w:color="auto"/>
            <w:bottom w:val="none" w:sz="0" w:space="0" w:color="auto"/>
            <w:right w:val="none" w:sz="0" w:space="0" w:color="auto"/>
          </w:divBdr>
        </w:div>
      </w:divsChild>
    </w:div>
    <w:div w:id="1248077047">
      <w:bodyDiv w:val="1"/>
      <w:marLeft w:val="0"/>
      <w:marRight w:val="0"/>
      <w:marTop w:val="0"/>
      <w:marBottom w:val="0"/>
      <w:divBdr>
        <w:top w:val="none" w:sz="0" w:space="0" w:color="auto"/>
        <w:left w:val="none" w:sz="0" w:space="0" w:color="auto"/>
        <w:bottom w:val="none" w:sz="0" w:space="0" w:color="auto"/>
        <w:right w:val="none" w:sz="0" w:space="0" w:color="auto"/>
      </w:divBdr>
    </w:div>
    <w:div w:id="1248805049">
      <w:bodyDiv w:val="1"/>
      <w:marLeft w:val="0"/>
      <w:marRight w:val="0"/>
      <w:marTop w:val="0"/>
      <w:marBottom w:val="0"/>
      <w:divBdr>
        <w:top w:val="none" w:sz="0" w:space="0" w:color="auto"/>
        <w:left w:val="none" w:sz="0" w:space="0" w:color="auto"/>
        <w:bottom w:val="none" w:sz="0" w:space="0" w:color="auto"/>
        <w:right w:val="none" w:sz="0" w:space="0" w:color="auto"/>
      </w:divBdr>
    </w:div>
    <w:div w:id="1249803035">
      <w:bodyDiv w:val="1"/>
      <w:marLeft w:val="0"/>
      <w:marRight w:val="0"/>
      <w:marTop w:val="0"/>
      <w:marBottom w:val="0"/>
      <w:divBdr>
        <w:top w:val="none" w:sz="0" w:space="0" w:color="auto"/>
        <w:left w:val="none" w:sz="0" w:space="0" w:color="auto"/>
        <w:bottom w:val="none" w:sz="0" w:space="0" w:color="auto"/>
        <w:right w:val="none" w:sz="0" w:space="0" w:color="auto"/>
      </w:divBdr>
    </w:div>
    <w:div w:id="1250315421">
      <w:bodyDiv w:val="1"/>
      <w:marLeft w:val="0"/>
      <w:marRight w:val="0"/>
      <w:marTop w:val="0"/>
      <w:marBottom w:val="0"/>
      <w:divBdr>
        <w:top w:val="none" w:sz="0" w:space="0" w:color="auto"/>
        <w:left w:val="none" w:sz="0" w:space="0" w:color="auto"/>
        <w:bottom w:val="none" w:sz="0" w:space="0" w:color="auto"/>
        <w:right w:val="none" w:sz="0" w:space="0" w:color="auto"/>
      </w:divBdr>
      <w:divsChild>
        <w:div w:id="47150871">
          <w:marLeft w:val="547"/>
          <w:marRight w:val="0"/>
          <w:marTop w:val="0"/>
          <w:marBottom w:val="0"/>
          <w:divBdr>
            <w:top w:val="none" w:sz="0" w:space="0" w:color="auto"/>
            <w:left w:val="none" w:sz="0" w:space="0" w:color="auto"/>
            <w:bottom w:val="none" w:sz="0" w:space="0" w:color="auto"/>
            <w:right w:val="none" w:sz="0" w:space="0" w:color="auto"/>
          </w:divBdr>
        </w:div>
        <w:div w:id="2027367566">
          <w:marLeft w:val="1166"/>
          <w:marRight w:val="0"/>
          <w:marTop w:val="0"/>
          <w:marBottom w:val="0"/>
          <w:divBdr>
            <w:top w:val="none" w:sz="0" w:space="0" w:color="auto"/>
            <w:left w:val="none" w:sz="0" w:space="0" w:color="auto"/>
            <w:bottom w:val="none" w:sz="0" w:space="0" w:color="auto"/>
            <w:right w:val="none" w:sz="0" w:space="0" w:color="auto"/>
          </w:divBdr>
        </w:div>
        <w:div w:id="16540273">
          <w:marLeft w:val="1166"/>
          <w:marRight w:val="0"/>
          <w:marTop w:val="0"/>
          <w:marBottom w:val="0"/>
          <w:divBdr>
            <w:top w:val="none" w:sz="0" w:space="0" w:color="auto"/>
            <w:left w:val="none" w:sz="0" w:space="0" w:color="auto"/>
            <w:bottom w:val="none" w:sz="0" w:space="0" w:color="auto"/>
            <w:right w:val="none" w:sz="0" w:space="0" w:color="auto"/>
          </w:divBdr>
        </w:div>
        <w:div w:id="1098403697">
          <w:marLeft w:val="1166"/>
          <w:marRight w:val="0"/>
          <w:marTop w:val="0"/>
          <w:marBottom w:val="0"/>
          <w:divBdr>
            <w:top w:val="none" w:sz="0" w:space="0" w:color="auto"/>
            <w:left w:val="none" w:sz="0" w:space="0" w:color="auto"/>
            <w:bottom w:val="none" w:sz="0" w:space="0" w:color="auto"/>
            <w:right w:val="none" w:sz="0" w:space="0" w:color="auto"/>
          </w:divBdr>
        </w:div>
        <w:div w:id="1937404758">
          <w:marLeft w:val="1166"/>
          <w:marRight w:val="0"/>
          <w:marTop w:val="0"/>
          <w:marBottom w:val="0"/>
          <w:divBdr>
            <w:top w:val="none" w:sz="0" w:space="0" w:color="auto"/>
            <w:left w:val="none" w:sz="0" w:space="0" w:color="auto"/>
            <w:bottom w:val="none" w:sz="0" w:space="0" w:color="auto"/>
            <w:right w:val="none" w:sz="0" w:space="0" w:color="auto"/>
          </w:divBdr>
        </w:div>
        <w:div w:id="1483082623">
          <w:marLeft w:val="1166"/>
          <w:marRight w:val="0"/>
          <w:marTop w:val="0"/>
          <w:marBottom w:val="0"/>
          <w:divBdr>
            <w:top w:val="none" w:sz="0" w:space="0" w:color="auto"/>
            <w:left w:val="none" w:sz="0" w:space="0" w:color="auto"/>
            <w:bottom w:val="none" w:sz="0" w:space="0" w:color="auto"/>
            <w:right w:val="none" w:sz="0" w:space="0" w:color="auto"/>
          </w:divBdr>
        </w:div>
        <w:div w:id="1829324770">
          <w:marLeft w:val="1166"/>
          <w:marRight w:val="0"/>
          <w:marTop w:val="0"/>
          <w:marBottom w:val="0"/>
          <w:divBdr>
            <w:top w:val="none" w:sz="0" w:space="0" w:color="auto"/>
            <w:left w:val="none" w:sz="0" w:space="0" w:color="auto"/>
            <w:bottom w:val="none" w:sz="0" w:space="0" w:color="auto"/>
            <w:right w:val="none" w:sz="0" w:space="0" w:color="auto"/>
          </w:divBdr>
        </w:div>
        <w:div w:id="1826779129">
          <w:marLeft w:val="1166"/>
          <w:marRight w:val="0"/>
          <w:marTop w:val="0"/>
          <w:marBottom w:val="0"/>
          <w:divBdr>
            <w:top w:val="none" w:sz="0" w:space="0" w:color="auto"/>
            <w:left w:val="none" w:sz="0" w:space="0" w:color="auto"/>
            <w:bottom w:val="none" w:sz="0" w:space="0" w:color="auto"/>
            <w:right w:val="none" w:sz="0" w:space="0" w:color="auto"/>
          </w:divBdr>
        </w:div>
      </w:divsChild>
    </w:div>
    <w:div w:id="1263687661">
      <w:bodyDiv w:val="1"/>
      <w:marLeft w:val="0"/>
      <w:marRight w:val="0"/>
      <w:marTop w:val="0"/>
      <w:marBottom w:val="0"/>
      <w:divBdr>
        <w:top w:val="none" w:sz="0" w:space="0" w:color="auto"/>
        <w:left w:val="none" w:sz="0" w:space="0" w:color="auto"/>
        <w:bottom w:val="none" w:sz="0" w:space="0" w:color="auto"/>
        <w:right w:val="none" w:sz="0" w:space="0" w:color="auto"/>
      </w:divBdr>
    </w:div>
    <w:div w:id="1266696651">
      <w:bodyDiv w:val="1"/>
      <w:marLeft w:val="0"/>
      <w:marRight w:val="0"/>
      <w:marTop w:val="0"/>
      <w:marBottom w:val="0"/>
      <w:divBdr>
        <w:top w:val="none" w:sz="0" w:space="0" w:color="auto"/>
        <w:left w:val="none" w:sz="0" w:space="0" w:color="auto"/>
        <w:bottom w:val="none" w:sz="0" w:space="0" w:color="auto"/>
        <w:right w:val="none" w:sz="0" w:space="0" w:color="auto"/>
      </w:divBdr>
      <w:divsChild>
        <w:div w:id="72553923">
          <w:marLeft w:val="0"/>
          <w:marRight w:val="0"/>
          <w:marTop w:val="0"/>
          <w:marBottom w:val="0"/>
          <w:divBdr>
            <w:top w:val="none" w:sz="0" w:space="0" w:color="auto"/>
            <w:left w:val="none" w:sz="0" w:space="0" w:color="auto"/>
            <w:bottom w:val="none" w:sz="0" w:space="0" w:color="auto"/>
            <w:right w:val="none" w:sz="0" w:space="0" w:color="auto"/>
          </w:divBdr>
        </w:div>
        <w:div w:id="102773011">
          <w:marLeft w:val="0"/>
          <w:marRight w:val="0"/>
          <w:marTop w:val="0"/>
          <w:marBottom w:val="0"/>
          <w:divBdr>
            <w:top w:val="none" w:sz="0" w:space="0" w:color="auto"/>
            <w:left w:val="none" w:sz="0" w:space="0" w:color="auto"/>
            <w:bottom w:val="none" w:sz="0" w:space="0" w:color="auto"/>
            <w:right w:val="none" w:sz="0" w:space="0" w:color="auto"/>
          </w:divBdr>
        </w:div>
        <w:div w:id="243881422">
          <w:marLeft w:val="0"/>
          <w:marRight w:val="0"/>
          <w:marTop w:val="0"/>
          <w:marBottom w:val="0"/>
          <w:divBdr>
            <w:top w:val="none" w:sz="0" w:space="0" w:color="auto"/>
            <w:left w:val="none" w:sz="0" w:space="0" w:color="auto"/>
            <w:bottom w:val="none" w:sz="0" w:space="0" w:color="auto"/>
            <w:right w:val="none" w:sz="0" w:space="0" w:color="auto"/>
          </w:divBdr>
        </w:div>
        <w:div w:id="243927043">
          <w:marLeft w:val="0"/>
          <w:marRight w:val="0"/>
          <w:marTop w:val="0"/>
          <w:marBottom w:val="0"/>
          <w:divBdr>
            <w:top w:val="none" w:sz="0" w:space="0" w:color="auto"/>
            <w:left w:val="none" w:sz="0" w:space="0" w:color="auto"/>
            <w:bottom w:val="none" w:sz="0" w:space="0" w:color="auto"/>
            <w:right w:val="none" w:sz="0" w:space="0" w:color="auto"/>
          </w:divBdr>
        </w:div>
        <w:div w:id="453715278">
          <w:marLeft w:val="0"/>
          <w:marRight w:val="0"/>
          <w:marTop w:val="0"/>
          <w:marBottom w:val="0"/>
          <w:divBdr>
            <w:top w:val="none" w:sz="0" w:space="0" w:color="auto"/>
            <w:left w:val="none" w:sz="0" w:space="0" w:color="auto"/>
            <w:bottom w:val="none" w:sz="0" w:space="0" w:color="auto"/>
            <w:right w:val="none" w:sz="0" w:space="0" w:color="auto"/>
          </w:divBdr>
        </w:div>
        <w:div w:id="525604839">
          <w:marLeft w:val="0"/>
          <w:marRight w:val="0"/>
          <w:marTop w:val="0"/>
          <w:marBottom w:val="0"/>
          <w:divBdr>
            <w:top w:val="none" w:sz="0" w:space="0" w:color="auto"/>
            <w:left w:val="none" w:sz="0" w:space="0" w:color="auto"/>
            <w:bottom w:val="none" w:sz="0" w:space="0" w:color="auto"/>
            <w:right w:val="none" w:sz="0" w:space="0" w:color="auto"/>
          </w:divBdr>
        </w:div>
        <w:div w:id="599266442">
          <w:marLeft w:val="0"/>
          <w:marRight w:val="0"/>
          <w:marTop w:val="0"/>
          <w:marBottom w:val="0"/>
          <w:divBdr>
            <w:top w:val="none" w:sz="0" w:space="0" w:color="auto"/>
            <w:left w:val="none" w:sz="0" w:space="0" w:color="auto"/>
            <w:bottom w:val="none" w:sz="0" w:space="0" w:color="auto"/>
            <w:right w:val="none" w:sz="0" w:space="0" w:color="auto"/>
          </w:divBdr>
        </w:div>
        <w:div w:id="646133000">
          <w:marLeft w:val="0"/>
          <w:marRight w:val="0"/>
          <w:marTop w:val="0"/>
          <w:marBottom w:val="0"/>
          <w:divBdr>
            <w:top w:val="none" w:sz="0" w:space="0" w:color="auto"/>
            <w:left w:val="none" w:sz="0" w:space="0" w:color="auto"/>
            <w:bottom w:val="none" w:sz="0" w:space="0" w:color="auto"/>
            <w:right w:val="none" w:sz="0" w:space="0" w:color="auto"/>
          </w:divBdr>
        </w:div>
        <w:div w:id="789277040">
          <w:marLeft w:val="0"/>
          <w:marRight w:val="0"/>
          <w:marTop w:val="0"/>
          <w:marBottom w:val="0"/>
          <w:divBdr>
            <w:top w:val="none" w:sz="0" w:space="0" w:color="auto"/>
            <w:left w:val="none" w:sz="0" w:space="0" w:color="auto"/>
            <w:bottom w:val="none" w:sz="0" w:space="0" w:color="auto"/>
            <w:right w:val="none" w:sz="0" w:space="0" w:color="auto"/>
          </w:divBdr>
        </w:div>
        <w:div w:id="817384097">
          <w:marLeft w:val="0"/>
          <w:marRight w:val="0"/>
          <w:marTop w:val="0"/>
          <w:marBottom w:val="0"/>
          <w:divBdr>
            <w:top w:val="none" w:sz="0" w:space="0" w:color="auto"/>
            <w:left w:val="none" w:sz="0" w:space="0" w:color="auto"/>
            <w:bottom w:val="none" w:sz="0" w:space="0" w:color="auto"/>
            <w:right w:val="none" w:sz="0" w:space="0" w:color="auto"/>
          </w:divBdr>
        </w:div>
        <w:div w:id="1132214361">
          <w:marLeft w:val="0"/>
          <w:marRight w:val="0"/>
          <w:marTop w:val="0"/>
          <w:marBottom w:val="0"/>
          <w:divBdr>
            <w:top w:val="none" w:sz="0" w:space="0" w:color="auto"/>
            <w:left w:val="none" w:sz="0" w:space="0" w:color="auto"/>
            <w:bottom w:val="none" w:sz="0" w:space="0" w:color="auto"/>
            <w:right w:val="none" w:sz="0" w:space="0" w:color="auto"/>
          </w:divBdr>
        </w:div>
        <w:div w:id="1154101490">
          <w:marLeft w:val="0"/>
          <w:marRight w:val="0"/>
          <w:marTop w:val="0"/>
          <w:marBottom w:val="0"/>
          <w:divBdr>
            <w:top w:val="none" w:sz="0" w:space="0" w:color="auto"/>
            <w:left w:val="none" w:sz="0" w:space="0" w:color="auto"/>
            <w:bottom w:val="none" w:sz="0" w:space="0" w:color="auto"/>
            <w:right w:val="none" w:sz="0" w:space="0" w:color="auto"/>
          </w:divBdr>
        </w:div>
        <w:div w:id="1217665895">
          <w:marLeft w:val="0"/>
          <w:marRight w:val="0"/>
          <w:marTop w:val="0"/>
          <w:marBottom w:val="0"/>
          <w:divBdr>
            <w:top w:val="none" w:sz="0" w:space="0" w:color="auto"/>
            <w:left w:val="none" w:sz="0" w:space="0" w:color="auto"/>
            <w:bottom w:val="none" w:sz="0" w:space="0" w:color="auto"/>
            <w:right w:val="none" w:sz="0" w:space="0" w:color="auto"/>
          </w:divBdr>
        </w:div>
        <w:div w:id="1236165791">
          <w:marLeft w:val="0"/>
          <w:marRight w:val="0"/>
          <w:marTop w:val="0"/>
          <w:marBottom w:val="0"/>
          <w:divBdr>
            <w:top w:val="none" w:sz="0" w:space="0" w:color="auto"/>
            <w:left w:val="none" w:sz="0" w:space="0" w:color="auto"/>
            <w:bottom w:val="none" w:sz="0" w:space="0" w:color="auto"/>
            <w:right w:val="none" w:sz="0" w:space="0" w:color="auto"/>
          </w:divBdr>
        </w:div>
        <w:div w:id="1246105987">
          <w:marLeft w:val="0"/>
          <w:marRight w:val="0"/>
          <w:marTop w:val="0"/>
          <w:marBottom w:val="0"/>
          <w:divBdr>
            <w:top w:val="none" w:sz="0" w:space="0" w:color="auto"/>
            <w:left w:val="none" w:sz="0" w:space="0" w:color="auto"/>
            <w:bottom w:val="none" w:sz="0" w:space="0" w:color="auto"/>
            <w:right w:val="none" w:sz="0" w:space="0" w:color="auto"/>
          </w:divBdr>
        </w:div>
        <w:div w:id="1359694473">
          <w:marLeft w:val="0"/>
          <w:marRight w:val="0"/>
          <w:marTop w:val="0"/>
          <w:marBottom w:val="0"/>
          <w:divBdr>
            <w:top w:val="none" w:sz="0" w:space="0" w:color="auto"/>
            <w:left w:val="none" w:sz="0" w:space="0" w:color="auto"/>
            <w:bottom w:val="none" w:sz="0" w:space="0" w:color="auto"/>
            <w:right w:val="none" w:sz="0" w:space="0" w:color="auto"/>
          </w:divBdr>
        </w:div>
        <w:div w:id="1368405519">
          <w:marLeft w:val="0"/>
          <w:marRight w:val="0"/>
          <w:marTop w:val="0"/>
          <w:marBottom w:val="0"/>
          <w:divBdr>
            <w:top w:val="none" w:sz="0" w:space="0" w:color="auto"/>
            <w:left w:val="none" w:sz="0" w:space="0" w:color="auto"/>
            <w:bottom w:val="none" w:sz="0" w:space="0" w:color="auto"/>
            <w:right w:val="none" w:sz="0" w:space="0" w:color="auto"/>
          </w:divBdr>
        </w:div>
        <w:div w:id="1462576989">
          <w:marLeft w:val="0"/>
          <w:marRight w:val="0"/>
          <w:marTop w:val="0"/>
          <w:marBottom w:val="0"/>
          <w:divBdr>
            <w:top w:val="none" w:sz="0" w:space="0" w:color="auto"/>
            <w:left w:val="none" w:sz="0" w:space="0" w:color="auto"/>
            <w:bottom w:val="none" w:sz="0" w:space="0" w:color="auto"/>
            <w:right w:val="none" w:sz="0" w:space="0" w:color="auto"/>
          </w:divBdr>
        </w:div>
        <w:div w:id="1462846491">
          <w:marLeft w:val="0"/>
          <w:marRight w:val="0"/>
          <w:marTop w:val="0"/>
          <w:marBottom w:val="0"/>
          <w:divBdr>
            <w:top w:val="none" w:sz="0" w:space="0" w:color="auto"/>
            <w:left w:val="none" w:sz="0" w:space="0" w:color="auto"/>
            <w:bottom w:val="none" w:sz="0" w:space="0" w:color="auto"/>
            <w:right w:val="none" w:sz="0" w:space="0" w:color="auto"/>
          </w:divBdr>
        </w:div>
        <w:div w:id="1479876608">
          <w:marLeft w:val="0"/>
          <w:marRight w:val="0"/>
          <w:marTop w:val="0"/>
          <w:marBottom w:val="0"/>
          <w:divBdr>
            <w:top w:val="none" w:sz="0" w:space="0" w:color="auto"/>
            <w:left w:val="none" w:sz="0" w:space="0" w:color="auto"/>
            <w:bottom w:val="none" w:sz="0" w:space="0" w:color="auto"/>
            <w:right w:val="none" w:sz="0" w:space="0" w:color="auto"/>
          </w:divBdr>
        </w:div>
        <w:div w:id="1483086892">
          <w:marLeft w:val="0"/>
          <w:marRight w:val="0"/>
          <w:marTop w:val="0"/>
          <w:marBottom w:val="0"/>
          <w:divBdr>
            <w:top w:val="none" w:sz="0" w:space="0" w:color="auto"/>
            <w:left w:val="none" w:sz="0" w:space="0" w:color="auto"/>
            <w:bottom w:val="none" w:sz="0" w:space="0" w:color="auto"/>
            <w:right w:val="none" w:sz="0" w:space="0" w:color="auto"/>
          </w:divBdr>
        </w:div>
        <w:div w:id="1723358126">
          <w:marLeft w:val="0"/>
          <w:marRight w:val="0"/>
          <w:marTop w:val="0"/>
          <w:marBottom w:val="0"/>
          <w:divBdr>
            <w:top w:val="none" w:sz="0" w:space="0" w:color="auto"/>
            <w:left w:val="none" w:sz="0" w:space="0" w:color="auto"/>
            <w:bottom w:val="none" w:sz="0" w:space="0" w:color="auto"/>
            <w:right w:val="none" w:sz="0" w:space="0" w:color="auto"/>
          </w:divBdr>
        </w:div>
        <w:div w:id="1725368787">
          <w:marLeft w:val="0"/>
          <w:marRight w:val="0"/>
          <w:marTop w:val="0"/>
          <w:marBottom w:val="0"/>
          <w:divBdr>
            <w:top w:val="none" w:sz="0" w:space="0" w:color="auto"/>
            <w:left w:val="none" w:sz="0" w:space="0" w:color="auto"/>
            <w:bottom w:val="none" w:sz="0" w:space="0" w:color="auto"/>
            <w:right w:val="none" w:sz="0" w:space="0" w:color="auto"/>
          </w:divBdr>
        </w:div>
        <w:div w:id="1824853609">
          <w:marLeft w:val="0"/>
          <w:marRight w:val="0"/>
          <w:marTop w:val="0"/>
          <w:marBottom w:val="0"/>
          <w:divBdr>
            <w:top w:val="none" w:sz="0" w:space="0" w:color="auto"/>
            <w:left w:val="none" w:sz="0" w:space="0" w:color="auto"/>
            <w:bottom w:val="none" w:sz="0" w:space="0" w:color="auto"/>
            <w:right w:val="none" w:sz="0" w:space="0" w:color="auto"/>
          </w:divBdr>
        </w:div>
        <w:div w:id="1840196350">
          <w:marLeft w:val="0"/>
          <w:marRight w:val="0"/>
          <w:marTop w:val="0"/>
          <w:marBottom w:val="0"/>
          <w:divBdr>
            <w:top w:val="none" w:sz="0" w:space="0" w:color="auto"/>
            <w:left w:val="none" w:sz="0" w:space="0" w:color="auto"/>
            <w:bottom w:val="none" w:sz="0" w:space="0" w:color="auto"/>
            <w:right w:val="none" w:sz="0" w:space="0" w:color="auto"/>
          </w:divBdr>
        </w:div>
        <w:div w:id="1930962093">
          <w:marLeft w:val="0"/>
          <w:marRight w:val="0"/>
          <w:marTop w:val="0"/>
          <w:marBottom w:val="0"/>
          <w:divBdr>
            <w:top w:val="none" w:sz="0" w:space="0" w:color="auto"/>
            <w:left w:val="none" w:sz="0" w:space="0" w:color="auto"/>
            <w:bottom w:val="none" w:sz="0" w:space="0" w:color="auto"/>
            <w:right w:val="none" w:sz="0" w:space="0" w:color="auto"/>
          </w:divBdr>
        </w:div>
        <w:div w:id="1934779111">
          <w:marLeft w:val="0"/>
          <w:marRight w:val="0"/>
          <w:marTop w:val="0"/>
          <w:marBottom w:val="0"/>
          <w:divBdr>
            <w:top w:val="none" w:sz="0" w:space="0" w:color="auto"/>
            <w:left w:val="none" w:sz="0" w:space="0" w:color="auto"/>
            <w:bottom w:val="none" w:sz="0" w:space="0" w:color="auto"/>
            <w:right w:val="none" w:sz="0" w:space="0" w:color="auto"/>
          </w:divBdr>
        </w:div>
        <w:div w:id="2050375002">
          <w:marLeft w:val="0"/>
          <w:marRight w:val="0"/>
          <w:marTop w:val="0"/>
          <w:marBottom w:val="0"/>
          <w:divBdr>
            <w:top w:val="none" w:sz="0" w:space="0" w:color="auto"/>
            <w:left w:val="none" w:sz="0" w:space="0" w:color="auto"/>
            <w:bottom w:val="none" w:sz="0" w:space="0" w:color="auto"/>
            <w:right w:val="none" w:sz="0" w:space="0" w:color="auto"/>
          </w:divBdr>
        </w:div>
        <w:div w:id="2134059914">
          <w:marLeft w:val="0"/>
          <w:marRight w:val="0"/>
          <w:marTop w:val="0"/>
          <w:marBottom w:val="0"/>
          <w:divBdr>
            <w:top w:val="none" w:sz="0" w:space="0" w:color="auto"/>
            <w:left w:val="none" w:sz="0" w:space="0" w:color="auto"/>
            <w:bottom w:val="none" w:sz="0" w:space="0" w:color="auto"/>
            <w:right w:val="none" w:sz="0" w:space="0" w:color="auto"/>
          </w:divBdr>
        </w:div>
      </w:divsChild>
    </w:div>
    <w:div w:id="1270427070">
      <w:bodyDiv w:val="1"/>
      <w:marLeft w:val="0"/>
      <w:marRight w:val="0"/>
      <w:marTop w:val="0"/>
      <w:marBottom w:val="0"/>
      <w:divBdr>
        <w:top w:val="none" w:sz="0" w:space="0" w:color="auto"/>
        <w:left w:val="none" w:sz="0" w:space="0" w:color="auto"/>
        <w:bottom w:val="none" w:sz="0" w:space="0" w:color="auto"/>
        <w:right w:val="none" w:sz="0" w:space="0" w:color="auto"/>
      </w:divBdr>
    </w:div>
    <w:div w:id="1285772988">
      <w:bodyDiv w:val="1"/>
      <w:marLeft w:val="0"/>
      <w:marRight w:val="0"/>
      <w:marTop w:val="0"/>
      <w:marBottom w:val="0"/>
      <w:divBdr>
        <w:top w:val="none" w:sz="0" w:space="0" w:color="auto"/>
        <w:left w:val="none" w:sz="0" w:space="0" w:color="auto"/>
        <w:bottom w:val="none" w:sz="0" w:space="0" w:color="auto"/>
        <w:right w:val="none" w:sz="0" w:space="0" w:color="auto"/>
      </w:divBdr>
      <w:divsChild>
        <w:div w:id="560603416">
          <w:marLeft w:val="547"/>
          <w:marRight w:val="0"/>
          <w:marTop w:val="0"/>
          <w:marBottom w:val="0"/>
          <w:divBdr>
            <w:top w:val="none" w:sz="0" w:space="0" w:color="auto"/>
            <w:left w:val="none" w:sz="0" w:space="0" w:color="auto"/>
            <w:bottom w:val="none" w:sz="0" w:space="0" w:color="auto"/>
            <w:right w:val="none" w:sz="0" w:space="0" w:color="auto"/>
          </w:divBdr>
        </w:div>
        <w:div w:id="1420323059">
          <w:marLeft w:val="547"/>
          <w:marRight w:val="0"/>
          <w:marTop w:val="0"/>
          <w:marBottom w:val="0"/>
          <w:divBdr>
            <w:top w:val="none" w:sz="0" w:space="0" w:color="auto"/>
            <w:left w:val="none" w:sz="0" w:space="0" w:color="auto"/>
            <w:bottom w:val="none" w:sz="0" w:space="0" w:color="auto"/>
            <w:right w:val="none" w:sz="0" w:space="0" w:color="auto"/>
          </w:divBdr>
        </w:div>
        <w:div w:id="408967391">
          <w:marLeft w:val="547"/>
          <w:marRight w:val="0"/>
          <w:marTop w:val="0"/>
          <w:marBottom w:val="0"/>
          <w:divBdr>
            <w:top w:val="none" w:sz="0" w:space="0" w:color="auto"/>
            <w:left w:val="none" w:sz="0" w:space="0" w:color="auto"/>
            <w:bottom w:val="none" w:sz="0" w:space="0" w:color="auto"/>
            <w:right w:val="none" w:sz="0" w:space="0" w:color="auto"/>
          </w:divBdr>
        </w:div>
        <w:div w:id="1104300675">
          <w:marLeft w:val="547"/>
          <w:marRight w:val="0"/>
          <w:marTop w:val="0"/>
          <w:marBottom w:val="0"/>
          <w:divBdr>
            <w:top w:val="none" w:sz="0" w:space="0" w:color="auto"/>
            <w:left w:val="none" w:sz="0" w:space="0" w:color="auto"/>
            <w:bottom w:val="none" w:sz="0" w:space="0" w:color="auto"/>
            <w:right w:val="none" w:sz="0" w:space="0" w:color="auto"/>
          </w:divBdr>
        </w:div>
        <w:div w:id="99227306">
          <w:marLeft w:val="547"/>
          <w:marRight w:val="0"/>
          <w:marTop w:val="0"/>
          <w:marBottom w:val="0"/>
          <w:divBdr>
            <w:top w:val="none" w:sz="0" w:space="0" w:color="auto"/>
            <w:left w:val="none" w:sz="0" w:space="0" w:color="auto"/>
            <w:bottom w:val="none" w:sz="0" w:space="0" w:color="auto"/>
            <w:right w:val="none" w:sz="0" w:space="0" w:color="auto"/>
          </w:divBdr>
        </w:div>
        <w:div w:id="442500505">
          <w:marLeft w:val="547"/>
          <w:marRight w:val="0"/>
          <w:marTop w:val="0"/>
          <w:marBottom w:val="0"/>
          <w:divBdr>
            <w:top w:val="none" w:sz="0" w:space="0" w:color="auto"/>
            <w:left w:val="none" w:sz="0" w:space="0" w:color="auto"/>
            <w:bottom w:val="none" w:sz="0" w:space="0" w:color="auto"/>
            <w:right w:val="none" w:sz="0" w:space="0" w:color="auto"/>
          </w:divBdr>
        </w:div>
        <w:div w:id="1706590022">
          <w:marLeft w:val="547"/>
          <w:marRight w:val="0"/>
          <w:marTop w:val="0"/>
          <w:marBottom w:val="0"/>
          <w:divBdr>
            <w:top w:val="none" w:sz="0" w:space="0" w:color="auto"/>
            <w:left w:val="none" w:sz="0" w:space="0" w:color="auto"/>
            <w:bottom w:val="none" w:sz="0" w:space="0" w:color="auto"/>
            <w:right w:val="none" w:sz="0" w:space="0" w:color="auto"/>
          </w:divBdr>
        </w:div>
      </w:divsChild>
    </w:div>
    <w:div w:id="1301568245">
      <w:bodyDiv w:val="1"/>
      <w:marLeft w:val="0"/>
      <w:marRight w:val="0"/>
      <w:marTop w:val="0"/>
      <w:marBottom w:val="0"/>
      <w:divBdr>
        <w:top w:val="none" w:sz="0" w:space="0" w:color="auto"/>
        <w:left w:val="none" w:sz="0" w:space="0" w:color="auto"/>
        <w:bottom w:val="none" w:sz="0" w:space="0" w:color="auto"/>
        <w:right w:val="none" w:sz="0" w:space="0" w:color="auto"/>
      </w:divBdr>
      <w:divsChild>
        <w:div w:id="1955208335">
          <w:marLeft w:val="547"/>
          <w:marRight w:val="0"/>
          <w:marTop w:val="0"/>
          <w:marBottom w:val="0"/>
          <w:divBdr>
            <w:top w:val="none" w:sz="0" w:space="0" w:color="auto"/>
            <w:left w:val="none" w:sz="0" w:space="0" w:color="auto"/>
            <w:bottom w:val="none" w:sz="0" w:space="0" w:color="auto"/>
            <w:right w:val="none" w:sz="0" w:space="0" w:color="auto"/>
          </w:divBdr>
        </w:div>
        <w:div w:id="1713309631">
          <w:marLeft w:val="547"/>
          <w:marRight w:val="0"/>
          <w:marTop w:val="0"/>
          <w:marBottom w:val="0"/>
          <w:divBdr>
            <w:top w:val="none" w:sz="0" w:space="0" w:color="auto"/>
            <w:left w:val="none" w:sz="0" w:space="0" w:color="auto"/>
            <w:bottom w:val="none" w:sz="0" w:space="0" w:color="auto"/>
            <w:right w:val="none" w:sz="0" w:space="0" w:color="auto"/>
          </w:divBdr>
        </w:div>
        <w:div w:id="1524635248">
          <w:marLeft w:val="547"/>
          <w:marRight w:val="0"/>
          <w:marTop w:val="0"/>
          <w:marBottom w:val="0"/>
          <w:divBdr>
            <w:top w:val="none" w:sz="0" w:space="0" w:color="auto"/>
            <w:left w:val="none" w:sz="0" w:space="0" w:color="auto"/>
            <w:bottom w:val="none" w:sz="0" w:space="0" w:color="auto"/>
            <w:right w:val="none" w:sz="0" w:space="0" w:color="auto"/>
          </w:divBdr>
        </w:div>
        <w:div w:id="1464539940">
          <w:marLeft w:val="547"/>
          <w:marRight w:val="0"/>
          <w:marTop w:val="0"/>
          <w:marBottom w:val="0"/>
          <w:divBdr>
            <w:top w:val="none" w:sz="0" w:space="0" w:color="auto"/>
            <w:left w:val="none" w:sz="0" w:space="0" w:color="auto"/>
            <w:bottom w:val="none" w:sz="0" w:space="0" w:color="auto"/>
            <w:right w:val="none" w:sz="0" w:space="0" w:color="auto"/>
          </w:divBdr>
        </w:div>
      </w:divsChild>
    </w:div>
    <w:div w:id="1303803805">
      <w:bodyDiv w:val="1"/>
      <w:marLeft w:val="0"/>
      <w:marRight w:val="0"/>
      <w:marTop w:val="0"/>
      <w:marBottom w:val="0"/>
      <w:divBdr>
        <w:top w:val="none" w:sz="0" w:space="0" w:color="auto"/>
        <w:left w:val="none" w:sz="0" w:space="0" w:color="auto"/>
        <w:bottom w:val="none" w:sz="0" w:space="0" w:color="auto"/>
        <w:right w:val="none" w:sz="0" w:space="0" w:color="auto"/>
      </w:divBdr>
    </w:div>
    <w:div w:id="1306853995">
      <w:bodyDiv w:val="1"/>
      <w:marLeft w:val="0"/>
      <w:marRight w:val="0"/>
      <w:marTop w:val="0"/>
      <w:marBottom w:val="0"/>
      <w:divBdr>
        <w:top w:val="none" w:sz="0" w:space="0" w:color="auto"/>
        <w:left w:val="none" w:sz="0" w:space="0" w:color="auto"/>
        <w:bottom w:val="none" w:sz="0" w:space="0" w:color="auto"/>
        <w:right w:val="none" w:sz="0" w:space="0" w:color="auto"/>
      </w:divBdr>
    </w:div>
    <w:div w:id="1318069841">
      <w:bodyDiv w:val="1"/>
      <w:marLeft w:val="0"/>
      <w:marRight w:val="0"/>
      <w:marTop w:val="0"/>
      <w:marBottom w:val="0"/>
      <w:divBdr>
        <w:top w:val="none" w:sz="0" w:space="0" w:color="auto"/>
        <w:left w:val="none" w:sz="0" w:space="0" w:color="auto"/>
        <w:bottom w:val="none" w:sz="0" w:space="0" w:color="auto"/>
        <w:right w:val="none" w:sz="0" w:space="0" w:color="auto"/>
      </w:divBdr>
    </w:div>
    <w:div w:id="1320698012">
      <w:bodyDiv w:val="1"/>
      <w:marLeft w:val="0"/>
      <w:marRight w:val="0"/>
      <w:marTop w:val="0"/>
      <w:marBottom w:val="0"/>
      <w:divBdr>
        <w:top w:val="none" w:sz="0" w:space="0" w:color="auto"/>
        <w:left w:val="none" w:sz="0" w:space="0" w:color="auto"/>
        <w:bottom w:val="none" w:sz="0" w:space="0" w:color="auto"/>
        <w:right w:val="none" w:sz="0" w:space="0" w:color="auto"/>
      </w:divBdr>
    </w:div>
    <w:div w:id="1350525753">
      <w:bodyDiv w:val="1"/>
      <w:marLeft w:val="0"/>
      <w:marRight w:val="0"/>
      <w:marTop w:val="0"/>
      <w:marBottom w:val="0"/>
      <w:divBdr>
        <w:top w:val="none" w:sz="0" w:space="0" w:color="auto"/>
        <w:left w:val="none" w:sz="0" w:space="0" w:color="auto"/>
        <w:bottom w:val="none" w:sz="0" w:space="0" w:color="auto"/>
        <w:right w:val="none" w:sz="0" w:space="0" w:color="auto"/>
      </w:divBdr>
    </w:div>
    <w:div w:id="1353843564">
      <w:bodyDiv w:val="1"/>
      <w:marLeft w:val="0"/>
      <w:marRight w:val="0"/>
      <w:marTop w:val="0"/>
      <w:marBottom w:val="0"/>
      <w:divBdr>
        <w:top w:val="none" w:sz="0" w:space="0" w:color="auto"/>
        <w:left w:val="none" w:sz="0" w:space="0" w:color="auto"/>
        <w:bottom w:val="none" w:sz="0" w:space="0" w:color="auto"/>
        <w:right w:val="none" w:sz="0" w:space="0" w:color="auto"/>
      </w:divBdr>
    </w:div>
    <w:div w:id="1354645690">
      <w:bodyDiv w:val="1"/>
      <w:marLeft w:val="0"/>
      <w:marRight w:val="0"/>
      <w:marTop w:val="0"/>
      <w:marBottom w:val="0"/>
      <w:divBdr>
        <w:top w:val="none" w:sz="0" w:space="0" w:color="auto"/>
        <w:left w:val="none" w:sz="0" w:space="0" w:color="auto"/>
        <w:bottom w:val="none" w:sz="0" w:space="0" w:color="auto"/>
        <w:right w:val="none" w:sz="0" w:space="0" w:color="auto"/>
      </w:divBdr>
      <w:divsChild>
        <w:div w:id="685712674">
          <w:marLeft w:val="547"/>
          <w:marRight w:val="0"/>
          <w:marTop w:val="0"/>
          <w:marBottom w:val="0"/>
          <w:divBdr>
            <w:top w:val="none" w:sz="0" w:space="0" w:color="auto"/>
            <w:left w:val="none" w:sz="0" w:space="0" w:color="auto"/>
            <w:bottom w:val="none" w:sz="0" w:space="0" w:color="auto"/>
            <w:right w:val="none" w:sz="0" w:space="0" w:color="auto"/>
          </w:divBdr>
        </w:div>
        <w:div w:id="327296410">
          <w:marLeft w:val="547"/>
          <w:marRight w:val="0"/>
          <w:marTop w:val="0"/>
          <w:marBottom w:val="0"/>
          <w:divBdr>
            <w:top w:val="none" w:sz="0" w:space="0" w:color="auto"/>
            <w:left w:val="none" w:sz="0" w:space="0" w:color="auto"/>
            <w:bottom w:val="none" w:sz="0" w:space="0" w:color="auto"/>
            <w:right w:val="none" w:sz="0" w:space="0" w:color="auto"/>
          </w:divBdr>
        </w:div>
        <w:div w:id="573053851">
          <w:marLeft w:val="547"/>
          <w:marRight w:val="0"/>
          <w:marTop w:val="0"/>
          <w:marBottom w:val="0"/>
          <w:divBdr>
            <w:top w:val="none" w:sz="0" w:space="0" w:color="auto"/>
            <w:left w:val="none" w:sz="0" w:space="0" w:color="auto"/>
            <w:bottom w:val="none" w:sz="0" w:space="0" w:color="auto"/>
            <w:right w:val="none" w:sz="0" w:space="0" w:color="auto"/>
          </w:divBdr>
        </w:div>
        <w:div w:id="574973668">
          <w:marLeft w:val="547"/>
          <w:marRight w:val="0"/>
          <w:marTop w:val="0"/>
          <w:marBottom w:val="0"/>
          <w:divBdr>
            <w:top w:val="none" w:sz="0" w:space="0" w:color="auto"/>
            <w:left w:val="none" w:sz="0" w:space="0" w:color="auto"/>
            <w:bottom w:val="none" w:sz="0" w:space="0" w:color="auto"/>
            <w:right w:val="none" w:sz="0" w:space="0" w:color="auto"/>
          </w:divBdr>
        </w:div>
      </w:divsChild>
    </w:div>
    <w:div w:id="1364407582">
      <w:bodyDiv w:val="1"/>
      <w:marLeft w:val="0"/>
      <w:marRight w:val="0"/>
      <w:marTop w:val="0"/>
      <w:marBottom w:val="0"/>
      <w:divBdr>
        <w:top w:val="none" w:sz="0" w:space="0" w:color="auto"/>
        <w:left w:val="none" w:sz="0" w:space="0" w:color="auto"/>
        <w:bottom w:val="none" w:sz="0" w:space="0" w:color="auto"/>
        <w:right w:val="none" w:sz="0" w:space="0" w:color="auto"/>
      </w:divBdr>
    </w:div>
    <w:div w:id="1406756505">
      <w:bodyDiv w:val="1"/>
      <w:marLeft w:val="0"/>
      <w:marRight w:val="0"/>
      <w:marTop w:val="0"/>
      <w:marBottom w:val="0"/>
      <w:divBdr>
        <w:top w:val="none" w:sz="0" w:space="0" w:color="auto"/>
        <w:left w:val="none" w:sz="0" w:space="0" w:color="auto"/>
        <w:bottom w:val="none" w:sz="0" w:space="0" w:color="auto"/>
        <w:right w:val="none" w:sz="0" w:space="0" w:color="auto"/>
      </w:divBdr>
    </w:div>
    <w:div w:id="1467354175">
      <w:bodyDiv w:val="1"/>
      <w:marLeft w:val="0"/>
      <w:marRight w:val="0"/>
      <w:marTop w:val="0"/>
      <w:marBottom w:val="0"/>
      <w:divBdr>
        <w:top w:val="none" w:sz="0" w:space="0" w:color="auto"/>
        <w:left w:val="none" w:sz="0" w:space="0" w:color="auto"/>
        <w:bottom w:val="none" w:sz="0" w:space="0" w:color="auto"/>
        <w:right w:val="none" w:sz="0" w:space="0" w:color="auto"/>
      </w:divBdr>
      <w:divsChild>
        <w:div w:id="886062083">
          <w:marLeft w:val="547"/>
          <w:marRight w:val="0"/>
          <w:marTop w:val="0"/>
          <w:marBottom w:val="0"/>
          <w:divBdr>
            <w:top w:val="none" w:sz="0" w:space="0" w:color="auto"/>
            <w:left w:val="none" w:sz="0" w:space="0" w:color="auto"/>
            <w:bottom w:val="none" w:sz="0" w:space="0" w:color="auto"/>
            <w:right w:val="none" w:sz="0" w:space="0" w:color="auto"/>
          </w:divBdr>
        </w:div>
      </w:divsChild>
    </w:div>
    <w:div w:id="1479766083">
      <w:bodyDiv w:val="1"/>
      <w:marLeft w:val="0"/>
      <w:marRight w:val="0"/>
      <w:marTop w:val="0"/>
      <w:marBottom w:val="0"/>
      <w:divBdr>
        <w:top w:val="none" w:sz="0" w:space="0" w:color="auto"/>
        <w:left w:val="none" w:sz="0" w:space="0" w:color="auto"/>
        <w:bottom w:val="none" w:sz="0" w:space="0" w:color="auto"/>
        <w:right w:val="none" w:sz="0" w:space="0" w:color="auto"/>
      </w:divBdr>
    </w:div>
    <w:div w:id="1491676629">
      <w:bodyDiv w:val="1"/>
      <w:marLeft w:val="0"/>
      <w:marRight w:val="0"/>
      <w:marTop w:val="0"/>
      <w:marBottom w:val="0"/>
      <w:divBdr>
        <w:top w:val="none" w:sz="0" w:space="0" w:color="auto"/>
        <w:left w:val="none" w:sz="0" w:space="0" w:color="auto"/>
        <w:bottom w:val="none" w:sz="0" w:space="0" w:color="auto"/>
        <w:right w:val="none" w:sz="0" w:space="0" w:color="auto"/>
      </w:divBdr>
    </w:div>
    <w:div w:id="1516266755">
      <w:bodyDiv w:val="1"/>
      <w:marLeft w:val="0"/>
      <w:marRight w:val="0"/>
      <w:marTop w:val="0"/>
      <w:marBottom w:val="0"/>
      <w:divBdr>
        <w:top w:val="none" w:sz="0" w:space="0" w:color="auto"/>
        <w:left w:val="none" w:sz="0" w:space="0" w:color="auto"/>
        <w:bottom w:val="none" w:sz="0" w:space="0" w:color="auto"/>
        <w:right w:val="none" w:sz="0" w:space="0" w:color="auto"/>
      </w:divBdr>
    </w:div>
    <w:div w:id="1520777413">
      <w:bodyDiv w:val="1"/>
      <w:marLeft w:val="0"/>
      <w:marRight w:val="0"/>
      <w:marTop w:val="0"/>
      <w:marBottom w:val="0"/>
      <w:divBdr>
        <w:top w:val="none" w:sz="0" w:space="0" w:color="auto"/>
        <w:left w:val="none" w:sz="0" w:space="0" w:color="auto"/>
        <w:bottom w:val="none" w:sz="0" w:space="0" w:color="auto"/>
        <w:right w:val="none" w:sz="0" w:space="0" w:color="auto"/>
      </w:divBdr>
    </w:div>
    <w:div w:id="1522278594">
      <w:bodyDiv w:val="1"/>
      <w:marLeft w:val="0"/>
      <w:marRight w:val="0"/>
      <w:marTop w:val="0"/>
      <w:marBottom w:val="0"/>
      <w:divBdr>
        <w:top w:val="none" w:sz="0" w:space="0" w:color="auto"/>
        <w:left w:val="none" w:sz="0" w:space="0" w:color="auto"/>
        <w:bottom w:val="none" w:sz="0" w:space="0" w:color="auto"/>
        <w:right w:val="none" w:sz="0" w:space="0" w:color="auto"/>
      </w:divBdr>
    </w:div>
    <w:div w:id="1544368271">
      <w:bodyDiv w:val="1"/>
      <w:marLeft w:val="0"/>
      <w:marRight w:val="0"/>
      <w:marTop w:val="0"/>
      <w:marBottom w:val="0"/>
      <w:divBdr>
        <w:top w:val="none" w:sz="0" w:space="0" w:color="auto"/>
        <w:left w:val="none" w:sz="0" w:space="0" w:color="auto"/>
        <w:bottom w:val="none" w:sz="0" w:space="0" w:color="auto"/>
        <w:right w:val="none" w:sz="0" w:space="0" w:color="auto"/>
      </w:divBdr>
    </w:div>
    <w:div w:id="1579484921">
      <w:bodyDiv w:val="1"/>
      <w:marLeft w:val="0"/>
      <w:marRight w:val="0"/>
      <w:marTop w:val="0"/>
      <w:marBottom w:val="0"/>
      <w:divBdr>
        <w:top w:val="none" w:sz="0" w:space="0" w:color="auto"/>
        <w:left w:val="none" w:sz="0" w:space="0" w:color="auto"/>
        <w:bottom w:val="none" w:sz="0" w:space="0" w:color="auto"/>
        <w:right w:val="none" w:sz="0" w:space="0" w:color="auto"/>
      </w:divBdr>
    </w:div>
    <w:div w:id="1590385442">
      <w:bodyDiv w:val="1"/>
      <w:marLeft w:val="0"/>
      <w:marRight w:val="0"/>
      <w:marTop w:val="0"/>
      <w:marBottom w:val="0"/>
      <w:divBdr>
        <w:top w:val="none" w:sz="0" w:space="0" w:color="auto"/>
        <w:left w:val="none" w:sz="0" w:space="0" w:color="auto"/>
        <w:bottom w:val="none" w:sz="0" w:space="0" w:color="auto"/>
        <w:right w:val="none" w:sz="0" w:space="0" w:color="auto"/>
      </w:divBdr>
    </w:div>
    <w:div w:id="1622612504">
      <w:bodyDiv w:val="1"/>
      <w:marLeft w:val="0"/>
      <w:marRight w:val="0"/>
      <w:marTop w:val="0"/>
      <w:marBottom w:val="0"/>
      <w:divBdr>
        <w:top w:val="none" w:sz="0" w:space="0" w:color="auto"/>
        <w:left w:val="none" w:sz="0" w:space="0" w:color="auto"/>
        <w:bottom w:val="none" w:sz="0" w:space="0" w:color="auto"/>
        <w:right w:val="none" w:sz="0" w:space="0" w:color="auto"/>
      </w:divBdr>
    </w:div>
    <w:div w:id="1624649270">
      <w:bodyDiv w:val="1"/>
      <w:marLeft w:val="0"/>
      <w:marRight w:val="0"/>
      <w:marTop w:val="0"/>
      <w:marBottom w:val="0"/>
      <w:divBdr>
        <w:top w:val="none" w:sz="0" w:space="0" w:color="auto"/>
        <w:left w:val="none" w:sz="0" w:space="0" w:color="auto"/>
        <w:bottom w:val="none" w:sz="0" w:space="0" w:color="auto"/>
        <w:right w:val="none" w:sz="0" w:space="0" w:color="auto"/>
      </w:divBdr>
      <w:divsChild>
        <w:div w:id="1670715192">
          <w:marLeft w:val="0"/>
          <w:marRight w:val="0"/>
          <w:marTop w:val="0"/>
          <w:marBottom w:val="0"/>
          <w:divBdr>
            <w:top w:val="none" w:sz="0" w:space="0" w:color="auto"/>
            <w:left w:val="none" w:sz="0" w:space="0" w:color="auto"/>
            <w:bottom w:val="none" w:sz="0" w:space="0" w:color="auto"/>
            <w:right w:val="none" w:sz="0" w:space="0" w:color="auto"/>
          </w:divBdr>
          <w:divsChild>
            <w:div w:id="1853255427">
              <w:marLeft w:val="0"/>
              <w:marRight w:val="0"/>
              <w:marTop w:val="0"/>
              <w:marBottom w:val="0"/>
              <w:divBdr>
                <w:top w:val="none" w:sz="0" w:space="0" w:color="auto"/>
                <w:left w:val="none" w:sz="0" w:space="0" w:color="auto"/>
                <w:bottom w:val="none" w:sz="0" w:space="0" w:color="auto"/>
                <w:right w:val="none" w:sz="0" w:space="0" w:color="auto"/>
              </w:divBdr>
              <w:divsChild>
                <w:div w:id="905842815">
                  <w:marLeft w:val="0"/>
                  <w:marRight w:val="0"/>
                  <w:marTop w:val="0"/>
                  <w:marBottom w:val="300"/>
                  <w:divBdr>
                    <w:top w:val="none" w:sz="0" w:space="0" w:color="auto"/>
                    <w:left w:val="none" w:sz="0" w:space="0" w:color="auto"/>
                    <w:bottom w:val="none" w:sz="0" w:space="0" w:color="auto"/>
                    <w:right w:val="none" w:sz="0" w:space="0" w:color="auto"/>
                  </w:divBdr>
                  <w:divsChild>
                    <w:div w:id="1809668220">
                      <w:marLeft w:val="0"/>
                      <w:marRight w:val="0"/>
                      <w:marTop w:val="0"/>
                      <w:marBottom w:val="0"/>
                      <w:divBdr>
                        <w:top w:val="none" w:sz="0" w:space="0" w:color="auto"/>
                        <w:left w:val="none" w:sz="0" w:space="0" w:color="auto"/>
                        <w:bottom w:val="none" w:sz="0" w:space="0" w:color="auto"/>
                        <w:right w:val="none" w:sz="0" w:space="0" w:color="auto"/>
                      </w:divBdr>
                      <w:divsChild>
                        <w:div w:id="1388643708">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835147264">
                  <w:marLeft w:val="0"/>
                  <w:marRight w:val="0"/>
                  <w:marTop w:val="0"/>
                  <w:marBottom w:val="300"/>
                  <w:divBdr>
                    <w:top w:val="none" w:sz="0" w:space="0" w:color="auto"/>
                    <w:left w:val="none" w:sz="0" w:space="0" w:color="auto"/>
                    <w:bottom w:val="none" w:sz="0" w:space="0" w:color="auto"/>
                    <w:right w:val="none" w:sz="0" w:space="0" w:color="auto"/>
                  </w:divBdr>
                  <w:divsChild>
                    <w:div w:id="670377894">
                      <w:marLeft w:val="0"/>
                      <w:marRight w:val="0"/>
                      <w:marTop w:val="0"/>
                      <w:marBottom w:val="0"/>
                      <w:divBdr>
                        <w:top w:val="none" w:sz="0" w:space="0" w:color="auto"/>
                        <w:left w:val="none" w:sz="0" w:space="0" w:color="auto"/>
                        <w:bottom w:val="none" w:sz="0" w:space="0" w:color="auto"/>
                        <w:right w:val="none" w:sz="0" w:space="0" w:color="auto"/>
                      </w:divBdr>
                      <w:divsChild>
                        <w:div w:id="17860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941798">
          <w:marLeft w:val="0"/>
          <w:marRight w:val="0"/>
          <w:marTop w:val="0"/>
          <w:marBottom w:val="0"/>
          <w:divBdr>
            <w:top w:val="none" w:sz="0" w:space="0" w:color="auto"/>
            <w:left w:val="none" w:sz="0" w:space="0" w:color="auto"/>
            <w:bottom w:val="none" w:sz="0" w:space="0" w:color="auto"/>
            <w:right w:val="none" w:sz="0" w:space="0" w:color="auto"/>
          </w:divBdr>
          <w:divsChild>
            <w:div w:id="433406874">
              <w:marLeft w:val="0"/>
              <w:marRight w:val="0"/>
              <w:marTop w:val="0"/>
              <w:marBottom w:val="0"/>
              <w:divBdr>
                <w:top w:val="none" w:sz="0" w:space="0" w:color="auto"/>
                <w:left w:val="none" w:sz="0" w:space="0" w:color="auto"/>
                <w:bottom w:val="none" w:sz="0" w:space="0" w:color="auto"/>
                <w:right w:val="none" w:sz="0" w:space="0" w:color="auto"/>
              </w:divBdr>
              <w:divsChild>
                <w:div w:id="1894389847">
                  <w:marLeft w:val="0"/>
                  <w:marRight w:val="0"/>
                  <w:marTop w:val="0"/>
                  <w:marBottom w:val="300"/>
                  <w:divBdr>
                    <w:top w:val="none" w:sz="0" w:space="0" w:color="auto"/>
                    <w:left w:val="none" w:sz="0" w:space="0" w:color="auto"/>
                    <w:bottom w:val="none" w:sz="0" w:space="0" w:color="auto"/>
                    <w:right w:val="none" w:sz="0" w:space="0" w:color="auto"/>
                  </w:divBdr>
                  <w:divsChild>
                    <w:div w:id="131943155">
                      <w:marLeft w:val="0"/>
                      <w:marRight w:val="0"/>
                      <w:marTop w:val="0"/>
                      <w:marBottom w:val="0"/>
                      <w:divBdr>
                        <w:top w:val="none" w:sz="0" w:space="0" w:color="auto"/>
                        <w:left w:val="none" w:sz="0" w:space="0" w:color="auto"/>
                        <w:bottom w:val="none" w:sz="0" w:space="0" w:color="auto"/>
                        <w:right w:val="none" w:sz="0" w:space="0" w:color="auto"/>
                      </w:divBdr>
                      <w:divsChild>
                        <w:div w:id="1619334936">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1267032692">
                  <w:marLeft w:val="0"/>
                  <w:marRight w:val="0"/>
                  <w:marTop w:val="0"/>
                  <w:marBottom w:val="300"/>
                  <w:divBdr>
                    <w:top w:val="none" w:sz="0" w:space="0" w:color="auto"/>
                    <w:left w:val="none" w:sz="0" w:space="0" w:color="auto"/>
                    <w:bottom w:val="none" w:sz="0" w:space="0" w:color="auto"/>
                    <w:right w:val="none" w:sz="0" w:space="0" w:color="auto"/>
                  </w:divBdr>
                  <w:divsChild>
                    <w:div w:id="941303783">
                      <w:marLeft w:val="0"/>
                      <w:marRight w:val="0"/>
                      <w:marTop w:val="0"/>
                      <w:marBottom w:val="0"/>
                      <w:divBdr>
                        <w:top w:val="none" w:sz="0" w:space="0" w:color="auto"/>
                        <w:left w:val="none" w:sz="0" w:space="0" w:color="auto"/>
                        <w:bottom w:val="none" w:sz="0" w:space="0" w:color="auto"/>
                        <w:right w:val="none" w:sz="0" w:space="0" w:color="auto"/>
                      </w:divBdr>
                      <w:divsChild>
                        <w:div w:id="88410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262112">
          <w:marLeft w:val="0"/>
          <w:marRight w:val="0"/>
          <w:marTop w:val="0"/>
          <w:marBottom w:val="0"/>
          <w:divBdr>
            <w:top w:val="none" w:sz="0" w:space="0" w:color="auto"/>
            <w:left w:val="none" w:sz="0" w:space="0" w:color="auto"/>
            <w:bottom w:val="none" w:sz="0" w:space="0" w:color="auto"/>
            <w:right w:val="none" w:sz="0" w:space="0" w:color="auto"/>
          </w:divBdr>
          <w:divsChild>
            <w:div w:id="1767385857">
              <w:marLeft w:val="0"/>
              <w:marRight w:val="0"/>
              <w:marTop w:val="0"/>
              <w:marBottom w:val="0"/>
              <w:divBdr>
                <w:top w:val="none" w:sz="0" w:space="0" w:color="auto"/>
                <w:left w:val="none" w:sz="0" w:space="0" w:color="auto"/>
                <w:bottom w:val="none" w:sz="0" w:space="0" w:color="auto"/>
                <w:right w:val="none" w:sz="0" w:space="0" w:color="auto"/>
              </w:divBdr>
              <w:divsChild>
                <w:div w:id="1486972346">
                  <w:marLeft w:val="0"/>
                  <w:marRight w:val="0"/>
                  <w:marTop w:val="0"/>
                  <w:marBottom w:val="300"/>
                  <w:divBdr>
                    <w:top w:val="none" w:sz="0" w:space="0" w:color="auto"/>
                    <w:left w:val="none" w:sz="0" w:space="0" w:color="auto"/>
                    <w:bottom w:val="none" w:sz="0" w:space="0" w:color="auto"/>
                    <w:right w:val="none" w:sz="0" w:space="0" w:color="auto"/>
                  </w:divBdr>
                  <w:divsChild>
                    <w:div w:id="380831620">
                      <w:marLeft w:val="0"/>
                      <w:marRight w:val="0"/>
                      <w:marTop w:val="0"/>
                      <w:marBottom w:val="0"/>
                      <w:divBdr>
                        <w:top w:val="none" w:sz="0" w:space="0" w:color="auto"/>
                        <w:left w:val="none" w:sz="0" w:space="0" w:color="auto"/>
                        <w:bottom w:val="none" w:sz="0" w:space="0" w:color="auto"/>
                        <w:right w:val="none" w:sz="0" w:space="0" w:color="auto"/>
                      </w:divBdr>
                      <w:divsChild>
                        <w:div w:id="2060667703">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304162021">
                  <w:marLeft w:val="0"/>
                  <w:marRight w:val="0"/>
                  <w:marTop w:val="0"/>
                  <w:marBottom w:val="300"/>
                  <w:divBdr>
                    <w:top w:val="none" w:sz="0" w:space="0" w:color="auto"/>
                    <w:left w:val="none" w:sz="0" w:space="0" w:color="auto"/>
                    <w:bottom w:val="none" w:sz="0" w:space="0" w:color="auto"/>
                    <w:right w:val="none" w:sz="0" w:space="0" w:color="auto"/>
                  </w:divBdr>
                  <w:divsChild>
                    <w:div w:id="1694116270">
                      <w:marLeft w:val="0"/>
                      <w:marRight w:val="0"/>
                      <w:marTop w:val="0"/>
                      <w:marBottom w:val="0"/>
                      <w:divBdr>
                        <w:top w:val="none" w:sz="0" w:space="0" w:color="auto"/>
                        <w:left w:val="none" w:sz="0" w:space="0" w:color="auto"/>
                        <w:bottom w:val="none" w:sz="0" w:space="0" w:color="auto"/>
                        <w:right w:val="none" w:sz="0" w:space="0" w:color="auto"/>
                      </w:divBdr>
                      <w:divsChild>
                        <w:div w:id="84937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661584">
          <w:marLeft w:val="0"/>
          <w:marRight w:val="0"/>
          <w:marTop w:val="0"/>
          <w:marBottom w:val="0"/>
          <w:divBdr>
            <w:top w:val="none" w:sz="0" w:space="0" w:color="auto"/>
            <w:left w:val="none" w:sz="0" w:space="0" w:color="auto"/>
            <w:bottom w:val="none" w:sz="0" w:space="0" w:color="auto"/>
            <w:right w:val="none" w:sz="0" w:space="0" w:color="auto"/>
          </w:divBdr>
          <w:divsChild>
            <w:div w:id="114258023">
              <w:marLeft w:val="0"/>
              <w:marRight w:val="0"/>
              <w:marTop w:val="0"/>
              <w:marBottom w:val="0"/>
              <w:divBdr>
                <w:top w:val="none" w:sz="0" w:space="0" w:color="auto"/>
                <w:left w:val="none" w:sz="0" w:space="0" w:color="auto"/>
                <w:bottom w:val="none" w:sz="0" w:space="0" w:color="auto"/>
                <w:right w:val="none" w:sz="0" w:space="0" w:color="auto"/>
              </w:divBdr>
              <w:divsChild>
                <w:div w:id="1962956846">
                  <w:marLeft w:val="0"/>
                  <w:marRight w:val="0"/>
                  <w:marTop w:val="0"/>
                  <w:marBottom w:val="300"/>
                  <w:divBdr>
                    <w:top w:val="none" w:sz="0" w:space="0" w:color="auto"/>
                    <w:left w:val="none" w:sz="0" w:space="0" w:color="auto"/>
                    <w:bottom w:val="none" w:sz="0" w:space="0" w:color="auto"/>
                    <w:right w:val="none" w:sz="0" w:space="0" w:color="auto"/>
                  </w:divBdr>
                  <w:divsChild>
                    <w:div w:id="1277174099">
                      <w:marLeft w:val="0"/>
                      <w:marRight w:val="0"/>
                      <w:marTop w:val="0"/>
                      <w:marBottom w:val="0"/>
                      <w:divBdr>
                        <w:top w:val="none" w:sz="0" w:space="0" w:color="auto"/>
                        <w:left w:val="none" w:sz="0" w:space="0" w:color="auto"/>
                        <w:bottom w:val="none" w:sz="0" w:space="0" w:color="auto"/>
                        <w:right w:val="none" w:sz="0" w:space="0" w:color="auto"/>
                      </w:divBdr>
                      <w:divsChild>
                        <w:div w:id="2128507393">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225536705">
                  <w:marLeft w:val="0"/>
                  <w:marRight w:val="0"/>
                  <w:marTop w:val="0"/>
                  <w:marBottom w:val="300"/>
                  <w:divBdr>
                    <w:top w:val="none" w:sz="0" w:space="0" w:color="auto"/>
                    <w:left w:val="none" w:sz="0" w:space="0" w:color="auto"/>
                    <w:bottom w:val="none" w:sz="0" w:space="0" w:color="auto"/>
                    <w:right w:val="none" w:sz="0" w:space="0" w:color="auto"/>
                  </w:divBdr>
                  <w:divsChild>
                    <w:div w:id="475152242">
                      <w:marLeft w:val="0"/>
                      <w:marRight w:val="0"/>
                      <w:marTop w:val="0"/>
                      <w:marBottom w:val="0"/>
                      <w:divBdr>
                        <w:top w:val="none" w:sz="0" w:space="0" w:color="auto"/>
                        <w:left w:val="none" w:sz="0" w:space="0" w:color="auto"/>
                        <w:bottom w:val="none" w:sz="0" w:space="0" w:color="auto"/>
                        <w:right w:val="none" w:sz="0" w:space="0" w:color="auto"/>
                      </w:divBdr>
                      <w:divsChild>
                        <w:div w:id="96288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077343">
          <w:marLeft w:val="0"/>
          <w:marRight w:val="0"/>
          <w:marTop w:val="0"/>
          <w:marBottom w:val="0"/>
          <w:divBdr>
            <w:top w:val="none" w:sz="0" w:space="0" w:color="auto"/>
            <w:left w:val="none" w:sz="0" w:space="0" w:color="auto"/>
            <w:bottom w:val="none" w:sz="0" w:space="0" w:color="auto"/>
            <w:right w:val="none" w:sz="0" w:space="0" w:color="auto"/>
          </w:divBdr>
          <w:divsChild>
            <w:div w:id="1028217092">
              <w:marLeft w:val="0"/>
              <w:marRight w:val="0"/>
              <w:marTop w:val="0"/>
              <w:marBottom w:val="0"/>
              <w:divBdr>
                <w:top w:val="none" w:sz="0" w:space="0" w:color="auto"/>
                <w:left w:val="none" w:sz="0" w:space="0" w:color="auto"/>
                <w:bottom w:val="none" w:sz="0" w:space="0" w:color="auto"/>
                <w:right w:val="none" w:sz="0" w:space="0" w:color="auto"/>
              </w:divBdr>
              <w:divsChild>
                <w:div w:id="1106118509">
                  <w:marLeft w:val="0"/>
                  <w:marRight w:val="0"/>
                  <w:marTop w:val="0"/>
                  <w:marBottom w:val="300"/>
                  <w:divBdr>
                    <w:top w:val="none" w:sz="0" w:space="0" w:color="auto"/>
                    <w:left w:val="none" w:sz="0" w:space="0" w:color="auto"/>
                    <w:bottom w:val="none" w:sz="0" w:space="0" w:color="auto"/>
                    <w:right w:val="none" w:sz="0" w:space="0" w:color="auto"/>
                  </w:divBdr>
                  <w:divsChild>
                    <w:div w:id="92670425">
                      <w:marLeft w:val="0"/>
                      <w:marRight w:val="0"/>
                      <w:marTop w:val="0"/>
                      <w:marBottom w:val="0"/>
                      <w:divBdr>
                        <w:top w:val="none" w:sz="0" w:space="0" w:color="auto"/>
                        <w:left w:val="none" w:sz="0" w:space="0" w:color="auto"/>
                        <w:bottom w:val="none" w:sz="0" w:space="0" w:color="auto"/>
                        <w:right w:val="none" w:sz="0" w:space="0" w:color="auto"/>
                      </w:divBdr>
                      <w:divsChild>
                        <w:div w:id="1139610375">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1902520064">
                  <w:marLeft w:val="0"/>
                  <w:marRight w:val="0"/>
                  <w:marTop w:val="0"/>
                  <w:marBottom w:val="300"/>
                  <w:divBdr>
                    <w:top w:val="none" w:sz="0" w:space="0" w:color="auto"/>
                    <w:left w:val="none" w:sz="0" w:space="0" w:color="auto"/>
                    <w:bottom w:val="none" w:sz="0" w:space="0" w:color="auto"/>
                    <w:right w:val="none" w:sz="0" w:space="0" w:color="auto"/>
                  </w:divBdr>
                  <w:divsChild>
                    <w:div w:id="1078215891">
                      <w:marLeft w:val="0"/>
                      <w:marRight w:val="0"/>
                      <w:marTop w:val="0"/>
                      <w:marBottom w:val="0"/>
                      <w:divBdr>
                        <w:top w:val="none" w:sz="0" w:space="0" w:color="auto"/>
                        <w:left w:val="none" w:sz="0" w:space="0" w:color="auto"/>
                        <w:bottom w:val="none" w:sz="0" w:space="0" w:color="auto"/>
                        <w:right w:val="none" w:sz="0" w:space="0" w:color="auto"/>
                      </w:divBdr>
                      <w:divsChild>
                        <w:div w:id="17068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931219">
      <w:bodyDiv w:val="1"/>
      <w:marLeft w:val="0"/>
      <w:marRight w:val="0"/>
      <w:marTop w:val="0"/>
      <w:marBottom w:val="0"/>
      <w:divBdr>
        <w:top w:val="none" w:sz="0" w:space="0" w:color="auto"/>
        <w:left w:val="none" w:sz="0" w:space="0" w:color="auto"/>
        <w:bottom w:val="none" w:sz="0" w:space="0" w:color="auto"/>
        <w:right w:val="none" w:sz="0" w:space="0" w:color="auto"/>
      </w:divBdr>
    </w:div>
    <w:div w:id="1639604588">
      <w:bodyDiv w:val="1"/>
      <w:marLeft w:val="0"/>
      <w:marRight w:val="0"/>
      <w:marTop w:val="0"/>
      <w:marBottom w:val="0"/>
      <w:divBdr>
        <w:top w:val="none" w:sz="0" w:space="0" w:color="auto"/>
        <w:left w:val="none" w:sz="0" w:space="0" w:color="auto"/>
        <w:bottom w:val="none" w:sz="0" w:space="0" w:color="auto"/>
        <w:right w:val="none" w:sz="0" w:space="0" w:color="auto"/>
      </w:divBdr>
    </w:div>
    <w:div w:id="1646473852">
      <w:bodyDiv w:val="1"/>
      <w:marLeft w:val="0"/>
      <w:marRight w:val="0"/>
      <w:marTop w:val="0"/>
      <w:marBottom w:val="0"/>
      <w:divBdr>
        <w:top w:val="none" w:sz="0" w:space="0" w:color="auto"/>
        <w:left w:val="none" w:sz="0" w:space="0" w:color="auto"/>
        <w:bottom w:val="none" w:sz="0" w:space="0" w:color="auto"/>
        <w:right w:val="none" w:sz="0" w:space="0" w:color="auto"/>
      </w:divBdr>
    </w:div>
    <w:div w:id="1649743777">
      <w:bodyDiv w:val="1"/>
      <w:marLeft w:val="0"/>
      <w:marRight w:val="0"/>
      <w:marTop w:val="0"/>
      <w:marBottom w:val="0"/>
      <w:divBdr>
        <w:top w:val="none" w:sz="0" w:space="0" w:color="auto"/>
        <w:left w:val="none" w:sz="0" w:space="0" w:color="auto"/>
        <w:bottom w:val="none" w:sz="0" w:space="0" w:color="auto"/>
        <w:right w:val="none" w:sz="0" w:space="0" w:color="auto"/>
      </w:divBdr>
    </w:div>
    <w:div w:id="1652978089">
      <w:bodyDiv w:val="1"/>
      <w:marLeft w:val="0"/>
      <w:marRight w:val="0"/>
      <w:marTop w:val="0"/>
      <w:marBottom w:val="0"/>
      <w:divBdr>
        <w:top w:val="none" w:sz="0" w:space="0" w:color="auto"/>
        <w:left w:val="none" w:sz="0" w:space="0" w:color="auto"/>
        <w:bottom w:val="none" w:sz="0" w:space="0" w:color="auto"/>
        <w:right w:val="none" w:sz="0" w:space="0" w:color="auto"/>
      </w:divBdr>
    </w:div>
    <w:div w:id="1662268049">
      <w:bodyDiv w:val="1"/>
      <w:marLeft w:val="0"/>
      <w:marRight w:val="0"/>
      <w:marTop w:val="0"/>
      <w:marBottom w:val="0"/>
      <w:divBdr>
        <w:top w:val="none" w:sz="0" w:space="0" w:color="auto"/>
        <w:left w:val="none" w:sz="0" w:space="0" w:color="auto"/>
        <w:bottom w:val="none" w:sz="0" w:space="0" w:color="auto"/>
        <w:right w:val="none" w:sz="0" w:space="0" w:color="auto"/>
      </w:divBdr>
    </w:div>
    <w:div w:id="1671910409">
      <w:bodyDiv w:val="1"/>
      <w:marLeft w:val="0"/>
      <w:marRight w:val="0"/>
      <w:marTop w:val="0"/>
      <w:marBottom w:val="0"/>
      <w:divBdr>
        <w:top w:val="none" w:sz="0" w:space="0" w:color="auto"/>
        <w:left w:val="none" w:sz="0" w:space="0" w:color="auto"/>
        <w:bottom w:val="none" w:sz="0" w:space="0" w:color="auto"/>
        <w:right w:val="none" w:sz="0" w:space="0" w:color="auto"/>
      </w:divBdr>
      <w:divsChild>
        <w:div w:id="298078408">
          <w:marLeft w:val="547"/>
          <w:marRight w:val="0"/>
          <w:marTop w:val="0"/>
          <w:marBottom w:val="0"/>
          <w:divBdr>
            <w:top w:val="none" w:sz="0" w:space="0" w:color="auto"/>
            <w:left w:val="none" w:sz="0" w:space="0" w:color="auto"/>
            <w:bottom w:val="none" w:sz="0" w:space="0" w:color="auto"/>
            <w:right w:val="none" w:sz="0" w:space="0" w:color="auto"/>
          </w:divBdr>
        </w:div>
        <w:div w:id="415248063">
          <w:marLeft w:val="547"/>
          <w:marRight w:val="0"/>
          <w:marTop w:val="0"/>
          <w:marBottom w:val="0"/>
          <w:divBdr>
            <w:top w:val="none" w:sz="0" w:space="0" w:color="auto"/>
            <w:left w:val="none" w:sz="0" w:space="0" w:color="auto"/>
            <w:bottom w:val="none" w:sz="0" w:space="0" w:color="auto"/>
            <w:right w:val="none" w:sz="0" w:space="0" w:color="auto"/>
          </w:divBdr>
        </w:div>
        <w:div w:id="834614621">
          <w:marLeft w:val="547"/>
          <w:marRight w:val="0"/>
          <w:marTop w:val="0"/>
          <w:marBottom w:val="0"/>
          <w:divBdr>
            <w:top w:val="none" w:sz="0" w:space="0" w:color="auto"/>
            <w:left w:val="none" w:sz="0" w:space="0" w:color="auto"/>
            <w:bottom w:val="none" w:sz="0" w:space="0" w:color="auto"/>
            <w:right w:val="none" w:sz="0" w:space="0" w:color="auto"/>
          </w:divBdr>
        </w:div>
        <w:div w:id="1126896433">
          <w:marLeft w:val="547"/>
          <w:marRight w:val="0"/>
          <w:marTop w:val="0"/>
          <w:marBottom w:val="0"/>
          <w:divBdr>
            <w:top w:val="none" w:sz="0" w:space="0" w:color="auto"/>
            <w:left w:val="none" w:sz="0" w:space="0" w:color="auto"/>
            <w:bottom w:val="none" w:sz="0" w:space="0" w:color="auto"/>
            <w:right w:val="none" w:sz="0" w:space="0" w:color="auto"/>
          </w:divBdr>
        </w:div>
      </w:divsChild>
    </w:div>
    <w:div w:id="1672490685">
      <w:bodyDiv w:val="1"/>
      <w:marLeft w:val="0"/>
      <w:marRight w:val="0"/>
      <w:marTop w:val="0"/>
      <w:marBottom w:val="0"/>
      <w:divBdr>
        <w:top w:val="none" w:sz="0" w:space="0" w:color="auto"/>
        <w:left w:val="none" w:sz="0" w:space="0" w:color="auto"/>
        <w:bottom w:val="none" w:sz="0" w:space="0" w:color="auto"/>
        <w:right w:val="none" w:sz="0" w:space="0" w:color="auto"/>
      </w:divBdr>
    </w:div>
    <w:div w:id="1673222452">
      <w:bodyDiv w:val="1"/>
      <w:marLeft w:val="0"/>
      <w:marRight w:val="0"/>
      <w:marTop w:val="0"/>
      <w:marBottom w:val="0"/>
      <w:divBdr>
        <w:top w:val="none" w:sz="0" w:space="0" w:color="auto"/>
        <w:left w:val="none" w:sz="0" w:space="0" w:color="auto"/>
        <w:bottom w:val="none" w:sz="0" w:space="0" w:color="auto"/>
        <w:right w:val="none" w:sz="0" w:space="0" w:color="auto"/>
      </w:divBdr>
      <w:divsChild>
        <w:div w:id="452209690">
          <w:marLeft w:val="547"/>
          <w:marRight w:val="0"/>
          <w:marTop w:val="0"/>
          <w:marBottom w:val="0"/>
          <w:divBdr>
            <w:top w:val="none" w:sz="0" w:space="0" w:color="auto"/>
            <w:left w:val="none" w:sz="0" w:space="0" w:color="auto"/>
            <w:bottom w:val="none" w:sz="0" w:space="0" w:color="auto"/>
            <w:right w:val="none" w:sz="0" w:space="0" w:color="auto"/>
          </w:divBdr>
        </w:div>
      </w:divsChild>
    </w:div>
    <w:div w:id="1698307848">
      <w:bodyDiv w:val="1"/>
      <w:marLeft w:val="0"/>
      <w:marRight w:val="0"/>
      <w:marTop w:val="0"/>
      <w:marBottom w:val="0"/>
      <w:divBdr>
        <w:top w:val="none" w:sz="0" w:space="0" w:color="auto"/>
        <w:left w:val="none" w:sz="0" w:space="0" w:color="auto"/>
        <w:bottom w:val="none" w:sz="0" w:space="0" w:color="auto"/>
        <w:right w:val="none" w:sz="0" w:space="0" w:color="auto"/>
      </w:divBdr>
    </w:div>
    <w:div w:id="1705131474">
      <w:bodyDiv w:val="1"/>
      <w:marLeft w:val="0"/>
      <w:marRight w:val="0"/>
      <w:marTop w:val="0"/>
      <w:marBottom w:val="0"/>
      <w:divBdr>
        <w:top w:val="none" w:sz="0" w:space="0" w:color="auto"/>
        <w:left w:val="none" w:sz="0" w:space="0" w:color="auto"/>
        <w:bottom w:val="none" w:sz="0" w:space="0" w:color="auto"/>
        <w:right w:val="none" w:sz="0" w:space="0" w:color="auto"/>
      </w:divBdr>
    </w:div>
    <w:div w:id="1717387347">
      <w:bodyDiv w:val="1"/>
      <w:marLeft w:val="0"/>
      <w:marRight w:val="0"/>
      <w:marTop w:val="0"/>
      <w:marBottom w:val="0"/>
      <w:divBdr>
        <w:top w:val="none" w:sz="0" w:space="0" w:color="auto"/>
        <w:left w:val="none" w:sz="0" w:space="0" w:color="auto"/>
        <w:bottom w:val="none" w:sz="0" w:space="0" w:color="auto"/>
        <w:right w:val="none" w:sz="0" w:space="0" w:color="auto"/>
      </w:divBdr>
    </w:div>
    <w:div w:id="1724018161">
      <w:bodyDiv w:val="1"/>
      <w:marLeft w:val="0"/>
      <w:marRight w:val="0"/>
      <w:marTop w:val="0"/>
      <w:marBottom w:val="0"/>
      <w:divBdr>
        <w:top w:val="none" w:sz="0" w:space="0" w:color="auto"/>
        <w:left w:val="none" w:sz="0" w:space="0" w:color="auto"/>
        <w:bottom w:val="none" w:sz="0" w:space="0" w:color="auto"/>
        <w:right w:val="none" w:sz="0" w:space="0" w:color="auto"/>
      </w:divBdr>
    </w:div>
    <w:div w:id="1790660496">
      <w:bodyDiv w:val="1"/>
      <w:marLeft w:val="0"/>
      <w:marRight w:val="0"/>
      <w:marTop w:val="0"/>
      <w:marBottom w:val="0"/>
      <w:divBdr>
        <w:top w:val="none" w:sz="0" w:space="0" w:color="auto"/>
        <w:left w:val="none" w:sz="0" w:space="0" w:color="auto"/>
        <w:bottom w:val="none" w:sz="0" w:space="0" w:color="auto"/>
        <w:right w:val="none" w:sz="0" w:space="0" w:color="auto"/>
      </w:divBdr>
      <w:divsChild>
        <w:div w:id="1276786338">
          <w:marLeft w:val="0"/>
          <w:marRight w:val="0"/>
          <w:marTop w:val="0"/>
          <w:marBottom w:val="0"/>
          <w:divBdr>
            <w:top w:val="none" w:sz="0" w:space="0" w:color="auto"/>
            <w:left w:val="none" w:sz="0" w:space="0" w:color="auto"/>
            <w:bottom w:val="none" w:sz="0" w:space="0" w:color="auto"/>
            <w:right w:val="none" w:sz="0" w:space="0" w:color="auto"/>
          </w:divBdr>
        </w:div>
        <w:div w:id="2061320996">
          <w:marLeft w:val="0"/>
          <w:marRight w:val="0"/>
          <w:marTop w:val="0"/>
          <w:marBottom w:val="0"/>
          <w:divBdr>
            <w:top w:val="none" w:sz="0" w:space="0" w:color="auto"/>
            <w:left w:val="none" w:sz="0" w:space="0" w:color="auto"/>
            <w:bottom w:val="none" w:sz="0" w:space="0" w:color="auto"/>
            <w:right w:val="none" w:sz="0" w:space="0" w:color="auto"/>
          </w:divBdr>
        </w:div>
      </w:divsChild>
    </w:div>
    <w:div w:id="1796439605">
      <w:bodyDiv w:val="1"/>
      <w:marLeft w:val="0"/>
      <w:marRight w:val="0"/>
      <w:marTop w:val="0"/>
      <w:marBottom w:val="0"/>
      <w:divBdr>
        <w:top w:val="none" w:sz="0" w:space="0" w:color="auto"/>
        <w:left w:val="none" w:sz="0" w:space="0" w:color="auto"/>
        <w:bottom w:val="none" w:sz="0" w:space="0" w:color="auto"/>
        <w:right w:val="none" w:sz="0" w:space="0" w:color="auto"/>
      </w:divBdr>
    </w:div>
    <w:div w:id="1807625846">
      <w:bodyDiv w:val="1"/>
      <w:marLeft w:val="0"/>
      <w:marRight w:val="0"/>
      <w:marTop w:val="0"/>
      <w:marBottom w:val="0"/>
      <w:divBdr>
        <w:top w:val="none" w:sz="0" w:space="0" w:color="auto"/>
        <w:left w:val="none" w:sz="0" w:space="0" w:color="auto"/>
        <w:bottom w:val="none" w:sz="0" w:space="0" w:color="auto"/>
        <w:right w:val="none" w:sz="0" w:space="0" w:color="auto"/>
      </w:divBdr>
      <w:divsChild>
        <w:div w:id="866141515">
          <w:marLeft w:val="547"/>
          <w:marRight w:val="0"/>
          <w:marTop w:val="0"/>
          <w:marBottom w:val="0"/>
          <w:divBdr>
            <w:top w:val="none" w:sz="0" w:space="0" w:color="auto"/>
            <w:left w:val="none" w:sz="0" w:space="0" w:color="auto"/>
            <w:bottom w:val="none" w:sz="0" w:space="0" w:color="auto"/>
            <w:right w:val="none" w:sz="0" w:space="0" w:color="auto"/>
          </w:divBdr>
        </w:div>
        <w:div w:id="169149652">
          <w:marLeft w:val="1166"/>
          <w:marRight w:val="0"/>
          <w:marTop w:val="0"/>
          <w:marBottom w:val="0"/>
          <w:divBdr>
            <w:top w:val="none" w:sz="0" w:space="0" w:color="auto"/>
            <w:left w:val="none" w:sz="0" w:space="0" w:color="auto"/>
            <w:bottom w:val="none" w:sz="0" w:space="0" w:color="auto"/>
            <w:right w:val="none" w:sz="0" w:space="0" w:color="auto"/>
          </w:divBdr>
        </w:div>
        <w:div w:id="1885479614">
          <w:marLeft w:val="1166"/>
          <w:marRight w:val="0"/>
          <w:marTop w:val="0"/>
          <w:marBottom w:val="0"/>
          <w:divBdr>
            <w:top w:val="none" w:sz="0" w:space="0" w:color="auto"/>
            <w:left w:val="none" w:sz="0" w:space="0" w:color="auto"/>
            <w:bottom w:val="none" w:sz="0" w:space="0" w:color="auto"/>
            <w:right w:val="none" w:sz="0" w:space="0" w:color="auto"/>
          </w:divBdr>
        </w:div>
        <w:div w:id="1083532375">
          <w:marLeft w:val="1166"/>
          <w:marRight w:val="0"/>
          <w:marTop w:val="0"/>
          <w:marBottom w:val="0"/>
          <w:divBdr>
            <w:top w:val="none" w:sz="0" w:space="0" w:color="auto"/>
            <w:left w:val="none" w:sz="0" w:space="0" w:color="auto"/>
            <w:bottom w:val="none" w:sz="0" w:space="0" w:color="auto"/>
            <w:right w:val="none" w:sz="0" w:space="0" w:color="auto"/>
          </w:divBdr>
        </w:div>
        <w:div w:id="1151747068">
          <w:marLeft w:val="1166"/>
          <w:marRight w:val="0"/>
          <w:marTop w:val="0"/>
          <w:marBottom w:val="0"/>
          <w:divBdr>
            <w:top w:val="none" w:sz="0" w:space="0" w:color="auto"/>
            <w:left w:val="none" w:sz="0" w:space="0" w:color="auto"/>
            <w:bottom w:val="none" w:sz="0" w:space="0" w:color="auto"/>
            <w:right w:val="none" w:sz="0" w:space="0" w:color="auto"/>
          </w:divBdr>
        </w:div>
        <w:div w:id="787704452">
          <w:marLeft w:val="547"/>
          <w:marRight w:val="0"/>
          <w:marTop w:val="0"/>
          <w:marBottom w:val="0"/>
          <w:divBdr>
            <w:top w:val="none" w:sz="0" w:space="0" w:color="auto"/>
            <w:left w:val="none" w:sz="0" w:space="0" w:color="auto"/>
            <w:bottom w:val="none" w:sz="0" w:space="0" w:color="auto"/>
            <w:right w:val="none" w:sz="0" w:space="0" w:color="auto"/>
          </w:divBdr>
        </w:div>
        <w:div w:id="1605267687">
          <w:marLeft w:val="1166"/>
          <w:marRight w:val="0"/>
          <w:marTop w:val="0"/>
          <w:marBottom w:val="0"/>
          <w:divBdr>
            <w:top w:val="none" w:sz="0" w:space="0" w:color="auto"/>
            <w:left w:val="none" w:sz="0" w:space="0" w:color="auto"/>
            <w:bottom w:val="none" w:sz="0" w:space="0" w:color="auto"/>
            <w:right w:val="none" w:sz="0" w:space="0" w:color="auto"/>
          </w:divBdr>
        </w:div>
        <w:div w:id="1041829739">
          <w:marLeft w:val="1166"/>
          <w:marRight w:val="0"/>
          <w:marTop w:val="0"/>
          <w:marBottom w:val="0"/>
          <w:divBdr>
            <w:top w:val="none" w:sz="0" w:space="0" w:color="auto"/>
            <w:left w:val="none" w:sz="0" w:space="0" w:color="auto"/>
            <w:bottom w:val="none" w:sz="0" w:space="0" w:color="auto"/>
            <w:right w:val="none" w:sz="0" w:space="0" w:color="auto"/>
          </w:divBdr>
        </w:div>
        <w:div w:id="2103451251">
          <w:marLeft w:val="1166"/>
          <w:marRight w:val="0"/>
          <w:marTop w:val="0"/>
          <w:marBottom w:val="0"/>
          <w:divBdr>
            <w:top w:val="none" w:sz="0" w:space="0" w:color="auto"/>
            <w:left w:val="none" w:sz="0" w:space="0" w:color="auto"/>
            <w:bottom w:val="none" w:sz="0" w:space="0" w:color="auto"/>
            <w:right w:val="none" w:sz="0" w:space="0" w:color="auto"/>
          </w:divBdr>
        </w:div>
        <w:div w:id="1404136232">
          <w:marLeft w:val="1166"/>
          <w:marRight w:val="0"/>
          <w:marTop w:val="0"/>
          <w:marBottom w:val="0"/>
          <w:divBdr>
            <w:top w:val="none" w:sz="0" w:space="0" w:color="auto"/>
            <w:left w:val="none" w:sz="0" w:space="0" w:color="auto"/>
            <w:bottom w:val="none" w:sz="0" w:space="0" w:color="auto"/>
            <w:right w:val="none" w:sz="0" w:space="0" w:color="auto"/>
          </w:divBdr>
        </w:div>
        <w:div w:id="1604921430">
          <w:marLeft w:val="547"/>
          <w:marRight w:val="0"/>
          <w:marTop w:val="0"/>
          <w:marBottom w:val="0"/>
          <w:divBdr>
            <w:top w:val="none" w:sz="0" w:space="0" w:color="auto"/>
            <w:left w:val="none" w:sz="0" w:space="0" w:color="auto"/>
            <w:bottom w:val="none" w:sz="0" w:space="0" w:color="auto"/>
            <w:right w:val="none" w:sz="0" w:space="0" w:color="auto"/>
          </w:divBdr>
        </w:div>
        <w:div w:id="231814138">
          <w:marLeft w:val="1166"/>
          <w:marRight w:val="0"/>
          <w:marTop w:val="0"/>
          <w:marBottom w:val="0"/>
          <w:divBdr>
            <w:top w:val="none" w:sz="0" w:space="0" w:color="auto"/>
            <w:left w:val="none" w:sz="0" w:space="0" w:color="auto"/>
            <w:bottom w:val="none" w:sz="0" w:space="0" w:color="auto"/>
            <w:right w:val="none" w:sz="0" w:space="0" w:color="auto"/>
          </w:divBdr>
        </w:div>
        <w:div w:id="379204826">
          <w:marLeft w:val="1166"/>
          <w:marRight w:val="0"/>
          <w:marTop w:val="0"/>
          <w:marBottom w:val="0"/>
          <w:divBdr>
            <w:top w:val="none" w:sz="0" w:space="0" w:color="auto"/>
            <w:left w:val="none" w:sz="0" w:space="0" w:color="auto"/>
            <w:bottom w:val="none" w:sz="0" w:space="0" w:color="auto"/>
            <w:right w:val="none" w:sz="0" w:space="0" w:color="auto"/>
          </w:divBdr>
        </w:div>
        <w:div w:id="643243442">
          <w:marLeft w:val="1166"/>
          <w:marRight w:val="0"/>
          <w:marTop w:val="0"/>
          <w:marBottom w:val="0"/>
          <w:divBdr>
            <w:top w:val="none" w:sz="0" w:space="0" w:color="auto"/>
            <w:left w:val="none" w:sz="0" w:space="0" w:color="auto"/>
            <w:bottom w:val="none" w:sz="0" w:space="0" w:color="auto"/>
            <w:right w:val="none" w:sz="0" w:space="0" w:color="auto"/>
          </w:divBdr>
        </w:div>
        <w:div w:id="1003512067">
          <w:marLeft w:val="1166"/>
          <w:marRight w:val="0"/>
          <w:marTop w:val="0"/>
          <w:marBottom w:val="0"/>
          <w:divBdr>
            <w:top w:val="none" w:sz="0" w:space="0" w:color="auto"/>
            <w:left w:val="none" w:sz="0" w:space="0" w:color="auto"/>
            <w:bottom w:val="none" w:sz="0" w:space="0" w:color="auto"/>
            <w:right w:val="none" w:sz="0" w:space="0" w:color="auto"/>
          </w:divBdr>
        </w:div>
        <w:div w:id="365719321">
          <w:marLeft w:val="1166"/>
          <w:marRight w:val="0"/>
          <w:marTop w:val="0"/>
          <w:marBottom w:val="0"/>
          <w:divBdr>
            <w:top w:val="none" w:sz="0" w:space="0" w:color="auto"/>
            <w:left w:val="none" w:sz="0" w:space="0" w:color="auto"/>
            <w:bottom w:val="none" w:sz="0" w:space="0" w:color="auto"/>
            <w:right w:val="none" w:sz="0" w:space="0" w:color="auto"/>
          </w:divBdr>
        </w:div>
        <w:div w:id="427970825">
          <w:marLeft w:val="1166"/>
          <w:marRight w:val="0"/>
          <w:marTop w:val="0"/>
          <w:marBottom w:val="0"/>
          <w:divBdr>
            <w:top w:val="none" w:sz="0" w:space="0" w:color="auto"/>
            <w:left w:val="none" w:sz="0" w:space="0" w:color="auto"/>
            <w:bottom w:val="none" w:sz="0" w:space="0" w:color="auto"/>
            <w:right w:val="none" w:sz="0" w:space="0" w:color="auto"/>
          </w:divBdr>
        </w:div>
      </w:divsChild>
    </w:div>
    <w:div w:id="1813519230">
      <w:bodyDiv w:val="1"/>
      <w:marLeft w:val="0"/>
      <w:marRight w:val="0"/>
      <w:marTop w:val="0"/>
      <w:marBottom w:val="0"/>
      <w:divBdr>
        <w:top w:val="none" w:sz="0" w:space="0" w:color="auto"/>
        <w:left w:val="none" w:sz="0" w:space="0" w:color="auto"/>
        <w:bottom w:val="none" w:sz="0" w:space="0" w:color="auto"/>
        <w:right w:val="none" w:sz="0" w:space="0" w:color="auto"/>
      </w:divBdr>
      <w:divsChild>
        <w:div w:id="1587953086">
          <w:marLeft w:val="547"/>
          <w:marRight w:val="0"/>
          <w:marTop w:val="0"/>
          <w:marBottom w:val="0"/>
          <w:divBdr>
            <w:top w:val="none" w:sz="0" w:space="0" w:color="auto"/>
            <w:left w:val="none" w:sz="0" w:space="0" w:color="auto"/>
            <w:bottom w:val="none" w:sz="0" w:space="0" w:color="auto"/>
            <w:right w:val="none" w:sz="0" w:space="0" w:color="auto"/>
          </w:divBdr>
        </w:div>
        <w:div w:id="1870950866">
          <w:marLeft w:val="1166"/>
          <w:marRight w:val="0"/>
          <w:marTop w:val="0"/>
          <w:marBottom w:val="0"/>
          <w:divBdr>
            <w:top w:val="none" w:sz="0" w:space="0" w:color="auto"/>
            <w:left w:val="none" w:sz="0" w:space="0" w:color="auto"/>
            <w:bottom w:val="none" w:sz="0" w:space="0" w:color="auto"/>
            <w:right w:val="none" w:sz="0" w:space="0" w:color="auto"/>
          </w:divBdr>
        </w:div>
        <w:div w:id="1935237403">
          <w:marLeft w:val="1166"/>
          <w:marRight w:val="0"/>
          <w:marTop w:val="0"/>
          <w:marBottom w:val="0"/>
          <w:divBdr>
            <w:top w:val="none" w:sz="0" w:space="0" w:color="auto"/>
            <w:left w:val="none" w:sz="0" w:space="0" w:color="auto"/>
            <w:bottom w:val="none" w:sz="0" w:space="0" w:color="auto"/>
            <w:right w:val="none" w:sz="0" w:space="0" w:color="auto"/>
          </w:divBdr>
        </w:div>
        <w:div w:id="741832116">
          <w:marLeft w:val="1166"/>
          <w:marRight w:val="0"/>
          <w:marTop w:val="0"/>
          <w:marBottom w:val="0"/>
          <w:divBdr>
            <w:top w:val="none" w:sz="0" w:space="0" w:color="auto"/>
            <w:left w:val="none" w:sz="0" w:space="0" w:color="auto"/>
            <w:bottom w:val="none" w:sz="0" w:space="0" w:color="auto"/>
            <w:right w:val="none" w:sz="0" w:space="0" w:color="auto"/>
          </w:divBdr>
        </w:div>
        <w:div w:id="201215701">
          <w:marLeft w:val="1166"/>
          <w:marRight w:val="0"/>
          <w:marTop w:val="0"/>
          <w:marBottom w:val="0"/>
          <w:divBdr>
            <w:top w:val="none" w:sz="0" w:space="0" w:color="auto"/>
            <w:left w:val="none" w:sz="0" w:space="0" w:color="auto"/>
            <w:bottom w:val="none" w:sz="0" w:space="0" w:color="auto"/>
            <w:right w:val="none" w:sz="0" w:space="0" w:color="auto"/>
          </w:divBdr>
        </w:div>
        <w:div w:id="121509413">
          <w:marLeft w:val="1166"/>
          <w:marRight w:val="0"/>
          <w:marTop w:val="0"/>
          <w:marBottom w:val="0"/>
          <w:divBdr>
            <w:top w:val="none" w:sz="0" w:space="0" w:color="auto"/>
            <w:left w:val="none" w:sz="0" w:space="0" w:color="auto"/>
            <w:bottom w:val="none" w:sz="0" w:space="0" w:color="auto"/>
            <w:right w:val="none" w:sz="0" w:space="0" w:color="auto"/>
          </w:divBdr>
        </w:div>
        <w:div w:id="745808239">
          <w:marLeft w:val="1166"/>
          <w:marRight w:val="0"/>
          <w:marTop w:val="0"/>
          <w:marBottom w:val="0"/>
          <w:divBdr>
            <w:top w:val="none" w:sz="0" w:space="0" w:color="auto"/>
            <w:left w:val="none" w:sz="0" w:space="0" w:color="auto"/>
            <w:bottom w:val="none" w:sz="0" w:space="0" w:color="auto"/>
            <w:right w:val="none" w:sz="0" w:space="0" w:color="auto"/>
          </w:divBdr>
        </w:div>
        <w:div w:id="1956478777">
          <w:marLeft w:val="1166"/>
          <w:marRight w:val="0"/>
          <w:marTop w:val="0"/>
          <w:marBottom w:val="0"/>
          <w:divBdr>
            <w:top w:val="none" w:sz="0" w:space="0" w:color="auto"/>
            <w:left w:val="none" w:sz="0" w:space="0" w:color="auto"/>
            <w:bottom w:val="none" w:sz="0" w:space="0" w:color="auto"/>
            <w:right w:val="none" w:sz="0" w:space="0" w:color="auto"/>
          </w:divBdr>
        </w:div>
      </w:divsChild>
    </w:div>
    <w:div w:id="1829637541">
      <w:bodyDiv w:val="1"/>
      <w:marLeft w:val="0"/>
      <w:marRight w:val="0"/>
      <w:marTop w:val="0"/>
      <w:marBottom w:val="0"/>
      <w:divBdr>
        <w:top w:val="none" w:sz="0" w:space="0" w:color="auto"/>
        <w:left w:val="none" w:sz="0" w:space="0" w:color="auto"/>
        <w:bottom w:val="none" w:sz="0" w:space="0" w:color="auto"/>
        <w:right w:val="none" w:sz="0" w:space="0" w:color="auto"/>
      </w:divBdr>
    </w:div>
    <w:div w:id="1849248455">
      <w:bodyDiv w:val="1"/>
      <w:marLeft w:val="0"/>
      <w:marRight w:val="0"/>
      <w:marTop w:val="0"/>
      <w:marBottom w:val="0"/>
      <w:divBdr>
        <w:top w:val="none" w:sz="0" w:space="0" w:color="auto"/>
        <w:left w:val="none" w:sz="0" w:space="0" w:color="auto"/>
        <w:bottom w:val="none" w:sz="0" w:space="0" w:color="auto"/>
        <w:right w:val="none" w:sz="0" w:space="0" w:color="auto"/>
      </w:divBdr>
    </w:div>
    <w:div w:id="1873573692">
      <w:bodyDiv w:val="1"/>
      <w:marLeft w:val="0"/>
      <w:marRight w:val="0"/>
      <w:marTop w:val="0"/>
      <w:marBottom w:val="0"/>
      <w:divBdr>
        <w:top w:val="none" w:sz="0" w:space="0" w:color="auto"/>
        <w:left w:val="none" w:sz="0" w:space="0" w:color="auto"/>
        <w:bottom w:val="none" w:sz="0" w:space="0" w:color="auto"/>
        <w:right w:val="none" w:sz="0" w:space="0" w:color="auto"/>
      </w:divBdr>
    </w:div>
    <w:div w:id="1874925380">
      <w:bodyDiv w:val="1"/>
      <w:marLeft w:val="0"/>
      <w:marRight w:val="0"/>
      <w:marTop w:val="0"/>
      <w:marBottom w:val="0"/>
      <w:divBdr>
        <w:top w:val="none" w:sz="0" w:space="0" w:color="auto"/>
        <w:left w:val="none" w:sz="0" w:space="0" w:color="auto"/>
        <w:bottom w:val="none" w:sz="0" w:space="0" w:color="auto"/>
        <w:right w:val="none" w:sz="0" w:space="0" w:color="auto"/>
      </w:divBdr>
    </w:div>
    <w:div w:id="1882858644">
      <w:bodyDiv w:val="1"/>
      <w:marLeft w:val="0"/>
      <w:marRight w:val="0"/>
      <w:marTop w:val="0"/>
      <w:marBottom w:val="0"/>
      <w:divBdr>
        <w:top w:val="none" w:sz="0" w:space="0" w:color="auto"/>
        <w:left w:val="none" w:sz="0" w:space="0" w:color="auto"/>
        <w:bottom w:val="none" w:sz="0" w:space="0" w:color="auto"/>
        <w:right w:val="none" w:sz="0" w:space="0" w:color="auto"/>
      </w:divBdr>
    </w:div>
    <w:div w:id="1883596815">
      <w:bodyDiv w:val="1"/>
      <w:marLeft w:val="0"/>
      <w:marRight w:val="0"/>
      <w:marTop w:val="0"/>
      <w:marBottom w:val="0"/>
      <w:divBdr>
        <w:top w:val="none" w:sz="0" w:space="0" w:color="auto"/>
        <w:left w:val="none" w:sz="0" w:space="0" w:color="auto"/>
        <w:bottom w:val="none" w:sz="0" w:space="0" w:color="auto"/>
        <w:right w:val="none" w:sz="0" w:space="0" w:color="auto"/>
      </w:divBdr>
    </w:div>
    <w:div w:id="1893078605">
      <w:bodyDiv w:val="1"/>
      <w:marLeft w:val="0"/>
      <w:marRight w:val="0"/>
      <w:marTop w:val="0"/>
      <w:marBottom w:val="0"/>
      <w:divBdr>
        <w:top w:val="none" w:sz="0" w:space="0" w:color="auto"/>
        <w:left w:val="none" w:sz="0" w:space="0" w:color="auto"/>
        <w:bottom w:val="none" w:sz="0" w:space="0" w:color="auto"/>
        <w:right w:val="none" w:sz="0" w:space="0" w:color="auto"/>
      </w:divBdr>
    </w:div>
    <w:div w:id="1938631211">
      <w:bodyDiv w:val="1"/>
      <w:marLeft w:val="0"/>
      <w:marRight w:val="0"/>
      <w:marTop w:val="0"/>
      <w:marBottom w:val="0"/>
      <w:divBdr>
        <w:top w:val="none" w:sz="0" w:space="0" w:color="auto"/>
        <w:left w:val="none" w:sz="0" w:space="0" w:color="auto"/>
        <w:bottom w:val="none" w:sz="0" w:space="0" w:color="auto"/>
        <w:right w:val="none" w:sz="0" w:space="0" w:color="auto"/>
      </w:divBdr>
    </w:div>
    <w:div w:id="1948921490">
      <w:bodyDiv w:val="1"/>
      <w:marLeft w:val="0"/>
      <w:marRight w:val="0"/>
      <w:marTop w:val="0"/>
      <w:marBottom w:val="0"/>
      <w:divBdr>
        <w:top w:val="none" w:sz="0" w:space="0" w:color="auto"/>
        <w:left w:val="none" w:sz="0" w:space="0" w:color="auto"/>
        <w:bottom w:val="none" w:sz="0" w:space="0" w:color="auto"/>
        <w:right w:val="none" w:sz="0" w:space="0" w:color="auto"/>
      </w:divBdr>
      <w:divsChild>
        <w:div w:id="576784974">
          <w:marLeft w:val="547"/>
          <w:marRight w:val="0"/>
          <w:marTop w:val="0"/>
          <w:marBottom w:val="0"/>
          <w:divBdr>
            <w:top w:val="none" w:sz="0" w:space="0" w:color="auto"/>
            <w:left w:val="none" w:sz="0" w:space="0" w:color="auto"/>
            <w:bottom w:val="none" w:sz="0" w:space="0" w:color="auto"/>
            <w:right w:val="none" w:sz="0" w:space="0" w:color="auto"/>
          </w:divBdr>
        </w:div>
        <w:div w:id="1806893641">
          <w:marLeft w:val="547"/>
          <w:marRight w:val="0"/>
          <w:marTop w:val="0"/>
          <w:marBottom w:val="0"/>
          <w:divBdr>
            <w:top w:val="none" w:sz="0" w:space="0" w:color="auto"/>
            <w:left w:val="none" w:sz="0" w:space="0" w:color="auto"/>
            <w:bottom w:val="none" w:sz="0" w:space="0" w:color="auto"/>
            <w:right w:val="none" w:sz="0" w:space="0" w:color="auto"/>
          </w:divBdr>
        </w:div>
        <w:div w:id="724254978">
          <w:marLeft w:val="547"/>
          <w:marRight w:val="0"/>
          <w:marTop w:val="0"/>
          <w:marBottom w:val="0"/>
          <w:divBdr>
            <w:top w:val="none" w:sz="0" w:space="0" w:color="auto"/>
            <w:left w:val="none" w:sz="0" w:space="0" w:color="auto"/>
            <w:bottom w:val="none" w:sz="0" w:space="0" w:color="auto"/>
            <w:right w:val="none" w:sz="0" w:space="0" w:color="auto"/>
          </w:divBdr>
        </w:div>
        <w:div w:id="757945470">
          <w:marLeft w:val="547"/>
          <w:marRight w:val="0"/>
          <w:marTop w:val="0"/>
          <w:marBottom w:val="0"/>
          <w:divBdr>
            <w:top w:val="none" w:sz="0" w:space="0" w:color="auto"/>
            <w:left w:val="none" w:sz="0" w:space="0" w:color="auto"/>
            <w:bottom w:val="none" w:sz="0" w:space="0" w:color="auto"/>
            <w:right w:val="none" w:sz="0" w:space="0" w:color="auto"/>
          </w:divBdr>
        </w:div>
      </w:divsChild>
    </w:div>
    <w:div w:id="1985965048">
      <w:bodyDiv w:val="1"/>
      <w:marLeft w:val="0"/>
      <w:marRight w:val="0"/>
      <w:marTop w:val="0"/>
      <w:marBottom w:val="0"/>
      <w:divBdr>
        <w:top w:val="none" w:sz="0" w:space="0" w:color="auto"/>
        <w:left w:val="none" w:sz="0" w:space="0" w:color="auto"/>
        <w:bottom w:val="none" w:sz="0" w:space="0" w:color="auto"/>
        <w:right w:val="none" w:sz="0" w:space="0" w:color="auto"/>
      </w:divBdr>
    </w:div>
    <w:div w:id="1992982135">
      <w:bodyDiv w:val="1"/>
      <w:marLeft w:val="0"/>
      <w:marRight w:val="0"/>
      <w:marTop w:val="0"/>
      <w:marBottom w:val="0"/>
      <w:divBdr>
        <w:top w:val="none" w:sz="0" w:space="0" w:color="auto"/>
        <w:left w:val="none" w:sz="0" w:space="0" w:color="auto"/>
        <w:bottom w:val="none" w:sz="0" w:space="0" w:color="auto"/>
        <w:right w:val="none" w:sz="0" w:space="0" w:color="auto"/>
      </w:divBdr>
    </w:div>
    <w:div w:id="1997568217">
      <w:bodyDiv w:val="1"/>
      <w:marLeft w:val="0"/>
      <w:marRight w:val="0"/>
      <w:marTop w:val="0"/>
      <w:marBottom w:val="0"/>
      <w:divBdr>
        <w:top w:val="none" w:sz="0" w:space="0" w:color="auto"/>
        <w:left w:val="none" w:sz="0" w:space="0" w:color="auto"/>
        <w:bottom w:val="none" w:sz="0" w:space="0" w:color="auto"/>
        <w:right w:val="none" w:sz="0" w:space="0" w:color="auto"/>
      </w:divBdr>
      <w:divsChild>
        <w:div w:id="1501775316">
          <w:marLeft w:val="547"/>
          <w:marRight w:val="0"/>
          <w:marTop w:val="0"/>
          <w:marBottom w:val="0"/>
          <w:divBdr>
            <w:top w:val="none" w:sz="0" w:space="0" w:color="auto"/>
            <w:left w:val="none" w:sz="0" w:space="0" w:color="auto"/>
            <w:bottom w:val="none" w:sz="0" w:space="0" w:color="auto"/>
            <w:right w:val="none" w:sz="0" w:space="0" w:color="auto"/>
          </w:divBdr>
        </w:div>
        <w:div w:id="172301885">
          <w:marLeft w:val="547"/>
          <w:marRight w:val="0"/>
          <w:marTop w:val="0"/>
          <w:marBottom w:val="0"/>
          <w:divBdr>
            <w:top w:val="none" w:sz="0" w:space="0" w:color="auto"/>
            <w:left w:val="none" w:sz="0" w:space="0" w:color="auto"/>
            <w:bottom w:val="none" w:sz="0" w:space="0" w:color="auto"/>
            <w:right w:val="none" w:sz="0" w:space="0" w:color="auto"/>
          </w:divBdr>
        </w:div>
        <w:div w:id="383674404">
          <w:marLeft w:val="547"/>
          <w:marRight w:val="0"/>
          <w:marTop w:val="0"/>
          <w:marBottom w:val="0"/>
          <w:divBdr>
            <w:top w:val="none" w:sz="0" w:space="0" w:color="auto"/>
            <w:left w:val="none" w:sz="0" w:space="0" w:color="auto"/>
            <w:bottom w:val="none" w:sz="0" w:space="0" w:color="auto"/>
            <w:right w:val="none" w:sz="0" w:space="0" w:color="auto"/>
          </w:divBdr>
        </w:div>
        <w:div w:id="2143576487">
          <w:marLeft w:val="547"/>
          <w:marRight w:val="0"/>
          <w:marTop w:val="0"/>
          <w:marBottom w:val="0"/>
          <w:divBdr>
            <w:top w:val="none" w:sz="0" w:space="0" w:color="auto"/>
            <w:left w:val="none" w:sz="0" w:space="0" w:color="auto"/>
            <w:bottom w:val="none" w:sz="0" w:space="0" w:color="auto"/>
            <w:right w:val="none" w:sz="0" w:space="0" w:color="auto"/>
          </w:divBdr>
        </w:div>
      </w:divsChild>
    </w:div>
    <w:div w:id="2013607705">
      <w:bodyDiv w:val="1"/>
      <w:marLeft w:val="0"/>
      <w:marRight w:val="0"/>
      <w:marTop w:val="0"/>
      <w:marBottom w:val="0"/>
      <w:divBdr>
        <w:top w:val="none" w:sz="0" w:space="0" w:color="auto"/>
        <w:left w:val="none" w:sz="0" w:space="0" w:color="auto"/>
        <w:bottom w:val="none" w:sz="0" w:space="0" w:color="auto"/>
        <w:right w:val="none" w:sz="0" w:space="0" w:color="auto"/>
      </w:divBdr>
    </w:div>
    <w:div w:id="2016766405">
      <w:bodyDiv w:val="1"/>
      <w:marLeft w:val="0"/>
      <w:marRight w:val="0"/>
      <w:marTop w:val="0"/>
      <w:marBottom w:val="0"/>
      <w:divBdr>
        <w:top w:val="none" w:sz="0" w:space="0" w:color="auto"/>
        <w:left w:val="none" w:sz="0" w:space="0" w:color="auto"/>
        <w:bottom w:val="none" w:sz="0" w:space="0" w:color="auto"/>
        <w:right w:val="none" w:sz="0" w:space="0" w:color="auto"/>
      </w:divBdr>
    </w:div>
    <w:div w:id="2029477383">
      <w:bodyDiv w:val="1"/>
      <w:marLeft w:val="0"/>
      <w:marRight w:val="0"/>
      <w:marTop w:val="0"/>
      <w:marBottom w:val="0"/>
      <w:divBdr>
        <w:top w:val="none" w:sz="0" w:space="0" w:color="auto"/>
        <w:left w:val="none" w:sz="0" w:space="0" w:color="auto"/>
        <w:bottom w:val="none" w:sz="0" w:space="0" w:color="auto"/>
        <w:right w:val="none" w:sz="0" w:space="0" w:color="auto"/>
      </w:divBdr>
    </w:div>
    <w:div w:id="2045328582">
      <w:bodyDiv w:val="1"/>
      <w:marLeft w:val="0"/>
      <w:marRight w:val="0"/>
      <w:marTop w:val="0"/>
      <w:marBottom w:val="0"/>
      <w:divBdr>
        <w:top w:val="none" w:sz="0" w:space="0" w:color="auto"/>
        <w:left w:val="none" w:sz="0" w:space="0" w:color="auto"/>
        <w:bottom w:val="none" w:sz="0" w:space="0" w:color="auto"/>
        <w:right w:val="none" w:sz="0" w:space="0" w:color="auto"/>
      </w:divBdr>
    </w:div>
    <w:div w:id="2049059512">
      <w:bodyDiv w:val="1"/>
      <w:marLeft w:val="0"/>
      <w:marRight w:val="0"/>
      <w:marTop w:val="0"/>
      <w:marBottom w:val="0"/>
      <w:divBdr>
        <w:top w:val="none" w:sz="0" w:space="0" w:color="auto"/>
        <w:left w:val="none" w:sz="0" w:space="0" w:color="auto"/>
        <w:bottom w:val="none" w:sz="0" w:space="0" w:color="auto"/>
        <w:right w:val="none" w:sz="0" w:space="0" w:color="auto"/>
      </w:divBdr>
    </w:div>
    <w:div w:id="2054423925">
      <w:bodyDiv w:val="1"/>
      <w:marLeft w:val="0"/>
      <w:marRight w:val="0"/>
      <w:marTop w:val="0"/>
      <w:marBottom w:val="0"/>
      <w:divBdr>
        <w:top w:val="none" w:sz="0" w:space="0" w:color="auto"/>
        <w:left w:val="none" w:sz="0" w:space="0" w:color="auto"/>
        <w:bottom w:val="none" w:sz="0" w:space="0" w:color="auto"/>
        <w:right w:val="none" w:sz="0" w:space="0" w:color="auto"/>
      </w:divBdr>
    </w:div>
    <w:div w:id="2070034004">
      <w:bodyDiv w:val="1"/>
      <w:marLeft w:val="0"/>
      <w:marRight w:val="0"/>
      <w:marTop w:val="0"/>
      <w:marBottom w:val="0"/>
      <w:divBdr>
        <w:top w:val="none" w:sz="0" w:space="0" w:color="auto"/>
        <w:left w:val="none" w:sz="0" w:space="0" w:color="auto"/>
        <w:bottom w:val="none" w:sz="0" w:space="0" w:color="auto"/>
        <w:right w:val="none" w:sz="0" w:space="0" w:color="auto"/>
      </w:divBdr>
    </w:div>
    <w:div w:id="2093312243">
      <w:bodyDiv w:val="1"/>
      <w:marLeft w:val="0"/>
      <w:marRight w:val="0"/>
      <w:marTop w:val="0"/>
      <w:marBottom w:val="0"/>
      <w:divBdr>
        <w:top w:val="none" w:sz="0" w:space="0" w:color="auto"/>
        <w:left w:val="none" w:sz="0" w:space="0" w:color="auto"/>
        <w:bottom w:val="none" w:sz="0" w:space="0" w:color="auto"/>
        <w:right w:val="none" w:sz="0" w:space="0" w:color="auto"/>
      </w:divBdr>
    </w:div>
    <w:div w:id="2093701230">
      <w:bodyDiv w:val="1"/>
      <w:marLeft w:val="0"/>
      <w:marRight w:val="0"/>
      <w:marTop w:val="0"/>
      <w:marBottom w:val="0"/>
      <w:divBdr>
        <w:top w:val="none" w:sz="0" w:space="0" w:color="auto"/>
        <w:left w:val="none" w:sz="0" w:space="0" w:color="auto"/>
        <w:bottom w:val="none" w:sz="0" w:space="0" w:color="auto"/>
        <w:right w:val="none" w:sz="0" w:space="0" w:color="auto"/>
      </w:divBdr>
      <w:divsChild>
        <w:div w:id="1703046706">
          <w:marLeft w:val="0"/>
          <w:marRight w:val="0"/>
          <w:marTop w:val="0"/>
          <w:marBottom w:val="360"/>
          <w:divBdr>
            <w:top w:val="none" w:sz="0" w:space="0" w:color="auto"/>
            <w:left w:val="none" w:sz="0" w:space="0" w:color="auto"/>
            <w:bottom w:val="none" w:sz="0" w:space="0" w:color="auto"/>
            <w:right w:val="none" w:sz="0" w:space="0" w:color="auto"/>
          </w:divBdr>
        </w:div>
        <w:div w:id="239679278">
          <w:marLeft w:val="0"/>
          <w:marRight w:val="0"/>
          <w:marTop w:val="0"/>
          <w:marBottom w:val="360"/>
          <w:divBdr>
            <w:top w:val="none" w:sz="0" w:space="0" w:color="auto"/>
            <w:left w:val="none" w:sz="0" w:space="0" w:color="auto"/>
            <w:bottom w:val="none" w:sz="0" w:space="0" w:color="auto"/>
            <w:right w:val="none" w:sz="0" w:space="0" w:color="auto"/>
          </w:divBdr>
        </w:div>
      </w:divsChild>
    </w:div>
    <w:div w:id="2099330754">
      <w:bodyDiv w:val="1"/>
      <w:marLeft w:val="0"/>
      <w:marRight w:val="0"/>
      <w:marTop w:val="0"/>
      <w:marBottom w:val="0"/>
      <w:divBdr>
        <w:top w:val="none" w:sz="0" w:space="0" w:color="auto"/>
        <w:left w:val="none" w:sz="0" w:space="0" w:color="auto"/>
        <w:bottom w:val="none" w:sz="0" w:space="0" w:color="auto"/>
        <w:right w:val="none" w:sz="0" w:space="0" w:color="auto"/>
      </w:divBdr>
      <w:divsChild>
        <w:div w:id="92632179">
          <w:marLeft w:val="547"/>
          <w:marRight w:val="0"/>
          <w:marTop w:val="0"/>
          <w:marBottom w:val="0"/>
          <w:divBdr>
            <w:top w:val="none" w:sz="0" w:space="0" w:color="auto"/>
            <w:left w:val="none" w:sz="0" w:space="0" w:color="auto"/>
            <w:bottom w:val="none" w:sz="0" w:space="0" w:color="auto"/>
            <w:right w:val="none" w:sz="0" w:space="0" w:color="auto"/>
          </w:divBdr>
        </w:div>
        <w:div w:id="763762461">
          <w:marLeft w:val="1166"/>
          <w:marRight w:val="0"/>
          <w:marTop w:val="0"/>
          <w:marBottom w:val="0"/>
          <w:divBdr>
            <w:top w:val="none" w:sz="0" w:space="0" w:color="auto"/>
            <w:left w:val="none" w:sz="0" w:space="0" w:color="auto"/>
            <w:bottom w:val="none" w:sz="0" w:space="0" w:color="auto"/>
            <w:right w:val="none" w:sz="0" w:space="0" w:color="auto"/>
          </w:divBdr>
        </w:div>
        <w:div w:id="1834222892">
          <w:marLeft w:val="1166"/>
          <w:marRight w:val="0"/>
          <w:marTop w:val="0"/>
          <w:marBottom w:val="0"/>
          <w:divBdr>
            <w:top w:val="none" w:sz="0" w:space="0" w:color="auto"/>
            <w:left w:val="none" w:sz="0" w:space="0" w:color="auto"/>
            <w:bottom w:val="none" w:sz="0" w:space="0" w:color="auto"/>
            <w:right w:val="none" w:sz="0" w:space="0" w:color="auto"/>
          </w:divBdr>
        </w:div>
        <w:div w:id="147020890">
          <w:marLeft w:val="1166"/>
          <w:marRight w:val="0"/>
          <w:marTop w:val="0"/>
          <w:marBottom w:val="0"/>
          <w:divBdr>
            <w:top w:val="none" w:sz="0" w:space="0" w:color="auto"/>
            <w:left w:val="none" w:sz="0" w:space="0" w:color="auto"/>
            <w:bottom w:val="none" w:sz="0" w:space="0" w:color="auto"/>
            <w:right w:val="none" w:sz="0" w:space="0" w:color="auto"/>
          </w:divBdr>
        </w:div>
        <w:div w:id="763234521">
          <w:marLeft w:val="1166"/>
          <w:marRight w:val="0"/>
          <w:marTop w:val="0"/>
          <w:marBottom w:val="0"/>
          <w:divBdr>
            <w:top w:val="none" w:sz="0" w:space="0" w:color="auto"/>
            <w:left w:val="none" w:sz="0" w:space="0" w:color="auto"/>
            <w:bottom w:val="none" w:sz="0" w:space="0" w:color="auto"/>
            <w:right w:val="none" w:sz="0" w:space="0" w:color="auto"/>
          </w:divBdr>
        </w:div>
      </w:divsChild>
    </w:div>
    <w:div w:id="2142645266">
      <w:bodyDiv w:val="1"/>
      <w:marLeft w:val="0"/>
      <w:marRight w:val="0"/>
      <w:marTop w:val="0"/>
      <w:marBottom w:val="0"/>
      <w:divBdr>
        <w:top w:val="none" w:sz="0" w:space="0" w:color="auto"/>
        <w:left w:val="none" w:sz="0" w:space="0" w:color="auto"/>
        <w:bottom w:val="none" w:sz="0" w:space="0" w:color="auto"/>
        <w:right w:val="none" w:sz="0" w:space="0" w:color="auto"/>
      </w:divBdr>
      <w:divsChild>
        <w:div w:id="708606975">
          <w:marLeft w:val="1742"/>
          <w:marRight w:val="0"/>
          <w:marTop w:val="48"/>
          <w:marBottom w:val="0"/>
          <w:divBdr>
            <w:top w:val="none" w:sz="0" w:space="0" w:color="auto"/>
            <w:left w:val="none" w:sz="0" w:space="0" w:color="auto"/>
            <w:bottom w:val="none" w:sz="0" w:space="0" w:color="auto"/>
            <w:right w:val="none" w:sz="0" w:space="0" w:color="auto"/>
          </w:divBdr>
        </w:div>
        <w:div w:id="827478738">
          <w:marLeft w:val="1742"/>
          <w:marRight w:val="0"/>
          <w:marTop w:val="48"/>
          <w:marBottom w:val="0"/>
          <w:divBdr>
            <w:top w:val="none" w:sz="0" w:space="0" w:color="auto"/>
            <w:left w:val="none" w:sz="0" w:space="0" w:color="auto"/>
            <w:bottom w:val="none" w:sz="0" w:space="0" w:color="auto"/>
            <w:right w:val="none" w:sz="0" w:space="0" w:color="auto"/>
          </w:divBdr>
        </w:div>
        <w:div w:id="1390880370">
          <w:marLeft w:val="1742"/>
          <w:marRight w:val="0"/>
          <w:marTop w:val="48"/>
          <w:marBottom w:val="0"/>
          <w:divBdr>
            <w:top w:val="none" w:sz="0" w:space="0" w:color="auto"/>
            <w:left w:val="none" w:sz="0" w:space="0" w:color="auto"/>
            <w:bottom w:val="none" w:sz="0" w:space="0" w:color="auto"/>
            <w:right w:val="none" w:sz="0" w:space="0" w:color="auto"/>
          </w:divBdr>
        </w:div>
        <w:div w:id="1411199393">
          <w:marLeft w:val="1742"/>
          <w:marRight w:val="0"/>
          <w:marTop w:val="48"/>
          <w:marBottom w:val="0"/>
          <w:divBdr>
            <w:top w:val="none" w:sz="0" w:space="0" w:color="auto"/>
            <w:left w:val="none" w:sz="0" w:space="0" w:color="auto"/>
            <w:bottom w:val="none" w:sz="0" w:space="0" w:color="auto"/>
            <w:right w:val="none" w:sz="0" w:space="0" w:color="auto"/>
          </w:divBdr>
        </w:div>
        <w:div w:id="1733188057">
          <w:marLeft w:val="1742"/>
          <w:marRight w:val="0"/>
          <w:marTop w:val="48"/>
          <w:marBottom w:val="0"/>
          <w:divBdr>
            <w:top w:val="none" w:sz="0" w:space="0" w:color="auto"/>
            <w:left w:val="none" w:sz="0" w:space="0" w:color="auto"/>
            <w:bottom w:val="none" w:sz="0" w:space="0" w:color="auto"/>
            <w:right w:val="none" w:sz="0" w:space="0" w:color="auto"/>
          </w:divBdr>
        </w:div>
        <w:div w:id="1753818279">
          <w:marLeft w:val="1742"/>
          <w:marRight w:val="0"/>
          <w:marTop w:val="48"/>
          <w:marBottom w:val="0"/>
          <w:divBdr>
            <w:top w:val="none" w:sz="0" w:space="0" w:color="auto"/>
            <w:left w:val="none" w:sz="0" w:space="0" w:color="auto"/>
            <w:bottom w:val="none" w:sz="0" w:space="0" w:color="auto"/>
            <w:right w:val="none" w:sz="0" w:space="0" w:color="auto"/>
          </w:divBdr>
        </w:div>
        <w:div w:id="1897203947">
          <w:marLeft w:val="1742"/>
          <w:marRight w:val="0"/>
          <w:marTop w:val="4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len\OneDrive%20-%20Red%20Kuorum\Documentos\Plantillas%20personalizadas%20de%20Office\modelo%20de%20documento%20simple.dotx" TargetMode="External"/></Relationships>
</file>

<file path=word/theme/theme1.xml><?xml version="1.0" encoding="utf-8"?>
<a:theme xmlns:a="http://schemas.openxmlformats.org/drawingml/2006/main" name="Atlas">
  <a:themeElements>
    <a:clrScheme name="Personalizado 4">
      <a:dk1>
        <a:sysClr val="windowText" lastClr="000000"/>
      </a:dk1>
      <a:lt1>
        <a:sysClr val="window" lastClr="FFFFFF"/>
      </a:lt1>
      <a:dk2>
        <a:srgbClr val="44546A"/>
      </a:dk2>
      <a:lt2>
        <a:srgbClr val="E7E6E6"/>
      </a:lt2>
      <a:accent1>
        <a:srgbClr val="CC66FF"/>
      </a:accent1>
      <a:accent2>
        <a:srgbClr val="990099"/>
      </a:accent2>
      <a:accent3>
        <a:srgbClr val="CC0066"/>
      </a:accent3>
      <a:accent4>
        <a:srgbClr val="FF0000"/>
      </a:accent4>
      <a:accent5>
        <a:srgbClr val="FF6600"/>
      </a:accent5>
      <a:accent6>
        <a:srgbClr val="FF9933"/>
      </a:accent6>
      <a:hlink>
        <a:srgbClr val="0563C1"/>
      </a:hlink>
      <a:folHlink>
        <a:srgbClr val="954F72"/>
      </a:folHlink>
    </a:clrScheme>
    <a:fontScheme name="TW Cen MT">
      <a:maj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50" row="10">
    <wetp:webextensionref xmlns:r="http://schemas.openxmlformats.org/officeDocument/2006/relationships" r:id="rId1"/>
  </wetp:taskpane>
  <wetp:taskpane dockstate="right" visibility="0" width="525"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7AE88A8-8E7C-4403-8345-23FBE808EF90}">
  <we:reference id="wa104380649" version="4.1.0.52" store="es-ES" storeType="OMEX"/>
  <we:alternateReferences>
    <we:reference id="WA104380649" version="4.1.0.52" store="WA10438064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2E67B52-B1AC-4C1C-B6EB-8B5446E5902C}">
  <we:reference id="wa104178141" version="3.0.11.21" store="es-ES" storeType="OMEX"/>
  <we:alternateReferences>
    <we:reference id="WA104178141" version="3.0.11.21" store="WA10417814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2019-09-15T00:00:00</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CC6773-9B01-40E2-B9F1-9E5BFEEB3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de documento simple</Template>
  <TotalTime>85</TotalTime>
  <Pages>9</Pages>
  <Words>4321</Words>
  <Characters>23771</Characters>
  <Application>Microsoft Office Word</Application>
  <DocSecurity>0</DocSecurity>
  <Lines>198</Lines>
  <Paragraphs>56</Paragraphs>
  <ScaleCrop>false</ScaleCrop>
  <HeadingPairs>
    <vt:vector size="6" baseType="variant">
      <vt:variant>
        <vt:lpstr>Título</vt:lpstr>
      </vt:variant>
      <vt:variant>
        <vt:i4>1</vt:i4>
      </vt:variant>
      <vt:variant>
        <vt:lpstr>Títulos</vt:lpstr>
      </vt:variant>
      <vt:variant>
        <vt:i4>13</vt:i4>
      </vt:variant>
      <vt:variant>
        <vt:lpstr>Titulua</vt:lpstr>
      </vt:variant>
      <vt:variant>
        <vt:i4>1</vt:i4>
      </vt:variant>
    </vt:vector>
  </HeadingPairs>
  <TitlesOfParts>
    <vt:vector size="15" baseType="lpstr">
      <vt:lpstr>Propuesta Técnica</vt:lpstr>
      <vt:lpstr>INFORME JURÍDICO-TÉCNICO Obligaciones en materia de medidas LGTBI y articulación</vt:lpstr>
      <vt:lpstr>    1. Objeto y alcance</vt:lpstr>
      <vt:lpstr>    2. Marco normativo aplicable</vt:lpstr>
      <vt:lpstr>    3. Relación entre plan de igualdad y medidas LGTBI</vt:lpstr>
      <vt:lpstr>    4. Opciones de actuación ante un plan de igualdad próximo a aprobación sin medid</vt:lpstr>
      <vt:lpstr>        4.1. Elaboración de un instrumento específico de medidas LGTBI (plan o acuerdo L</vt:lpstr>
      <vt:lpstr>        4.2. Rehacer o reabrir el plan de igualdad para integrar un eje LGTBI completo</vt:lpstr>
      <vt:lpstr>        4.3. Opción híbrida preferente: aprobación del plan de igualdad y aprobación sim</vt:lpstr>
      <vt:lpstr>    5. Implicaciones de capacidad técnica y cómo resolver la falta de experticia LGT</vt:lpstr>
      <vt:lpstr>    6. Contenidos mínimos que deben cubrirse aunque no exista experticia interna</vt:lpstr>
      <vt:lpstr>    8. Recomendación operativa</vt:lpstr>
      <vt:lpstr>    9. Aplicación al caso CCASA</vt:lpstr>
      <vt:lpstr>MODELO DE ACUERDO</vt:lpstr>
      <vt:lpstr>                                                                                    </vt:lpstr>
    </vt:vector>
  </TitlesOfParts>
  <Company>Red Kuorum</Company>
  <LinksUpToDate>false</LinksUpToDate>
  <CharactersWithSpaces>28036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Técnica</dc:title>
  <dc:subject>Formación de Apoyo a la Implantación del Plan de Igualdad Interno de Diputación Foral de Álava</dc:subject>
  <dc:creator>Red Kuorum -Helena Ortiz de Lejarazu</dc:creator>
  <cp:keywords/>
  <dc:description/>
  <cp:lastModifiedBy>Elena Ortiz De Lejarazu</cp:lastModifiedBy>
  <cp:revision>3</cp:revision>
  <cp:lastPrinted>2019-12-25T23:52:00Z</cp:lastPrinted>
  <dcterms:created xsi:type="dcterms:W3CDTF">2026-01-13T11:09:00Z</dcterms:created>
  <dcterms:modified xsi:type="dcterms:W3CDTF">2026-04-14T09:18:00Z</dcterms:modified>
</cp:coreProperties>
</file>