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3B38" w14:textId="09FE4799" w:rsidR="00061F0F" w:rsidRDefault="0093261F" w:rsidP="0093261F">
      <w:pPr>
        <w:pStyle w:val="Ttulo1"/>
      </w:pPr>
      <w:r>
        <w:t>MODELO DE ARTICULO 27</w:t>
      </w:r>
    </w:p>
    <w:p w14:paraId="765D680A" w14:textId="77777777" w:rsidR="0093261F" w:rsidRPr="0093261F" w:rsidRDefault="0093261F" w:rsidP="0093261F">
      <w:pPr>
        <w:pStyle w:val="Ttulo2"/>
      </w:pPr>
      <w:r w:rsidRPr="0093261F">
        <w:t>Artículo 27. Medidas en materia de acoso laboral y violencia machista contra las mujeres</w:t>
      </w:r>
    </w:p>
    <w:p w14:paraId="786D3E51" w14:textId="77777777" w:rsidR="0093261F" w:rsidRPr="0093261F" w:rsidRDefault="0093261F" w:rsidP="0093261F">
      <w:pPr>
        <w:jc w:val="both"/>
        <w:rPr>
          <w:b/>
          <w:bCs/>
        </w:rPr>
      </w:pPr>
      <w:r w:rsidRPr="0093261F">
        <w:rPr>
          <w:b/>
          <w:bCs/>
        </w:rPr>
        <w:t>27.1. Medidas generales en materia de acoso laboral y violencia machista</w:t>
      </w:r>
    </w:p>
    <w:p w14:paraId="11FC9ED7" w14:textId="77777777" w:rsidR="0093261F" w:rsidRPr="0093261F" w:rsidRDefault="0093261F" w:rsidP="0093261F">
      <w:pPr>
        <w:jc w:val="both"/>
      </w:pPr>
      <w:r w:rsidRPr="0093261F">
        <w:t xml:space="preserve">Centro de Cálculo de Álava, S.A. (CCASA) manifiesta su compromiso de garantizar un entorno de trabajo seguro, igualitario y libre de acoso o violencia. En este sentido, la empresa tiene aprobado y publicado un protocolo de prevención y actuación frente al acoso laboral (moral o psicológico), acoso sexual y acoso por razón de sexo en el trabajo, el cual fue acordado por la Dirección de la empresa y el Comité de Empresa (en representación de las personas trabajadoras) y suscrito por el Servicio de Seguridad y Salud Laboral de </w:t>
      </w:r>
      <w:proofErr w:type="spellStart"/>
      <w:r w:rsidRPr="0093261F">
        <w:t>Mutualia</w:t>
      </w:r>
      <w:proofErr w:type="spellEnd"/>
      <w:r w:rsidRPr="0093261F">
        <w:t>. Dicho protocolo se adecua a la obligación legal de establecer medidas para prevenir y combatir el acoso sexual, el acoso por razón de sexo y las violencias machistas en el ámbito laboral, y constituye la herramienta básica para resolver cualquier caso de este tipo que pudiera presentarse en el futuro.</w:t>
      </w:r>
    </w:p>
    <w:p w14:paraId="236669DC" w14:textId="77777777" w:rsidR="0093261F" w:rsidRPr="0093261F" w:rsidRDefault="0093261F" w:rsidP="0093261F">
      <w:pPr>
        <w:jc w:val="both"/>
      </w:pPr>
      <w:r w:rsidRPr="0093261F">
        <w:t xml:space="preserve">Asimismo, a los efectos del presente artículo, </w:t>
      </w:r>
      <w:r w:rsidRPr="0093261F">
        <w:rPr>
          <w:b/>
          <w:bCs/>
        </w:rPr>
        <w:t>se entiende por violencia machista contra las mujeres</w:t>
      </w:r>
      <w:r w:rsidRPr="0093261F">
        <w:t xml:space="preserve"> toda forma de violencia que </w:t>
      </w:r>
      <w:r w:rsidRPr="0093261F">
        <w:rPr>
          <w:b/>
          <w:bCs/>
        </w:rPr>
        <w:t>se ejerza contra las mujeres —incluidas las niñas, adolescentes y mujeres transexuales— por el hecho de serlo</w:t>
      </w:r>
      <w:r w:rsidRPr="0093261F">
        <w:t xml:space="preserve">, o que les afecte de forma desproporcionada, tanto en el ámbito público como en el privado. Esta violencia puede ejercerse por acción u omisión, mediante medios físicos, psicológicos, sexuales o económicos (incluyendo amenazas, intimidaciones y coacciones), y tenga o no resultado de daño o sufrimiento, </w:t>
      </w:r>
      <w:r w:rsidRPr="0093261F">
        <w:rPr>
          <w:b/>
          <w:bCs/>
        </w:rPr>
        <w:t>abarcando cualquier manifestación que lesione la dignidad, la integridad o la libertad de las mujeres</w:t>
      </w:r>
      <w:r w:rsidRPr="0093261F">
        <w:t xml:space="preserve">, de conformidad con la tipología establecida en la normativa vigente. CCASA declara la </w:t>
      </w:r>
      <w:r w:rsidRPr="0093261F">
        <w:rPr>
          <w:b/>
          <w:bCs/>
        </w:rPr>
        <w:t>tolerancia cero</w:t>
      </w:r>
      <w:r w:rsidRPr="0093261F">
        <w:t xml:space="preserve"> hacia estas violencias y se compromete a adoptar las medidas de sensibilización, prevención, detección y protección necesarias para garantizar vidas libres de violencia machista en su organización.</w:t>
      </w:r>
    </w:p>
    <w:p w14:paraId="2AF7E8E7" w14:textId="77777777" w:rsidR="0093261F" w:rsidRPr="0093261F" w:rsidRDefault="0093261F" w:rsidP="0093261F">
      <w:pPr>
        <w:jc w:val="both"/>
        <w:rPr>
          <w:b/>
          <w:bCs/>
        </w:rPr>
      </w:pPr>
      <w:r w:rsidRPr="0093261F">
        <w:rPr>
          <w:b/>
          <w:bCs/>
        </w:rPr>
        <w:t>27.2. Medidas en materia de violencia machista contra las mujeres</w:t>
      </w:r>
    </w:p>
    <w:p w14:paraId="03AEA071" w14:textId="77777777" w:rsidR="0093261F" w:rsidRPr="0093261F" w:rsidRDefault="0093261F" w:rsidP="0093261F">
      <w:pPr>
        <w:jc w:val="both"/>
        <w:rPr>
          <w:b/>
          <w:bCs/>
        </w:rPr>
      </w:pPr>
      <w:r w:rsidRPr="0093261F">
        <w:rPr>
          <w:b/>
          <w:bCs/>
        </w:rPr>
        <w:t>27.2.1. Principios de actuación</w:t>
      </w:r>
    </w:p>
    <w:p w14:paraId="5D4DBD35" w14:textId="77777777" w:rsidR="0093261F" w:rsidRPr="0093261F" w:rsidRDefault="0093261F" w:rsidP="0093261F">
      <w:pPr>
        <w:jc w:val="both"/>
      </w:pPr>
      <w:r w:rsidRPr="0093261F">
        <w:t>La actuación de CCASA frente a las situaciones de violencia machista contra las mujeres se regirá por los siguientes principios rectores, en coherencia con el Decreto Legislativo 1/2023, de 16 de marzo, de la Comunidad Autónoma del País Vasco:</w:t>
      </w:r>
    </w:p>
    <w:p w14:paraId="0A606FE7" w14:textId="77777777" w:rsidR="0093261F" w:rsidRPr="0093261F" w:rsidRDefault="0093261F" w:rsidP="0093261F">
      <w:pPr>
        <w:jc w:val="both"/>
      </w:pPr>
      <w:r w:rsidRPr="0093261F">
        <w:rPr>
          <w:b/>
          <w:bCs/>
        </w:rPr>
        <w:t>A)</w:t>
      </w:r>
      <w:r w:rsidRPr="0093261F">
        <w:t xml:space="preserve"> </w:t>
      </w:r>
      <w:r w:rsidRPr="0093261F">
        <w:rPr>
          <w:b/>
          <w:bCs/>
        </w:rPr>
        <w:t>Enfoque de derechos humanos y feminista:</w:t>
      </w:r>
      <w:r w:rsidRPr="0093261F">
        <w:t xml:space="preserve"> Se garantizará el respeto, la protección y la promoción de los derechos de las víctimas, colocando dichos derechos en el centro de todas las medidas adoptadas. La intervención estará fundamentada en la comprensión de las relaciones de género y en el empoderamiento de las mujeres, asegurando en todo caso el respeto a su dignidad y derechos fundamentales.</w:t>
      </w:r>
    </w:p>
    <w:p w14:paraId="30B195A2" w14:textId="77777777" w:rsidR="0093261F" w:rsidRPr="0093261F" w:rsidRDefault="0093261F" w:rsidP="0093261F">
      <w:pPr>
        <w:jc w:val="both"/>
      </w:pPr>
      <w:r w:rsidRPr="0093261F">
        <w:rPr>
          <w:b/>
          <w:bCs/>
        </w:rPr>
        <w:t>B)</w:t>
      </w:r>
      <w:r w:rsidRPr="0093261F">
        <w:t xml:space="preserve"> </w:t>
      </w:r>
      <w:r w:rsidRPr="0093261F">
        <w:rPr>
          <w:b/>
          <w:bCs/>
        </w:rPr>
        <w:t>Carácter integral e interdisciplinar:</w:t>
      </w:r>
      <w:r w:rsidRPr="0093261F">
        <w:t xml:space="preserve"> La respuesta de la empresa será </w:t>
      </w:r>
      <w:r w:rsidRPr="0093261F">
        <w:rPr>
          <w:b/>
          <w:bCs/>
        </w:rPr>
        <w:t>sistémica, integral e integrada</w:t>
      </w:r>
      <w:r w:rsidRPr="0093261F">
        <w:t xml:space="preserve">, partiendo de la base de que la violencia machista contra las mujeres es un problema </w:t>
      </w:r>
      <w:r w:rsidRPr="0093261F">
        <w:rPr>
          <w:b/>
          <w:bCs/>
        </w:rPr>
        <w:t>estructural y multidimensional</w:t>
      </w:r>
      <w:r w:rsidRPr="0093261F">
        <w:t xml:space="preserve">. Se atenderán </w:t>
      </w:r>
      <w:r w:rsidRPr="0093261F">
        <w:rPr>
          <w:b/>
          <w:bCs/>
        </w:rPr>
        <w:t>todas las necesidades</w:t>
      </w:r>
      <w:r w:rsidRPr="0093261F">
        <w:t xml:space="preserve"> de la víctima de forma coordinada y multidisciplinar, implicando a los distintos ámbitos de apoyo necesarios (laboral, social, psicológico, etc.).</w:t>
      </w:r>
    </w:p>
    <w:p w14:paraId="27C641D8" w14:textId="77777777" w:rsidR="0093261F" w:rsidRPr="0093261F" w:rsidRDefault="0093261F" w:rsidP="0093261F">
      <w:pPr>
        <w:jc w:val="both"/>
      </w:pPr>
      <w:r w:rsidRPr="0093261F">
        <w:rPr>
          <w:b/>
          <w:bCs/>
        </w:rPr>
        <w:t>C)</w:t>
      </w:r>
      <w:r w:rsidRPr="0093261F">
        <w:t xml:space="preserve"> </w:t>
      </w:r>
      <w:r w:rsidRPr="0093261F">
        <w:rPr>
          <w:b/>
          <w:bCs/>
        </w:rPr>
        <w:t>Atención sin discriminación ni revictimización:</w:t>
      </w:r>
      <w:r w:rsidRPr="0093261F">
        <w:t xml:space="preserve"> Cualquier actuación garantizará un trato equitativo y respetuoso, </w:t>
      </w:r>
      <w:r w:rsidRPr="0093261F">
        <w:rPr>
          <w:b/>
          <w:bCs/>
        </w:rPr>
        <w:t>sin discriminación</w:t>
      </w:r>
      <w:r w:rsidRPr="0093261F">
        <w:t xml:space="preserve"> alguna hacia la víctima y evitando en todo momento su </w:t>
      </w:r>
      <w:r w:rsidRPr="0093261F">
        <w:rPr>
          <w:b/>
          <w:bCs/>
        </w:rPr>
        <w:t>victimización secundaria</w:t>
      </w:r>
      <w:r w:rsidRPr="0093261F">
        <w:t>. Esto implica proteger su intimidad, imagen y vida privada, de modo que la persona afectada no se vea expuesta a divulgación indebida de su situación ni a tener que relatar reiteradamente los hechos vividos.</w:t>
      </w:r>
    </w:p>
    <w:p w14:paraId="7BD8B4B6" w14:textId="77777777" w:rsidR="0093261F" w:rsidRPr="0093261F" w:rsidRDefault="0093261F" w:rsidP="0093261F">
      <w:pPr>
        <w:jc w:val="both"/>
      </w:pPr>
      <w:r w:rsidRPr="0093261F">
        <w:rPr>
          <w:b/>
          <w:bCs/>
        </w:rPr>
        <w:lastRenderedPageBreak/>
        <w:t>D)</w:t>
      </w:r>
      <w:r w:rsidRPr="0093261F">
        <w:t xml:space="preserve"> </w:t>
      </w:r>
      <w:r w:rsidRPr="0093261F">
        <w:rPr>
          <w:b/>
          <w:bCs/>
        </w:rPr>
        <w:t>Consentimiento informado:</w:t>
      </w:r>
      <w:r w:rsidRPr="0093261F">
        <w:t xml:space="preserve"> Se asegurará el </w:t>
      </w:r>
      <w:r w:rsidRPr="0093261F">
        <w:rPr>
          <w:b/>
          <w:bCs/>
        </w:rPr>
        <w:t>consentimiento libre, informado y activo</w:t>
      </w:r>
      <w:r w:rsidRPr="0093261F">
        <w:t xml:space="preserve"> de la víctima en todas las decisiones que le conciernan. Ninguna medida de protección o apoyo se impondrá sin la conformidad de la persona afectada, garantizando su autonomía en el proceso.</w:t>
      </w:r>
    </w:p>
    <w:p w14:paraId="4399A1A1" w14:textId="77777777" w:rsidR="0093261F" w:rsidRPr="0093261F" w:rsidRDefault="0093261F" w:rsidP="0093261F">
      <w:pPr>
        <w:jc w:val="both"/>
      </w:pPr>
      <w:r w:rsidRPr="0093261F">
        <w:rPr>
          <w:b/>
          <w:bCs/>
        </w:rPr>
        <w:t>E)</w:t>
      </w:r>
      <w:r w:rsidRPr="0093261F">
        <w:t xml:space="preserve"> </w:t>
      </w:r>
      <w:r w:rsidRPr="0093261F">
        <w:rPr>
          <w:b/>
          <w:bCs/>
        </w:rPr>
        <w:t>Perspectiva interseccional:</w:t>
      </w:r>
      <w:r w:rsidRPr="0093261F">
        <w:t xml:space="preserve"> En el diseño y aplicación de las medidas se considerarán los diversos factores de posible discriminación múltiple (origen, raza, edad, discapacidad, orientación sexual, identidad de género, situación socioeconómica, familiar u otros) que puedan concurrir en cada caso. De esta forma, la respuesta se adaptará a las circunstancias particulares de la víctima, reconociendo la diversidad de experiencias entre las mujeres.</w:t>
      </w:r>
    </w:p>
    <w:p w14:paraId="77DA6C89" w14:textId="77777777" w:rsidR="0093261F" w:rsidRPr="0093261F" w:rsidRDefault="0093261F" w:rsidP="0093261F">
      <w:pPr>
        <w:jc w:val="both"/>
      </w:pPr>
      <w:r w:rsidRPr="0093261F">
        <w:rPr>
          <w:b/>
          <w:bCs/>
        </w:rPr>
        <w:t>F)</w:t>
      </w:r>
      <w:r w:rsidRPr="0093261F">
        <w:t xml:space="preserve"> </w:t>
      </w:r>
      <w:r w:rsidRPr="0093261F">
        <w:rPr>
          <w:b/>
          <w:bCs/>
        </w:rPr>
        <w:t>Derecho a la reparación:</w:t>
      </w:r>
      <w:r w:rsidRPr="0093261F">
        <w:t xml:space="preserve"> Se procurará la </w:t>
      </w:r>
      <w:r w:rsidRPr="0093261F">
        <w:rPr>
          <w:b/>
          <w:bCs/>
        </w:rPr>
        <w:t>reparación integral</w:t>
      </w:r>
      <w:r w:rsidRPr="0093261F">
        <w:t xml:space="preserve"> del daño sufrido por la víctima. La empresa, dentro de sus posibilidades, adoptará medidas encaminadas a </w:t>
      </w:r>
      <w:r w:rsidRPr="0093261F">
        <w:rPr>
          <w:b/>
          <w:bCs/>
        </w:rPr>
        <w:t>restablecer los derechos vulnerados</w:t>
      </w:r>
      <w:r w:rsidRPr="0093261F">
        <w:t xml:space="preserve"> y compensar las consecuencias derivadas de la violencia, en consonancia con las obligaciones legales de prevención, protección, persecución del agresor y reparación de la víctima.</w:t>
      </w:r>
    </w:p>
    <w:p w14:paraId="1182B5D0" w14:textId="77777777" w:rsidR="0093261F" w:rsidRPr="0093261F" w:rsidRDefault="0093261F" w:rsidP="0093261F">
      <w:pPr>
        <w:jc w:val="both"/>
      </w:pPr>
      <w:r w:rsidRPr="0093261F">
        <w:rPr>
          <w:b/>
          <w:bCs/>
        </w:rPr>
        <w:t>G)</w:t>
      </w:r>
      <w:r w:rsidRPr="0093261F">
        <w:t xml:space="preserve"> </w:t>
      </w:r>
      <w:r w:rsidRPr="0093261F">
        <w:rPr>
          <w:b/>
          <w:bCs/>
        </w:rPr>
        <w:t>Reconocimiento de la naturaleza de las violencias machistas:</w:t>
      </w:r>
      <w:r w:rsidRPr="0093261F">
        <w:t xml:space="preserve"> Se parte del reconocimiento de que la violencia machista contra las mujeres constituye una manifestación de las relaciones de poder desiguales y de la discriminación estructural por razón de género que sufren las mujeres por el mero hecho de serlo. Todas las medidas de este artículo atenderán a esa naturaleza específica, asegurando una respuesta especializada y acorde con la gravedad y características de estas violencias.</w:t>
      </w:r>
    </w:p>
    <w:p w14:paraId="5E85B1B8" w14:textId="77777777" w:rsidR="0093261F" w:rsidRPr="0093261F" w:rsidRDefault="0093261F" w:rsidP="0093261F">
      <w:pPr>
        <w:jc w:val="both"/>
        <w:rPr>
          <w:b/>
          <w:bCs/>
        </w:rPr>
      </w:pPr>
      <w:r w:rsidRPr="0093261F">
        <w:rPr>
          <w:b/>
          <w:bCs/>
        </w:rPr>
        <w:t>27.2.2. Movilidad por razón de violencia machista contra las mujeres</w:t>
      </w:r>
    </w:p>
    <w:p w14:paraId="49FFD2C9" w14:textId="77777777" w:rsidR="0093261F" w:rsidRPr="0093261F" w:rsidRDefault="0093261F" w:rsidP="0093261F">
      <w:pPr>
        <w:jc w:val="both"/>
      </w:pPr>
      <w:r w:rsidRPr="0093261F">
        <w:t xml:space="preserve">Las </w:t>
      </w:r>
      <w:r w:rsidRPr="0093261F">
        <w:rPr>
          <w:b/>
          <w:bCs/>
        </w:rPr>
        <w:t>mujeres</w:t>
      </w:r>
      <w:r w:rsidRPr="0093261F">
        <w:t xml:space="preserve"> de la empresa que sean víctimas de violencia machista y se vean obligadas a abandonar el centro de trabajo donde venían prestando sus servicios, para hacer efectiva su protección o su derecho a la asistencia social integral, tendrán </w:t>
      </w:r>
      <w:r w:rsidRPr="0093261F">
        <w:rPr>
          <w:b/>
          <w:bCs/>
        </w:rPr>
        <w:t>derecho preferente</w:t>
      </w:r>
      <w:r w:rsidRPr="0093261F">
        <w:t xml:space="preserve"> al traslado a otro puesto de trabajo de su mismo perfil profesional, en la medida en que existan vacantes disponibles para dicho perfil.</w:t>
      </w:r>
    </w:p>
    <w:p w14:paraId="764634EB" w14:textId="77777777" w:rsidR="0093261F" w:rsidRPr="0093261F" w:rsidRDefault="0093261F" w:rsidP="0093261F">
      <w:pPr>
        <w:jc w:val="both"/>
      </w:pPr>
      <w:r w:rsidRPr="0093261F">
        <w:t xml:space="preserve">En las actuaciones y procedimientos relacionados con casos de violencia machista, </w:t>
      </w:r>
      <w:r w:rsidRPr="0093261F">
        <w:rPr>
          <w:b/>
          <w:bCs/>
        </w:rPr>
        <w:t>se protegerá estrictamente la intimidad de las víctimas</w:t>
      </w:r>
      <w:r w:rsidRPr="0093261F">
        <w:t>. En particular, se salvaguardarán sus datos de carácter personal, así como los de sus descendientes u otras personas que estén bajo su guarda o custodia, evitando su divulgación innecesaria y asegurando la confidencialidad de toda información relacionada con estos procesos.</w:t>
      </w:r>
    </w:p>
    <w:p w14:paraId="7E691BA5" w14:textId="77777777" w:rsidR="0093261F" w:rsidRPr="0093261F" w:rsidRDefault="0093261F" w:rsidP="0093261F">
      <w:pPr>
        <w:jc w:val="both"/>
        <w:rPr>
          <w:b/>
          <w:bCs/>
        </w:rPr>
      </w:pPr>
      <w:r w:rsidRPr="0093261F">
        <w:rPr>
          <w:b/>
          <w:bCs/>
        </w:rPr>
        <w:t>27.2.3. Justificación de faltas de asistencia</w:t>
      </w:r>
    </w:p>
    <w:p w14:paraId="215687F2" w14:textId="77777777" w:rsidR="0093261F" w:rsidRPr="0093261F" w:rsidRDefault="0093261F" w:rsidP="0093261F">
      <w:pPr>
        <w:jc w:val="both"/>
      </w:pPr>
      <w:r w:rsidRPr="0093261F">
        <w:t xml:space="preserve">Las </w:t>
      </w:r>
      <w:r w:rsidRPr="0093261F">
        <w:rPr>
          <w:b/>
          <w:bCs/>
        </w:rPr>
        <w:t>faltas de asistencia</w:t>
      </w:r>
      <w:r w:rsidRPr="0093261F">
        <w:t xml:space="preserve"> al trabajo, totales o parciales, de las </w:t>
      </w:r>
      <w:r w:rsidRPr="0093261F">
        <w:rPr>
          <w:b/>
          <w:bCs/>
        </w:rPr>
        <w:t>empleadas víctimas de violencia machista</w:t>
      </w:r>
      <w:r w:rsidRPr="0093261F">
        <w:t xml:space="preserve"> se considerarán </w:t>
      </w:r>
      <w:r w:rsidRPr="0093261F">
        <w:rPr>
          <w:b/>
          <w:bCs/>
        </w:rPr>
        <w:t>justificadas</w:t>
      </w:r>
      <w:r w:rsidRPr="0093261F">
        <w:t xml:space="preserve">. La extensión de dicha justificación (duración de la ausencia) y las condiciones de la misma serán las que determinen los </w:t>
      </w:r>
      <w:r w:rsidRPr="0093261F">
        <w:rPr>
          <w:b/>
          <w:bCs/>
        </w:rPr>
        <w:t>servicios sociales de atención o los servicios de salud</w:t>
      </w:r>
      <w:r w:rsidRPr="0093261F">
        <w:t xml:space="preserve"> que estén prestando asistencia a la víctima, según corresponda en cada caso. La empresa no efectuará descuentos salariales ni sanciones disciplinarias por estas ausencias justificadas, siempre que se ajusten a lo indicado por dichos servicios especializados.</w:t>
      </w:r>
    </w:p>
    <w:p w14:paraId="0FAA2443" w14:textId="77777777" w:rsidR="0093261F" w:rsidRPr="0093261F" w:rsidRDefault="0093261F" w:rsidP="0093261F">
      <w:pPr>
        <w:jc w:val="both"/>
        <w:rPr>
          <w:b/>
          <w:bCs/>
        </w:rPr>
      </w:pPr>
      <w:r w:rsidRPr="0093261F">
        <w:rPr>
          <w:b/>
          <w:bCs/>
        </w:rPr>
        <w:t>27.2.4. Reducción de jornada y reordenación del tiempo de trabajo</w:t>
      </w:r>
    </w:p>
    <w:p w14:paraId="0D3DCD8C" w14:textId="77777777" w:rsidR="0093261F" w:rsidRPr="0093261F" w:rsidRDefault="0093261F" w:rsidP="0093261F">
      <w:pPr>
        <w:jc w:val="both"/>
      </w:pPr>
      <w:r w:rsidRPr="0093261F">
        <w:t xml:space="preserve">Las </w:t>
      </w:r>
      <w:r w:rsidRPr="0093261F">
        <w:rPr>
          <w:b/>
          <w:bCs/>
        </w:rPr>
        <w:t>empleadas víctimas de violencia machista</w:t>
      </w:r>
      <w:r w:rsidRPr="0093261F">
        <w:t xml:space="preserve">, para hacer efectiva su protección o su derecho a la asistencia social integral, podrán solicitar una </w:t>
      </w:r>
      <w:r w:rsidRPr="0093261F">
        <w:rPr>
          <w:b/>
          <w:bCs/>
        </w:rPr>
        <w:t>reducción de su jornada de trabajo</w:t>
      </w:r>
      <w:r w:rsidRPr="0093261F">
        <w:t xml:space="preserve">, con disminución proporcional de la retribución, o la </w:t>
      </w:r>
      <w:r w:rsidRPr="0093261F">
        <w:rPr>
          <w:b/>
          <w:bCs/>
        </w:rPr>
        <w:t>reordenación de su tiempo de trabajo</w:t>
      </w:r>
      <w:r w:rsidRPr="0093261F">
        <w:t>. Esta reordenación podrá implicar la adaptación o flexibilización de su horario laboral, u otras formas de ordenación del tiempo de trabajo que sean aplicables en la empresa, de acuerdo con las necesidades de protección de la víctima.</w:t>
      </w:r>
    </w:p>
    <w:p w14:paraId="170337F9" w14:textId="77777777" w:rsidR="0093261F" w:rsidRPr="0093261F" w:rsidRDefault="0093261F" w:rsidP="0093261F">
      <w:pPr>
        <w:jc w:val="both"/>
      </w:pPr>
      <w:r w:rsidRPr="0093261F">
        <w:t>Estas medidas de reducción o adaptación de jornada se concederán en los términos que establezcan los protocolos internos relativos a la protección frente a la violencia machista contra las mujeres o, en su defecto, conforme a las indicaciones del área de Recursos Humanos competente. En todo caso, la empresa procurará soluciones que faciliten la continuidad laboral de la trabajadora afectada sin poner en riesgo su seguridad, mediante horarios compatibles con sus necesidades de protección.</w:t>
      </w:r>
    </w:p>
    <w:p w14:paraId="71870333" w14:textId="77777777" w:rsidR="0093261F" w:rsidRPr="0093261F" w:rsidRDefault="0093261F" w:rsidP="0093261F">
      <w:pPr>
        <w:jc w:val="both"/>
        <w:rPr>
          <w:b/>
          <w:bCs/>
        </w:rPr>
      </w:pPr>
      <w:r w:rsidRPr="0093261F">
        <w:rPr>
          <w:b/>
          <w:bCs/>
        </w:rPr>
        <w:t>27.2.5. Acreditación de las situaciones de violencia machista</w:t>
      </w:r>
    </w:p>
    <w:p w14:paraId="6392C11F" w14:textId="77777777" w:rsidR="0093261F" w:rsidRPr="0093261F" w:rsidRDefault="0093261F" w:rsidP="0093261F">
      <w:pPr>
        <w:jc w:val="both"/>
      </w:pPr>
      <w:r w:rsidRPr="0093261F">
        <w:t xml:space="preserve">La situación de violencia machista que dé lugar al reconocimiento de los derechos y medidas previstos en este artículo </w:t>
      </w:r>
      <w:r w:rsidRPr="0093261F">
        <w:rPr>
          <w:b/>
          <w:bCs/>
        </w:rPr>
        <w:t>podrá acreditarse por cualquiera de los medios admitidos en la legislación vigente</w:t>
      </w:r>
      <w:r w:rsidRPr="0093261F">
        <w:t xml:space="preserve">. En particular, </w:t>
      </w:r>
      <w:r w:rsidRPr="0093261F">
        <w:rPr>
          <w:b/>
          <w:bCs/>
        </w:rPr>
        <w:t>no se exigirá</w:t>
      </w:r>
      <w:r w:rsidRPr="0093261F">
        <w:t xml:space="preserve"> en exclusiva la obtención de una orden judicial de protección para acceder a estas medidas. La condición de víctima podrá acreditarse, entre otros, mediante la orden de protección a favor de la víctima emitida por la autoridad judicial, </w:t>
      </w:r>
      <w:r w:rsidRPr="0093261F">
        <w:rPr>
          <w:b/>
          <w:bCs/>
        </w:rPr>
        <w:t>informe del Ministerio Fiscal</w:t>
      </w:r>
      <w:r w:rsidRPr="0093261F">
        <w:t xml:space="preserve"> que indique la existencia de indicios de violencia, </w:t>
      </w:r>
      <w:r w:rsidRPr="0093261F">
        <w:rPr>
          <w:b/>
          <w:bCs/>
        </w:rPr>
        <w:t>informes de los servicios sociales, sanitarios o psicológicos</w:t>
      </w:r>
      <w:r w:rsidRPr="0093261F">
        <w:t xml:space="preserve"> que estén atendiendo a la víctima, o certificados expedidos por los </w:t>
      </w:r>
      <w:r w:rsidRPr="0093261F">
        <w:rPr>
          <w:b/>
          <w:bCs/>
        </w:rPr>
        <w:t>servicios especializados en violencia machista</w:t>
      </w:r>
      <w:r w:rsidRPr="0093261F">
        <w:t xml:space="preserve"> de las administraciones públicas competentes.</w:t>
      </w:r>
    </w:p>
    <w:p w14:paraId="1007BD5F" w14:textId="77777777" w:rsidR="0093261F" w:rsidRPr="0093261F" w:rsidRDefault="0093261F" w:rsidP="0093261F">
      <w:pPr>
        <w:jc w:val="both"/>
      </w:pPr>
      <w:r w:rsidRPr="0093261F">
        <w:t>En ningún caso la empresa condicionará la activación de las medidas de protección a que la víctima interponga denuncia penal o aporte resolución judicial firme sobre su caso. Bastará con la acreditación emitida por cualquiera de las instancias mencionadas u otras equivalentes conforme a la normativa aplicable para que la trabajadora pueda acceder de inmediato a los derechos reconocidos en este artículo.</w:t>
      </w:r>
    </w:p>
    <w:p w14:paraId="13F8A9B3" w14:textId="77777777" w:rsidR="0093261F" w:rsidRPr="0093261F" w:rsidRDefault="0093261F" w:rsidP="0093261F">
      <w:pPr>
        <w:jc w:val="both"/>
        <w:rPr>
          <w:b/>
          <w:bCs/>
        </w:rPr>
      </w:pPr>
      <w:r w:rsidRPr="0093261F">
        <w:rPr>
          <w:b/>
          <w:bCs/>
        </w:rPr>
        <w:t>27.2.6. Licencias por razón de violencia intrafamiliar sobre la persona trabajadora</w:t>
      </w:r>
    </w:p>
    <w:p w14:paraId="4592F6BE" w14:textId="77777777" w:rsidR="0093261F" w:rsidRPr="0093261F" w:rsidRDefault="0093261F" w:rsidP="0093261F">
      <w:pPr>
        <w:jc w:val="both"/>
      </w:pPr>
      <w:r w:rsidRPr="0093261F">
        <w:rPr>
          <w:b/>
          <w:bCs/>
        </w:rPr>
        <w:t>A)</w:t>
      </w:r>
      <w:r w:rsidRPr="0093261F">
        <w:t xml:space="preserve"> Las faltas de asistencia al trabajo, totales o parciales, de la persona de la plantilla que sea </w:t>
      </w:r>
      <w:r w:rsidRPr="0093261F">
        <w:rPr>
          <w:b/>
          <w:bCs/>
        </w:rPr>
        <w:t>víctima de violencia intrafamiliar</w:t>
      </w:r>
      <w:r w:rsidRPr="0093261F">
        <w:t xml:space="preserve"> se considerarán </w:t>
      </w:r>
      <w:r w:rsidRPr="0093261F">
        <w:rPr>
          <w:b/>
          <w:bCs/>
        </w:rPr>
        <w:t>justificadas</w:t>
      </w:r>
      <w:r w:rsidRPr="0093261F">
        <w:t xml:space="preserve"> en las condiciones y por el tiempo que determinen los servicios sociales de atención o los servicios de salud competentes, según proceda en función de la situación. A estos efectos, se entiende por violencia intrafamiliar aquella que tiene lugar en el núcleo familiar de la persona trabajadora. La justificación de las ausencias por este motivo estará sujeta a la aportación de informe o certificación emitida por dichos servicios sociales o sanitarios que acredite la situación de violencia en el ámbito familiar. </w:t>
      </w:r>
      <w:r w:rsidRPr="0093261F">
        <w:rPr>
          <w:i/>
          <w:iCs/>
        </w:rPr>
        <w:t>(Se elimina la exigencia de denuncia previa por parte de la víctima, en coherencia con lo dispuesto en el apartado 27.2.5.)</w:t>
      </w:r>
    </w:p>
    <w:p w14:paraId="3210B223" w14:textId="77777777" w:rsidR="0093261F" w:rsidRPr="0093261F" w:rsidRDefault="0093261F" w:rsidP="0093261F">
      <w:pPr>
        <w:jc w:val="both"/>
      </w:pPr>
      <w:r w:rsidRPr="0093261F">
        <w:rPr>
          <w:b/>
          <w:bCs/>
        </w:rPr>
        <w:t>B)</w:t>
      </w:r>
      <w:r w:rsidRPr="0093261F">
        <w:t xml:space="preserve"> Asimismo, la persona trabajadora que sea víctima de </w:t>
      </w:r>
      <w:r w:rsidRPr="0093261F">
        <w:rPr>
          <w:b/>
          <w:bCs/>
        </w:rPr>
        <w:t>violencia intrafamiliar</w:t>
      </w:r>
      <w:r w:rsidRPr="0093261F">
        <w:t xml:space="preserve"> tendrá derecho a la </w:t>
      </w:r>
      <w:r w:rsidRPr="0093261F">
        <w:rPr>
          <w:b/>
          <w:bCs/>
        </w:rPr>
        <w:t>reducción de su jornada</w:t>
      </w:r>
      <w:r w:rsidRPr="0093261F">
        <w:t xml:space="preserve"> con disminución proporcional de la retribución, o a la </w:t>
      </w:r>
      <w:r w:rsidRPr="0093261F">
        <w:rPr>
          <w:b/>
          <w:bCs/>
        </w:rPr>
        <w:t>reordenación de su tiempo de trabajo</w:t>
      </w:r>
      <w:r w:rsidRPr="0093261F">
        <w:t>, a través de la adaptación de su horario y la aplicación de la flexibilidad horaria disponibles en la empresa. Estas medidas se concederán en términos similares a los previstos para las víctimas de violencia machista en el apartado 27.2.4, ajustándose a las necesidades de protección de la persona afectada en el entorno familiar.</w:t>
      </w:r>
    </w:p>
    <w:p w14:paraId="458EBDC2" w14:textId="77777777" w:rsidR="0093261F" w:rsidRPr="0093261F" w:rsidRDefault="0093261F" w:rsidP="0093261F">
      <w:pPr>
        <w:jc w:val="both"/>
        <w:rPr>
          <w:b/>
          <w:bCs/>
        </w:rPr>
      </w:pPr>
      <w:r w:rsidRPr="0093261F">
        <w:rPr>
          <w:b/>
          <w:bCs/>
        </w:rPr>
        <w:t>27.2.7. Excedencia por razón de violencia machista contra las mujeres</w:t>
      </w:r>
    </w:p>
    <w:p w14:paraId="10129B8A" w14:textId="77777777" w:rsidR="0093261F" w:rsidRPr="0093261F" w:rsidRDefault="0093261F" w:rsidP="0093261F">
      <w:pPr>
        <w:jc w:val="both"/>
      </w:pPr>
      <w:r w:rsidRPr="0093261F">
        <w:rPr>
          <w:b/>
          <w:bCs/>
        </w:rPr>
        <w:t>A)</w:t>
      </w:r>
      <w:r w:rsidRPr="0093261F">
        <w:t xml:space="preserve"> Las trabajadoras de la empresa que sean </w:t>
      </w:r>
      <w:r w:rsidRPr="0093261F">
        <w:rPr>
          <w:b/>
          <w:bCs/>
        </w:rPr>
        <w:t>víctimas de violencia machista</w:t>
      </w:r>
      <w:r w:rsidRPr="0093261F">
        <w:t xml:space="preserve"> tendrán derecho a solicitar una situación de </w:t>
      </w:r>
      <w:r w:rsidRPr="0093261F">
        <w:rPr>
          <w:b/>
          <w:bCs/>
        </w:rPr>
        <w:t>excedencia</w:t>
      </w:r>
      <w:r w:rsidRPr="0093261F">
        <w:t xml:space="preserve"> voluntaria especial, con el fin de hacer efectiva su protección o su derecho a la asistencia social integral. Para el disfrute de esta excedencia no se exigirá antigüedad mínima en la empresa, ni resultará exigible un periodo previo de prestación de servicios, ni un plazo mínimo de permanencia en la misma.</w:t>
      </w:r>
    </w:p>
    <w:p w14:paraId="34E5AB5D" w14:textId="77777777" w:rsidR="0093261F" w:rsidRPr="0093261F" w:rsidRDefault="0093261F" w:rsidP="0093261F">
      <w:pPr>
        <w:jc w:val="both"/>
      </w:pPr>
      <w:r w:rsidRPr="0093261F">
        <w:rPr>
          <w:b/>
          <w:bCs/>
        </w:rPr>
        <w:t>B)</w:t>
      </w:r>
      <w:r w:rsidRPr="0093261F">
        <w:t xml:space="preserve"> Durante los </w:t>
      </w:r>
      <w:r w:rsidRPr="0093261F">
        <w:rPr>
          <w:b/>
          <w:bCs/>
        </w:rPr>
        <w:t>seis primeros meses</w:t>
      </w:r>
      <w:r w:rsidRPr="0093261F">
        <w:t xml:space="preserve"> de esta excedencia, la trabajadora tendrá derecho a la </w:t>
      </w:r>
      <w:r w:rsidRPr="0093261F">
        <w:rPr>
          <w:b/>
          <w:bCs/>
        </w:rPr>
        <w:t>reserva de su puesto de trabajo</w:t>
      </w:r>
      <w:r w:rsidRPr="0093261F">
        <w:t>, computándose dicho período a efectos de antigüedad y de mantenimiento de los derechos derivados del régimen de Seguridad Social que le sea de aplicación.</w:t>
      </w:r>
    </w:p>
    <w:p w14:paraId="69EBEB65" w14:textId="77777777" w:rsidR="0093261F" w:rsidRPr="0093261F" w:rsidRDefault="0093261F" w:rsidP="0093261F">
      <w:pPr>
        <w:jc w:val="both"/>
      </w:pPr>
      <w:r w:rsidRPr="0093261F">
        <w:rPr>
          <w:b/>
          <w:bCs/>
        </w:rPr>
        <w:t>C)</w:t>
      </w:r>
      <w:r w:rsidRPr="0093261F">
        <w:t xml:space="preserve"> Cuando las circunstancias de la situación lo exigieran (por ejemplo, la duración de las actuaciones judiciales de protección), la trabajadora podrá solicitar la </w:t>
      </w:r>
      <w:r w:rsidRPr="0093261F">
        <w:rPr>
          <w:b/>
          <w:bCs/>
        </w:rPr>
        <w:t>prórroga</w:t>
      </w:r>
      <w:r w:rsidRPr="0093261F">
        <w:t xml:space="preserve"> de la excedencia por períodos trimestrales sucesivos, hasta un máximo de </w:t>
      </w:r>
      <w:r w:rsidRPr="0093261F">
        <w:rPr>
          <w:b/>
          <w:bCs/>
        </w:rPr>
        <w:t>dieciocho meses</w:t>
      </w:r>
      <w:r w:rsidRPr="0093261F">
        <w:t xml:space="preserve"> en total, con los mismos efectos garantizados en los apartados anteriores. Estas posibles prórrogas tienen la finalidad de garantizar la efectividad del derecho de protección de la víctima mientras persista la situación de riesgo.</w:t>
      </w:r>
    </w:p>
    <w:p w14:paraId="1AB26F04" w14:textId="77777777" w:rsidR="0093261F" w:rsidRPr="0093261F" w:rsidRDefault="0093261F" w:rsidP="0093261F">
      <w:pPr>
        <w:jc w:val="both"/>
      </w:pPr>
      <w:r w:rsidRPr="0093261F">
        <w:rPr>
          <w:b/>
          <w:bCs/>
        </w:rPr>
        <w:t>D)</w:t>
      </w:r>
      <w:r w:rsidRPr="0093261F">
        <w:t xml:space="preserve"> Durante los </w:t>
      </w:r>
      <w:r w:rsidRPr="0093261F">
        <w:rPr>
          <w:b/>
          <w:bCs/>
        </w:rPr>
        <w:t>dos primeros meses</w:t>
      </w:r>
      <w:r w:rsidRPr="0093261F">
        <w:t xml:space="preserve"> de la excedencia la trabajadora tendrá derecho a percibir sus </w:t>
      </w:r>
      <w:r w:rsidRPr="0093261F">
        <w:rPr>
          <w:b/>
          <w:bCs/>
        </w:rPr>
        <w:t>retribuciones íntegras</w:t>
      </w:r>
      <w:r w:rsidRPr="0093261F">
        <w:t>, así como, en su caso, las prestaciones familiares por hijo o hija a cargo que pudiera corresponderle. Transcurrido dicho plazo inicial remunerado, la excedencia continuará sin derecho a retribución, salvo mejora establecida por normativa o acuerdo aplicable, pero la trabajadora podrá acogerse a las prestaciones de Seguridad Social o ayudas públicas que correspondan a víctimas de violencia machista durante el periodo restante de excedencia.</w:t>
      </w:r>
    </w:p>
    <w:p w14:paraId="4A59A074" w14:textId="77777777" w:rsidR="0093261F" w:rsidRPr="0093261F" w:rsidRDefault="0093261F" w:rsidP="0093261F">
      <w:pPr>
        <w:jc w:val="both"/>
        <w:rPr>
          <w:b/>
          <w:bCs/>
        </w:rPr>
      </w:pPr>
      <w:r w:rsidRPr="0093261F">
        <w:rPr>
          <w:b/>
          <w:bCs/>
        </w:rPr>
        <w:t>27.2.8. Periodo vacacional</w:t>
      </w:r>
    </w:p>
    <w:p w14:paraId="6B6D5E3A" w14:textId="77777777" w:rsidR="0093261F" w:rsidRPr="0093261F" w:rsidRDefault="0093261F" w:rsidP="0093261F">
      <w:pPr>
        <w:jc w:val="both"/>
      </w:pPr>
      <w:r w:rsidRPr="0093261F">
        <w:t xml:space="preserve">En el supuesto de que, para garantizar la protección de la víctima o su derecho a la asistencia social integral, fuera necesaria la determinación del </w:t>
      </w:r>
      <w:r w:rsidRPr="0093261F">
        <w:rPr>
          <w:b/>
          <w:bCs/>
        </w:rPr>
        <w:t>periodo de vacaciones</w:t>
      </w:r>
      <w:r w:rsidRPr="0093261F">
        <w:t xml:space="preserve"> de la persona afectada en unas fechas específicas, la empresa buscará fórmulas de adaptación para fijar las vacaciones de acuerdo con las necesidades del caso concreto. En estos casos, se procurará conciliar el derecho a la protección de la trabajadora con el disfrute efectivo de sus vacaciones, introduciendo las flexibilidades que resulten oportunas (por ejemplo, fraccionamiento del periodo vacacional, cambios de turno, aplazamiento o adelanto de días de descanso, etc.), siempre en coordinación con la interesada.</w:t>
      </w:r>
    </w:p>
    <w:p w14:paraId="5DC4B9F9" w14:textId="77777777" w:rsidR="0093261F" w:rsidRPr="0093261F" w:rsidRDefault="0093261F" w:rsidP="0093261F">
      <w:pPr>
        <w:jc w:val="both"/>
        <w:rPr>
          <w:b/>
          <w:bCs/>
        </w:rPr>
      </w:pPr>
      <w:r w:rsidRPr="0093261F">
        <w:rPr>
          <w:b/>
          <w:bCs/>
        </w:rPr>
        <w:t>27.2.9. Procedimiento interno de solicitud, tramitación y seguimiento de las medidas</w:t>
      </w:r>
    </w:p>
    <w:p w14:paraId="5F1F7CAB" w14:textId="77777777" w:rsidR="0093261F" w:rsidRPr="0093261F" w:rsidRDefault="0093261F" w:rsidP="0093261F">
      <w:pPr>
        <w:jc w:val="both"/>
      </w:pPr>
      <w:r w:rsidRPr="0093261F">
        <w:rPr>
          <w:b/>
          <w:bCs/>
        </w:rPr>
        <w:t>A)</w:t>
      </w:r>
      <w:r w:rsidRPr="0093261F">
        <w:t xml:space="preserve"> </w:t>
      </w:r>
      <w:r w:rsidRPr="0093261F">
        <w:rPr>
          <w:b/>
          <w:bCs/>
        </w:rPr>
        <w:t>Punto de contacto único:</w:t>
      </w:r>
      <w:r w:rsidRPr="0093261F">
        <w:t xml:space="preserve"> La persona trabajadora que sea víctima de violencia machista podrá solicitar la activación de las medidas de protección previstas en este artículo a través de un </w:t>
      </w:r>
      <w:r w:rsidRPr="0093261F">
        <w:rPr>
          <w:b/>
          <w:bCs/>
        </w:rPr>
        <w:t>punto de contacto único</w:t>
      </w:r>
      <w:r w:rsidRPr="0093261F">
        <w:t xml:space="preserve"> designado por la empresa. A tal efecto, CCASA designará a una persona o unidad especializada (por ejemplo, la Unidad de Recursos Humanos o la persona responsable en materia de igualdad) que será la encargada de recibir las solicitudes y actuaciones relacionadas con estos casos. Este punto de contacto proporcionará a la víctima información sobre sus derechos y las medidas disponibles, y la </w:t>
      </w:r>
      <w:r w:rsidRPr="0093261F">
        <w:rPr>
          <w:b/>
          <w:bCs/>
        </w:rPr>
        <w:t>acompañará</w:t>
      </w:r>
      <w:r w:rsidRPr="0093261F">
        <w:t xml:space="preserve"> durante todo el proceso, sirviendo de enlace con la empresa para evitar que la afectada deba dirigirse a múltiples interlocutores.</w:t>
      </w:r>
    </w:p>
    <w:p w14:paraId="55FE8596" w14:textId="77777777" w:rsidR="0093261F" w:rsidRPr="0093261F" w:rsidRDefault="0093261F" w:rsidP="0093261F">
      <w:pPr>
        <w:jc w:val="both"/>
      </w:pPr>
      <w:r w:rsidRPr="0093261F">
        <w:rPr>
          <w:b/>
          <w:bCs/>
        </w:rPr>
        <w:t>B)</w:t>
      </w:r>
      <w:r w:rsidRPr="0093261F">
        <w:t xml:space="preserve"> </w:t>
      </w:r>
      <w:r w:rsidRPr="0093261F">
        <w:rPr>
          <w:b/>
          <w:bCs/>
        </w:rPr>
        <w:t>Tramitación confidencial y urgente:</w:t>
      </w:r>
      <w:r w:rsidRPr="0093261F">
        <w:t xml:space="preserve"> La solicitud y la tramitación de las medidas se llevarán a cabo de forma </w:t>
      </w:r>
      <w:r w:rsidRPr="0093261F">
        <w:rPr>
          <w:b/>
          <w:bCs/>
        </w:rPr>
        <w:t>confidencial, individualizada y prioritaria</w:t>
      </w:r>
      <w:r w:rsidRPr="0093261F">
        <w:t xml:space="preserve">. La empresa garantizará que la trabajadora </w:t>
      </w:r>
      <w:r w:rsidRPr="0093261F">
        <w:rPr>
          <w:b/>
          <w:bCs/>
        </w:rPr>
        <w:t>no tenga que relatar reiteradamente</w:t>
      </w:r>
      <w:r w:rsidRPr="0093261F">
        <w:t xml:space="preserve"> su situación ante diferentes personas, manteniendo en todo momento la privacidad y sensibilidad requeridas. Una vez recibida la solicitud o conocida la situación de la víctima, la empresa iniciará de inmediato el procedimiento de ayuda: se contactará con la trabajadora a la mayor brevedad para evaluar sus necesidades y, en todo caso, se emitirá una respuesta inicial dentro de las </w:t>
      </w:r>
      <w:r w:rsidRPr="0093261F">
        <w:rPr>
          <w:b/>
          <w:bCs/>
        </w:rPr>
        <w:t>48 horas</w:t>
      </w:r>
      <w:r w:rsidRPr="0093261F">
        <w:t xml:space="preserve"> siguientes a la comunicación, adoptando las primeras medidas de protección o apoyo que procedan. La implementación completa de las medidas acordadas se realizará con </w:t>
      </w:r>
      <w:r w:rsidRPr="0093261F">
        <w:rPr>
          <w:b/>
          <w:bCs/>
        </w:rPr>
        <w:t>celeridad</w:t>
      </w:r>
      <w:r w:rsidRPr="0093261F">
        <w:t>, evitando demoras injustificadas dada la naturaleza urgente de estas situaciones.</w:t>
      </w:r>
    </w:p>
    <w:p w14:paraId="2057A0B0" w14:textId="77777777" w:rsidR="0093261F" w:rsidRPr="0093261F" w:rsidRDefault="0093261F" w:rsidP="0093261F">
      <w:pPr>
        <w:jc w:val="both"/>
      </w:pPr>
      <w:r w:rsidRPr="0093261F">
        <w:rPr>
          <w:b/>
          <w:bCs/>
        </w:rPr>
        <w:t>C)</w:t>
      </w:r>
      <w:r w:rsidRPr="0093261F">
        <w:t xml:space="preserve"> </w:t>
      </w:r>
      <w:r w:rsidRPr="0093261F">
        <w:rPr>
          <w:b/>
          <w:bCs/>
        </w:rPr>
        <w:t>Custodia y protección de la información:</w:t>
      </w:r>
      <w:r w:rsidRPr="0093261F">
        <w:t xml:space="preserve"> Toda documentación aportada por la víctima, así como la información relativa a su caso, será tratada con la </w:t>
      </w:r>
      <w:r w:rsidRPr="0093261F">
        <w:rPr>
          <w:b/>
          <w:bCs/>
        </w:rPr>
        <w:t>máxima reserva</w:t>
      </w:r>
      <w:r w:rsidRPr="0093261F">
        <w:t xml:space="preserve">. La empresa garantizará la </w:t>
      </w:r>
      <w:r w:rsidRPr="0093261F">
        <w:rPr>
          <w:b/>
          <w:bCs/>
        </w:rPr>
        <w:t>custodia segura</w:t>
      </w:r>
      <w:r w:rsidRPr="0093261F">
        <w:t xml:space="preserve"> de dichos documentos e informes, limitando el acceso a los mismos exclusivamente a las personas indispensables para la gestión y ejecución de las medidas (por ejemplo, el punto de contacto designado y la Dirección de Recursos Humanos, en su caso). Se observará rigurosamente la normativa vigente en materia de protección de datos de carácter personal, asegurando que no se divulgue información sin autorización de la persona afectada.</w:t>
      </w:r>
    </w:p>
    <w:p w14:paraId="5CBC4791" w14:textId="77777777" w:rsidR="0093261F" w:rsidRPr="0093261F" w:rsidRDefault="0093261F" w:rsidP="0093261F">
      <w:pPr>
        <w:jc w:val="both"/>
      </w:pPr>
      <w:r w:rsidRPr="0093261F">
        <w:rPr>
          <w:b/>
          <w:bCs/>
        </w:rPr>
        <w:t>D)</w:t>
      </w:r>
      <w:r w:rsidRPr="0093261F">
        <w:t xml:space="preserve"> </w:t>
      </w:r>
      <w:r w:rsidRPr="0093261F">
        <w:rPr>
          <w:b/>
          <w:bCs/>
        </w:rPr>
        <w:t>Revisión y seguimiento periódico:</w:t>
      </w:r>
      <w:r w:rsidRPr="0093261F">
        <w:t xml:space="preserve"> Las medidas aplicadas serán objeto de </w:t>
      </w:r>
      <w:r w:rsidRPr="0093261F">
        <w:rPr>
          <w:b/>
          <w:bCs/>
        </w:rPr>
        <w:t>seguimiento</w:t>
      </w:r>
      <w:r w:rsidRPr="0093261F">
        <w:t xml:space="preserve"> y, en su caso, </w:t>
      </w:r>
      <w:r w:rsidRPr="0093261F">
        <w:rPr>
          <w:b/>
          <w:bCs/>
        </w:rPr>
        <w:t>revisión periódica</w:t>
      </w:r>
      <w:r w:rsidRPr="0093261F">
        <w:t xml:space="preserve">. El punto de contacto designado realizará un seguimiento de la eficacia y adecuación de las medidas adoptadas, manteniendo comunicación con la trabajadora para valorar su estado y necesidades evolutivas. Dicho seguimiento se efectuará con una periodicidad acorde a la situación (por ejemplo, evaluaciones trimestrales), con el propósito de </w:t>
      </w:r>
      <w:r w:rsidRPr="0093261F">
        <w:rPr>
          <w:b/>
          <w:bCs/>
        </w:rPr>
        <w:t>ajustar, prorrogar o suspender</w:t>
      </w:r>
      <w:r w:rsidRPr="0093261F">
        <w:t xml:space="preserve"> las medidas según corresponda. En particular, las medidas de protección no se suspenderán ni retirarán sin la previa consulta y consentimiento de la persona beneficiaria, salvo que medie garantía alternativa equivalente o cese definitivo de la situación de violencia. La Comisión de Igualdad u órgano equivalente de la empresa podrá ser informada, manteniendo el sigilo debido, del grado de cumplimiento y eficacia de las medidas en términos generales, a fin de mejorar de forma continua el protocolo de actuación interno.</w:t>
      </w:r>
    </w:p>
    <w:p w14:paraId="4DB366AA" w14:textId="77777777" w:rsidR="0093261F" w:rsidRPr="009C4674" w:rsidRDefault="0093261F" w:rsidP="009C4674"/>
    <w:sectPr w:rsidR="0093261F" w:rsidRPr="009C4674" w:rsidSect="00813704">
      <w:headerReference w:type="even" r:id="rId9"/>
      <w:headerReference w:type="default" r:id="rId10"/>
      <w:footerReference w:type="even" r:id="rId11"/>
      <w:footerReference w:type="default" r:id="rId12"/>
      <w:headerReference w:type="first" r:id="rId13"/>
      <w:footerReference w:type="first" r:id="rId14"/>
      <w:pgSz w:w="11906" w:h="16838" w:code="9"/>
      <w:pgMar w:top="1701" w:right="1985" w:bottom="1701" w:left="1985" w:header="0" w:footer="0"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9240" w14:textId="77777777" w:rsidR="007D3E93" w:rsidRDefault="007D3E93" w:rsidP="00821493">
      <w:r>
        <w:separator/>
      </w:r>
    </w:p>
  </w:endnote>
  <w:endnote w:type="continuationSeparator" w:id="0">
    <w:p w14:paraId="07016D57" w14:textId="77777777" w:rsidR="007D3E93" w:rsidRDefault="007D3E93"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FB92DD5-9A02-41AA-A605-B904D3A96665}"/>
    <w:embedItalic r:id="rId2" w:fontKey="{95C409E1-3AA0-4657-9588-0BAB705132D2}"/>
  </w:font>
  <w:font w:name="Tw Cen MT">
    <w:panose1 w:val="020B0602020104020603"/>
    <w:charset w:val="00"/>
    <w:family w:val="swiss"/>
    <w:pitch w:val="variable"/>
    <w:sig w:usb0="00000007" w:usb1="00000000" w:usb2="00000000" w:usb3="00000000" w:csb0="00000003" w:csb1="00000000"/>
    <w:embedRegular r:id="rId3" w:fontKey="{EC794DED-868A-43E6-A447-32309F833C16}"/>
    <w:embedBold r:id="rId4" w:fontKey="{9059EEF1-DB5A-4F5E-BBC4-D13B31DA8C66}"/>
    <w:embedItalic r:id="rId5" w:fontKey="{DCCB53E9-CEEF-4D33-9407-54D66C1DAD6C}"/>
    <w:embedBoldItalic r:id="rId6" w:fontKey="{A1F17E43-7F5C-4F5C-B0A3-EF454FAB03F9}"/>
  </w:font>
  <w:font w:name="STFa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7" w:fontKey="{956D894B-2879-41DF-B124-0C0B401B3976}"/>
  </w:font>
  <w:font w:name="Tahoma">
    <w:panose1 w:val="020B0604030504040204"/>
    <w:charset w:val="00"/>
    <w:family w:val="swiss"/>
    <w:pitch w:val="variable"/>
    <w:sig w:usb0="E1002EFF" w:usb1="C000605B" w:usb2="00000029" w:usb3="00000000" w:csb0="000101FF" w:csb1="00000000"/>
    <w:embedRegular r:id="rId8" w:fontKey="{F9EDA2AA-FBD9-46FE-AA53-5B6BE15D1ECC}"/>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9" w:fontKey="{9BF1A7BA-C533-4661-8EC0-142B6B5D0951}"/>
  </w:font>
  <w:font w:name="Century Gothic">
    <w:panose1 w:val="020B0502020202020204"/>
    <w:charset w:val="00"/>
    <w:family w:val="swiss"/>
    <w:pitch w:val="variable"/>
    <w:sig w:usb0="00000287" w:usb1="00000000" w:usb2="00000000" w:usb3="00000000" w:csb0="0000009F" w:csb1="00000000"/>
    <w:embedRegular r:id="rId10" w:fontKey="{CC47E59E-57B9-42F8-A428-ECC188020DF9}"/>
    <w:embedBold r:id="rId11" w:fontKey="{02F86B04-EEA6-427D-A486-9E534CC32373}"/>
    <w:embedItalic r:id="rId12" w:fontKey="{391881A9-408E-449E-B747-7DC9BA639820}"/>
  </w:font>
  <w:font w:name="Arial Black">
    <w:panose1 w:val="020B0A04020102020204"/>
    <w:charset w:val="00"/>
    <w:family w:val="swiss"/>
    <w:pitch w:val="variable"/>
    <w:sig w:usb0="A00002AF" w:usb1="400078FB" w:usb2="00000000" w:usb3="00000000" w:csb0="0000009F" w:csb1="00000000"/>
    <w:embedRegular r:id="rId13" w:fontKey="{A9A38DAD-72F3-4215-A99E-6A197C73BD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A8DA" w14:textId="77777777" w:rsidR="00813704" w:rsidRDefault="008137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EndPr/>
    <w:sdtContent>
      <w:p w14:paraId="704F8645" w14:textId="77777777" w:rsidR="005E31DB" w:rsidRDefault="00044F6B">
        <w:r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700B88D4" wp14:editId="058D2DD2">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EndPr/>
                              <w:sdtContent>
                                <w:sdt>
                                  <w:sdtPr>
                                    <w:rPr>
                                      <w:rFonts w:asciiTheme="majorHAnsi" w:eastAsiaTheme="majorEastAsia" w:hAnsiTheme="majorHAnsi" w:cstheme="majorBidi"/>
                                    </w:rPr>
                                    <w:id w:val="-1904517296"/>
                                  </w:sdtPr>
                                  <w:sdtEndPr/>
                                  <w:sdtContent>
                                    <w:p w14:paraId="14238E0F"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B88D4" id="Rectángulo 38" o:spid="_x0000_s1026" style="position:absolute;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EndPr/>
                        <w:sdtContent>
                          <w:sdt>
                            <w:sdtPr>
                              <w:rPr>
                                <w:rFonts w:asciiTheme="majorHAnsi" w:eastAsiaTheme="majorEastAsia" w:hAnsiTheme="majorHAnsi" w:cstheme="majorBidi"/>
                              </w:rPr>
                              <w:id w:val="-1904517296"/>
                            </w:sdtPr>
                            <w:sdtEndPr/>
                            <w:sdtContent>
                              <w:p w14:paraId="14238E0F"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1630" w14:textId="77777777" w:rsidR="005E31DB" w:rsidRDefault="005E31DB">
    <w:pPr>
      <w:pStyle w:val="Piedepgina"/>
      <w:jc w:val="center"/>
      <w:rPr>
        <w:rFonts w:asciiTheme="majorHAnsi" w:eastAsiaTheme="majorEastAsia" w:hAnsiTheme="majorHAnsi" w:cstheme="majorBidi"/>
        <w:sz w:val="28"/>
        <w:szCs w:val="28"/>
      </w:rPr>
    </w:pPr>
  </w:p>
  <w:p w14:paraId="7ADF048E"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86CD" w14:textId="77777777" w:rsidR="007D3E93" w:rsidRDefault="007D3E93" w:rsidP="00821493">
      <w:r>
        <w:separator/>
      </w:r>
    </w:p>
  </w:footnote>
  <w:footnote w:type="continuationSeparator" w:id="0">
    <w:p w14:paraId="20DF0149" w14:textId="77777777" w:rsidR="007D3E93" w:rsidRDefault="007D3E93"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4611" w14:textId="77777777" w:rsidR="00813704" w:rsidRDefault="008137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562E" w14:textId="77777777" w:rsidR="005E31DB" w:rsidRDefault="00813704">
    <w:pPr>
      <w:pStyle w:val="Encabezado"/>
    </w:pPr>
    <w:r>
      <w:rPr>
        <w:noProof/>
      </w:rPr>
      <w:drawing>
        <wp:anchor distT="0" distB="0" distL="114300" distR="114300" simplePos="0" relativeHeight="251646976" behindDoc="0" locked="0" layoutInCell="1" allowOverlap="1" wp14:anchorId="25880516" wp14:editId="6E37DC4E">
          <wp:simplePos x="0" y="0"/>
          <wp:positionH relativeFrom="column">
            <wp:posOffset>-854958</wp:posOffset>
          </wp:positionH>
          <wp:positionV relativeFrom="paragraph">
            <wp:posOffset>453223</wp:posOffset>
          </wp:positionV>
          <wp:extent cx="771276" cy="531049"/>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4625" cy="53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340D09" w14:textId="77777777" w:rsidR="005E31DB" w:rsidRDefault="005E31DB"/>
  <w:p w14:paraId="49E4E284" w14:textId="77777777" w:rsidR="005E31DB" w:rsidRDefault="005E31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7D4E" w14:textId="77777777" w:rsidR="00813704" w:rsidRDefault="008137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F0"/>
    <w:multiLevelType w:val="multilevel"/>
    <w:tmpl w:val="095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45D2"/>
    <w:multiLevelType w:val="hybridMultilevel"/>
    <w:tmpl w:val="A24CC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722B51"/>
    <w:multiLevelType w:val="hybridMultilevel"/>
    <w:tmpl w:val="FC0A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3A0A64"/>
    <w:multiLevelType w:val="hybridMultilevel"/>
    <w:tmpl w:val="947CE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654D5B"/>
    <w:multiLevelType w:val="hybridMultilevel"/>
    <w:tmpl w:val="BB5C73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820CCA"/>
    <w:multiLevelType w:val="hybridMultilevel"/>
    <w:tmpl w:val="BEB0D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6138F5"/>
    <w:multiLevelType w:val="hybridMultilevel"/>
    <w:tmpl w:val="E3DAC4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E570EB"/>
    <w:multiLevelType w:val="hybridMultilevel"/>
    <w:tmpl w:val="745C6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C302EB"/>
    <w:multiLevelType w:val="hybridMultilevel"/>
    <w:tmpl w:val="4C9A189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138338D5"/>
    <w:multiLevelType w:val="multilevel"/>
    <w:tmpl w:val="FDA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43F3"/>
    <w:multiLevelType w:val="multilevel"/>
    <w:tmpl w:val="FA9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A71CF"/>
    <w:multiLevelType w:val="hybridMultilevel"/>
    <w:tmpl w:val="CA827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621C6A"/>
    <w:multiLevelType w:val="hybridMultilevel"/>
    <w:tmpl w:val="81F415D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914136"/>
    <w:multiLevelType w:val="hybridMultilevel"/>
    <w:tmpl w:val="02D01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333B49"/>
    <w:multiLevelType w:val="hybridMultilevel"/>
    <w:tmpl w:val="3E48D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4E0FF2"/>
    <w:multiLevelType w:val="hybridMultilevel"/>
    <w:tmpl w:val="AE28B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0E2A2A"/>
    <w:multiLevelType w:val="hybridMultilevel"/>
    <w:tmpl w:val="A1A81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326146"/>
    <w:multiLevelType w:val="multilevel"/>
    <w:tmpl w:val="2A8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770AC"/>
    <w:multiLevelType w:val="hybridMultilevel"/>
    <w:tmpl w:val="A468D3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D60657C"/>
    <w:multiLevelType w:val="hybridMultilevel"/>
    <w:tmpl w:val="1A7E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BC17B6"/>
    <w:multiLevelType w:val="hybridMultilevel"/>
    <w:tmpl w:val="8B547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02445F"/>
    <w:multiLevelType w:val="hybridMultilevel"/>
    <w:tmpl w:val="4546D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362E76"/>
    <w:multiLevelType w:val="multilevel"/>
    <w:tmpl w:val="487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33C98"/>
    <w:multiLevelType w:val="hybridMultilevel"/>
    <w:tmpl w:val="BFDE1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5960C40"/>
    <w:multiLevelType w:val="multilevel"/>
    <w:tmpl w:val="317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05EB6"/>
    <w:multiLevelType w:val="multilevel"/>
    <w:tmpl w:val="77F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C7EC6"/>
    <w:multiLevelType w:val="hybridMultilevel"/>
    <w:tmpl w:val="6B924262"/>
    <w:lvl w:ilvl="0" w:tplc="0C0A0001">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7" w15:restartNumberingAfterBreak="0">
    <w:nsid w:val="36452A45"/>
    <w:multiLevelType w:val="multilevel"/>
    <w:tmpl w:val="C6D8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EA3F0D"/>
    <w:multiLevelType w:val="hybridMultilevel"/>
    <w:tmpl w:val="09C63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83755DE"/>
    <w:multiLevelType w:val="hybridMultilevel"/>
    <w:tmpl w:val="C798D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8972853"/>
    <w:multiLevelType w:val="multilevel"/>
    <w:tmpl w:val="7FD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11D15"/>
    <w:multiLevelType w:val="multilevel"/>
    <w:tmpl w:val="D4EC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0A0E88"/>
    <w:multiLevelType w:val="hybridMultilevel"/>
    <w:tmpl w:val="3460CA1E"/>
    <w:lvl w:ilvl="0" w:tplc="FDFAF4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C9F6A4E"/>
    <w:multiLevelType w:val="multilevel"/>
    <w:tmpl w:val="ED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05576"/>
    <w:multiLevelType w:val="multilevel"/>
    <w:tmpl w:val="907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77FCA"/>
    <w:multiLevelType w:val="multilevel"/>
    <w:tmpl w:val="75C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30755"/>
    <w:multiLevelType w:val="hybridMultilevel"/>
    <w:tmpl w:val="E506B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30C624B"/>
    <w:multiLevelType w:val="hybridMultilevel"/>
    <w:tmpl w:val="63A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9C71468"/>
    <w:multiLevelType w:val="hybridMultilevel"/>
    <w:tmpl w:val="21EEF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EC22522"/>
    <w:multiLevelType w:val="hybridMultilevel"/>
    <w:tmpl w:val="A3F20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FF661BD"/>
    <w:multiLevelType w:val="multilevel"/>
    <w:tmpl w:val="D02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846FE"/>
    <w:multiLevelType w:val="hybridMultilevel"/>
    <w:tmpl w:val="5FE42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5D80F51"/>
    <w:multiLevelType w:val="hybridMultilevel"/>
    <w:tmpl w:val="6E009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8631153"/>
    <w:multiLevelType w:val="multilevel"/>
    <w:tmpl w:val="99A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C4B3C"/>
    <w:multiLevelType w:val="hybridMultilevel"/>
    <w:tmpl w:val="B8A2C4DC"/>
    <w:lvl w:ilvl="0" w:tplc="0C0A0001">
      <w:start w:val="1"/>
      <w:numFmt w:val="bullet"/>
      <w:lvlText w:val=""/>
      <w:lvlJc w:val="left"/>
      <w:pPr>
        <w:ind w:left="1080" w:hanging="360"/>
      </w:pPr>
      <w:rPr>
        <w:rFonts w:ascii="Symbol" w:hAnsi="Symbol" w:hint="default"/>
      </w:rPr>
    </w:lvl>
    <w:lvl w:ilvl="1" w:tplc="C8EA769C">
      <w:start w:val="1"/>
      <w:numFmt w:val="bullet"/>
      <w:lvlText w:val="-"/>
      <w:lvlJc w:val="left"/>
      <w:pPr>
        <w:ind w:left="1800" w:hanging="360"/>
      </w:pPr>
      <w:rPr>
        <w:rFonts w:ascii="Tw Cen MT" w:eastAsia="Times New Roman" w:hAnsi="Tw Cen MT"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5C167B5B"/>
    <w:multiLevelType w:val="multilevel"/>
    <w:tmpl w:val="644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8518E2"/>
    <w:multiLevelType w:val="hybridMultilevel"/>
    <w:tmpl w:val="B26EA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0A316A4"/>
    <w:multiLevelType w:val="hybridMultilevel"/>
    <w:tmpl w:val="8ED89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1750A4C"/>
    <w:multiLevelType w:val="hybridMultilevel"/>
    <w:tmpl w:val="6E2AE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1DE5AD8"/>
    <w:multiLevelType w:val="hybridMultilevel"/>
    <w:tmpl w:val="B958D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C92701F"/>
    <w:multiLevelType w:val="hybridMultilevel"/>
    <w:tmpl w:val="265AD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EE9268E"/>
    <w:multiLevelType w:val="hybridMultilevel"/>
    <w:tmpl w:val="97B8D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29E5AB5"/>
    <w:multiLevelType w:val="multilevel"/>
    <w:tmpl w:val="3FE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44427"/>
    <w:multiLevelType w:val="hybridMultilevel"/>
    <w:tmpl w:val="8082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C690DED"/>
    <w:multiLevelType w:val="hybridMultilevel"/>
    <w:tmpl w:val="D1543C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5" w15:restartNumberingAfterBreak="0">
    <w:nsid w:val="7D405E49"/>
    <w:multiLevelType w:val="multilevel"/>
    <w:tmpl w:val="C92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77D97"/>
    <w:multiLevelType w:val="hybridMultilevel"/>
    <w:tmpl w:val="D02E0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DE50B35"/>
    <w:multiLevelType w:val="hybridMultilevel"/>
    <w:tmpl w:val="69044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FDE33F5"/>
    <w:multiLevelType w:val="hybridMultilevel"/>
    <w:tmpl w:val="E9B67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5134661">
    <w:abstractNumId w:val="13"/>
  </w:num>
  <w:num w:numId="2" w16cid:durableId="1814448066">
    <w:abstractNumId w:val="26"/>
  </w:num>
  <w:num w:numId="3" w16cid:durableId="604189476">
    <w:abstractNumId w:val="8"/>
  </w:num>
  <w:num w:numId="4" w16cid:durableId="1165441598">
    <w:abstractNumId w:val="6"/>
  </w:num>
  <w:num w:numId="5" w16cid:durableId="1326591748">
    <w:abstractNumId w:val="44"/>
  </w:num>
  <w:num w:numId="6" w16cid:durableId="510680097">
    <w:abstractNumId w:val="41"/>
  </w:num>
  <w:num w:numId="7" w16cid:durableId="1422331286">
    <w:abstractNumId w:val="48"/>
  </w:num>
  <w:num w:numId="8" w16cid:durableId="159201653">
    <w:abstractNumId w:val="58"/>
  </w:num>
  <w:num w:numId="9" w16cid:durableId="2009597838">
    <w:abstractNumId w:val="42"/>
  </w:num>
  <w:num w:numId="10" w16cid:durableId="1808862311">
    <w:abstractNumId w:val="49"/>
  </w:num>
  <w:num w:numId="11" w16cid:durableId="1781218048">
    <w:abstractNumId w:val="3"/>
  </w:num>
  <w:num w:numId="12" w16cid:durableId="1598440563">
    <w:abstractNumId w:val="7"/>
  </w:num>
  <w:num w:numId="13" w16cid:durableId="1278638364">
    <w:abstractNumId w:val="53"/>
  </w:num>
  <w:num w:numId="14" w16cid:durableId="279722824">
    <w:abstractNumId w:val="2"/>
  </w:num>
  <w:num w:numId="15" w16cid:durableId="1968580276">
    <w:abstractNumId w:val="47"/>
  </w:num>
  <w:num w:numId="16" w16cid:durableId="1349985610">
    <w:abstractNumId w:val="19"/>
  </w:num>
  <w:num w:numId="17" w16cid:durableId="1548370037">
    <w:abstractNumId w:val="18"/>
  </w:num>
  <w:num w:numId="18" w16cid:durableId="1319765216">
    <w:abstractNumId w:val="16"/>
  </w:num>
  <w:num w:numId="19" w16cid:durableId="1409494504">
    <w:abstractNumId w:val="38"/>
  </w:num>
  <w:num w:numId="20" w16cid:durableId="1637686204">
    <w:abstractNumId w:val="56"/>
  </w:num>
  <w:num w:numId="21" w16cid:durableId="879589575">
    <w:abstractNumId w:val="20"/>
  </w:num>
  <w:num w:numId="22" w16cid:durableId="1771704738">
    <w:abstractNumId w:val="5"/>
  </w:num>
  <w:num w:numId="23" w16cid:durableId="1807819289">
    <w:abstractNumId w:val="23"/>
  </w:num>
  <w:num w:numId="24" w16cid:durableId="464617240">
    <w:abstractNumId w:val="15"/>
  </w:num>
  <w:num w:numId="25" w16cid:durableId="1236160949">
    <w:abstractNumId w:val="39"/>
  </w:num>
  <w:num w:numId="26" w16cid:durableId="1222519192">
    <w:abstractNumId w:val="28"/>
  </w:num>
  <w:num w:numId="27" w16cid:durableId="1903980122">
    <w:abstractNumId w:val="21"/>
  </w:num>
  <w:num w:numId="28" w16cid:durableId="1361471373">
    <w:abstractNumId w:val="14"/>
  </w:num>
  <w:num w:numId="29" w16cid:durableId="620190681">
    <w:abstractNumId w:val="1"/>
  </w:num>
  <w:num w:numId="30" w16cid:durableId="346560710">
    <w:abstractNumId w:val="11"/>
  </w:num>
  <w:num w:numId="31" w16cid:durableId="731467258">
    <w:abstractNumId w:val="46"/>
  </w:num>
  <w:num w:numId="32" w16cid:durableId="921061304">
    <w:abstractNumId w:val="29"/>
  </w:num>
  <w:num w:numId="33" w16cid:durableId="1120881053">
    <w:abstractNumId w:val="50"/>
  </w:num>
  <w:num w:numId="34" w16cid:durableId="1223099079">
    <w:abstractNumId w:val="57"/>
  </w:num>
  <w:num w:numId="35" w16cid:durableId="847063200">
    <w:abstractNumId w:val="37"/>
  </w:num>
  <w:num w:numId="36" w16cid:durableId="686104883">
    <w:abstractNumId w:val="12"/>
  </w:num>
  <w:num w:numId="37" w16cid:durableId="2078239872">
    <w:abstractNumId w:val="54"/>
  </w:num>
  <w:num w:numId="38" w16cid:durableId="5444993">
    <w:abstractNumId w:val="32"/>
  </w:num>
  <w:num w:numId="39" w16cid:durableId="1009405693">
    <w:abstractNumId w:val="4"/>
  </w:num>
  <w:num w:numId="40" w16cid:durableId="2076122823">
    <w:abstractNumId w:val="36"/>
  </w:num>
  <w:num w:numId="41" w16cid:durableId="301275573">
    <w:abstractNumId w:val="51"/>
  </w:num>
  <w:num w:numId="42" w16cid:durableId="311758105">
    <w:abstractNumId w:val="22"/>
  </w:num>
  <w:num w:numId="43" w16cid:durableId="73742486">
    <w:abstractNumId w:val="27"/>
  </w:num>
  <w:num w:numId="44" w16cid:durableId="1704792326">
    <w:abstractNumId w:val="31"/>
  </w:num>
  <w:num w:numId="45" w16cid:durableId="1463692849">
    <w:abstractNumId w:val="24"/>
  </w:num>
  <w:num w:numId="46" w16cid:durableId="2042895899">
    <w:abstractNumId w:val="43"/>
  </w:num>
  <w:num w:numId="47" w16cid:durableId="985888890">
    <w:abstractNumId w:val="10"/>
  </w:num>
  <w:num w:numId="48" w16cid:durableId="235283651">
    <w:abstractNumId w:val="35"/>
  </w:num>
  <w:num w:numId="49" w16cid:durableId="956451581">
    <w:abstractNumId w:val="9"/>
  </w:num>
  <w:num w:numId="50" w16cid:durableId="1622036880">
    <w:abstractNumId w:val="0"/>
  </w:num>
  <w:num w:numId="51" w16cid:durableId="840779092">
    <w:abstractNumId w:val="33"/>
  </w:num>
  <w:num w:numId="52" w16cid:durableId="1286153643">
    <w:abstractNumId w:val="52"/>
  </w:num>
  <w:num w:numId="53" w16cid:durableId="209387743">
    <w:abstractNumId w:val="40"/>
  </w:num>
  <w:num w:numId="54" w16cid:durableId="255872673">
    <w:abstractNumId w:val="17"/>
  </w:num>
  <w:num w:numId="55" w16cid:durableId="2090880446">
    <w:abstractNumId w:val="34"/>
  </w:num>
  <w:num w:numId="56" w16cid:durableId="675351767">
    <w:abstractNumId w:val="25"/>
  </w:num>
  <w:num w:numId="57" w16cid:durableId="1477919129">
    <w:abstractNumId w:val="30"/>
  </w:num>
  <w:num w:numId="58" w16cid:durableId="329413315">
    <w:abstractNumId w:val="45"/>
  </w:num>
  <w:num w:numId="59" w16cid:durableId="555705352">
    <w:abstractNumId w:val="5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61F"/>
    <w:rsid w:val="00000488"/>
    <w:rsid w:val="00000827"/>
    <w:rsid w:val="0000089B"/>
    <w:rsid w:val="00000B6A"/>
    <w:rsid w:val="00000BD5"/>
    <w:rsid w:val="00000DA4"/>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F2A"/>
    <w:rsid w:val="000241BA"/>
    <w:rsid w:val="00025A0B"/>
    <w:rsid w:val="00025B22"/>
    <w:rsid w:val="000265A7"/>
    <w:rsid w:val="000273BA"/>
    <w:rsid w:val="00027A1F"/>
    <w:rsid w:val="00027A46"/>
    <w:rsid w:val="00030405"/>
    <w:rsid w:val="00031099"/>
    <w:rsid w:val="00031299"/>
    <w:rsid w:val="000314E7"/>
    <w:rsid w:val="0003297A"/>
    <w:rsid w:val="000334EB"/>
    <w:rsid w:val="00034171"/>
    <w:rsid w:val="0003432E"/>
    <w:rsid w:val="00034474"/>
    <w:rsid w:val="0003499A"/>
    <w:rsid w:val="00034ECF"/>
    <w:rsid w:val="00034EDA"/>
    <w:rsid w:val="0003541C"/>
    <w:rsid w:val="000361BD"/>
    <w:rsid w:val="00036434"/>
    <w:rsid w:val="000364F2"/>
    <w:rsid w:val="00036880"/>
    <w:rsid w:val="0003689E"/>
    <w:rsid w:val="000369BA"/>
    <w:rsid w:val="00036A51"/>
    <w:rsid w:val="000371AC"/>
    <w:rsid w:val="0003722C"/>
    <w:rsid w:val="000408CF"/>
    <w:rsid w:val="0004124D"/>
    <w:rsid w:val="0004182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7F3"/>
    <w:rsid w:val="00082C69"/>
    <w:rsid w:val="0008384B"/>
    <w:rsid w:val="00083B7F"/>
    <w:rsid w:val="00083CA9"/>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3F0"/>
    <w:rsid w:val="00094570"/>
    <w:rsid w:val="0009472B"/>
    <w:rsid w:val="00094FA2"/>
    <w:rsid w:val="000958E0"/>
    <w:rsid w:val="00095F86"/>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40AE"/>
    <w:rsid w:val="000E42D6"/>
    <w:rsid w:val="000E5733"/>
    <w:rsid w:val="000E58F1"/>
    <w:rsid w:val="000E5C2B"/>
    <w:rsid w:val="000E708F"/>
    <w:rsid w:val="000E7B46"/>
    <w:rsid w:val="000E7BDC"/>
    <w:rsid w:val="000E7EFE"/>
    <w:rsid w:val="000F035E"/>
    <w:rsid w:val="000F14B0"/>
    <w:rsid w:val="000F17F7"/>
    <w:rsid w:val="000F18D8"/>
    <w:rsid w:val="000F1EB8"/>
    <w:rsid w:val="000F22A3"/>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47A7"/>
    <w:rsid w:val="001551B0"/>
    <w:rsid w:val="00155270"/>
    <w:rsid w:val="00155688"/>
    <w:rsid w:val="001557DB"/>
    <w:rsid w:val="00155C0A"/>
    <w:rsid w:val="001564F6"/>
    <w:rsid w:val="00156692"/>
    <w:rsid w:val="0015697A"/>
    <w:rsid w:val="0015717A"/>
    <w:rsid w:val="001572A7"/>
    <w:rsid w:val="00157E32"/>
    <w:rsid w:val="00161771"/>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4C1"/>
    <w:rsid w:val="0017264D"/>
    <w:rsid w:val="001727F7"/>
    <w:rsid w:val="00172C62"/>
    <w:rsid w:val="0017305F"/>
    <w:rsid w:val="001730F3"/>
    <w:rsid w:val="00173616"/>
    <w:rsid w:val="00173CBA"/>
    <w:rsid w:val="00173F37"/>
    <w:rsid w:val="0017414E"/>
    <w:rsid w:val="0017442C"/>
    <w:rsid w:val="001744D7"/>
    <w:rsid w:val="00175089"/>
    <w:rsid w:val="0017621E"/>
    <w:rsid w:val="00176399"/>
    <w:rsid w:val="00176BF9"/>
    <w:rsid w:val="00176D09"/>
    <w:rsid w:val="0017778D"/>
    <w:rsid w:val="00177EDE"/>
    <w:rsid w:val="00180E4B"/>
    <w:rsid w:val="001819DF"/>
    <w:rsid w:val="00181BC6"/>
    <w:rsid w:val="0018206A"/>
    <w:rsid w:val="001822CE"/>
    <w:rsid w:val="00183577"/>
    <w:rsid w:val="00183B7E"/>
    <w:rsid w:val="00183D95"/>
    <w:rsid w:val="001844EB"/>
    <w:rsid w:val="001844ED"/>
    <w:rsid w:val="001846D7"/>
    <w:rsid w:val="00184D30"/>
    <w:rsid w:val="001854EF"/>
    <w:rsid w:val="00185534"/>
    <w:rsid w:val="00185544"/>
    <w:rsid w:val="00185A95"/>
    <w:rsid w:val="00185A99"/>
    <w:rsid w:val="00186BAD"/>
    <w:rsid w:val="001871B9"/>
    <w:rsid w:val="00187C20"/>
    <w:rsid w:val="001909DE"/>
    <w:rsid w:val="00190D73"/>
    <w:rsid w:val="00191150"/>
    <w:rsid w:val="00191AC6"/>
    <w:rsid w:val="0019208F"/>
    <w:rsid w:val="0019222C"/>
    <w:rsid w:val="0019245B"/>
    <w:rsid w:val="00192B91"/>
    <w:rsid w:val="00192BEE"/>
    <w:rsid w:val="00192FB7"/>
    <w:rsid w:val="00193268"/>
    <w:rsid w:val="0019335B"/>
    <w:rsid w:val="001939DD"/>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BBB"/>
    <w:rsid w:val="001A2E33"/>
    <w:rsid w:val="001A30B2"/>
    <w:rsid w:val="001A345D"/>
    <w:rsid w:val="001A3928"/>
    <w:rsid w:val="001A4FC6"/>
    <w:rsid w:val="001A5C12"/>
    <w:rsid w:val="001A618B"/>
    <w:rsid w:val="001A6A69"/>
    <w:rsid w:val="001A6BAE"/>
    <w:rsid w:val="001A6D15"/>
    <w:rsid w:val="001A6F6A"/>
    <w:rsid w:val="001A7471"/>
    <w:rsid w:val="001A75FB"/>
    <w:rsid w:val="001B0739"/>
    <w:rsid w:val="001B159A"/>
    <w:rsid w:val="001B1C7F"/>
    <w:rsid w:val="001B358B"/>
    <w:rsid w:val="001B4AB8"/>
    <w:rsid w:val="001B5354"/>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616"/>
    <w:rsid w:val="001C75FD"/>
    <w:rsid w:val="001C7A73"/>
    <w:rsid w:val="001C7FD0"/>
    <w:rsid w:val="001D090B"/>
    <w:rsid w:val="001D180B"/>
    <w:rsid w:val="001D1B74"/>
    <w:rsid w:val="001D23EB"/>
    <w:rsid w:val="001D241B"/>
    <w:rsid w:val="001D31A8"/>
    <w:rsid w:val="001D38E8"/>
    <w:rsid w:val="001D3DC4"/>
    <w:rsid w:val="001D432E"/>
    <w:rsid w:val="001D5008"/>
    <w:rsid w:val="001D5459"/>
    <w:rsid w:val="001D5B24"/>
    <w:rsid w:val="001D637B"/>
    <w:rsid w:val="001D640D"/>
    <w:rsid w:val="001D683B"/>
    <w:rsid w:val="001D771C"/>
    <w:rsid w:val="001E0F94"/>
    <w:rsid w:val="001E13C2"/>
    <w:rsid w:val="001E17C6"/>
    <w:rsid w:val="001E1C7C"/>
    <w:rsid w:val="001E22E1"/>
    <w:rsid w:val="001E28C1"/>
    <w:rsid w:val="001E3237"/>
    <w:rsid w:val="001E3800"/>
    <w:rsid w:val="001E42B9"/>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C4B"/>
    <w:rsid w:val="00205D62"/>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E65"/>
    <w:rsid w:val="00230535"/>
    <w:rsid w:val="00230FE3"/>
    <w:rsid w:val="002315D4"/>
    <w:rsid w:val="0023264B"/>
    <w:rsid w:val="00232729"/>
    <w:rsid w:val="00232D48"/>
    <w:rsid w:val="00233466"/>
    <w:rsid w:val="002341B1"/>
    <w:rsid w:val="0023458B"/>
    <w:rsid w:val="00234F2A"/>
    <w:rsid w:val="00235E26"/>
    <w:rsid w:val="00236B5C"/>
    <w:rsid w:val="0023759B"/>
    <w:rsid w:val="002378AB"/>
    <w:rsid w:val="002378B7"/>
    <w:rsid w:val="002379A3"/>
    <w:rsid w:val="00237C68"/>
    <w:rsid w:val="002404C1"/>
    <w:rsid w:val="002409A9"/>
    <w:rsid w:val="002417CA"/>
    <w:rsid w:val="00244A6D"/>
    <w:rsid w:val="0024561A"/>
    <w:rsid w:val="00245BF0"/>
    <w:rsid w:val="002461B6"/>
    <w:rsid w:val="002463D9"/>
    <w:rsid w:val="00246AC6"/>
    <w:rsid w:val="00247032"/>
    <w:rsid w:val="00247123"/>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F19"/>
    <w:rsid w:val="0027580D"/>
    <w:rsid w:val="00275932"/>
    <w:rsid w:val="00276573"/>
    <w:rsid w:val="00276A69"/>
    <w:rsid w:val="00276E40"/>
    <w:rsid w:val="002770B3"/>
    <w:rsid w:val="00277166"/>
    <w:rsid w:val="00277496"/>
    <w:rsid w:val="0027759B"/>
    <w:rsid w:val="002804DD"/>
    <w:rsid w:val="00280748"/>
    <w:rsid w:val="00281008"/>
    <w:rsid w:val="002829D6"/>
    <w:rsid w:val="00282B9F"/>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C5C"/>
    <w:rsid w:val="002A48A4"/>
    <w:rsid w:val="002A49EC"/>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D0114"/>
    <w:rsid w:val="002D0961"/>
    <w:rsid w:val="002D1FE1"/>
    <w:rsid w:val="002D2847"/>
    <w:rsid w:val="002D29D0"/>
    <w:rsid w:val="002D2A2E"/>
    <w:rsid w:val="002D2B5C"/>
    <w:rsid w:val="002D2FE1"/>
    <w:rsid w:val="002D34A0"/>
    <w:rsid w:val="002D35FA"/>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30000B"/>
    <w:rsid w:val="0030004E"/>
    <w:rsid w:val="00300333"/>
    <w:rsid w:val="0030053D"/>
    <w:rsid w:val="00300739"/>
    <w:rsid w:val="00300BD9"/>
    <w:rsid w:val="003017D2"/>
    <w:rsid w:val="00301EA5"/>
    <w:rsid w:val="0030256C"/>
    <w:rsid w:val="00302791"/>
    <w:rsid w:val="00302CC7"/>
    <w:rsid w:val="0030307E"/>
    <w:rsid w:val="00304EFA"/>
    <w:rsid w:val="00305168"/>
    <w:rsid w:val="003059B9"/>
    <w:rsid w:val="0030656B"/>
    <w:rsid w:val="00306A96"/>
    <w:rsid w:val="00306B8E"/>
    <w:rsid w:val="00306C82"/>
    <w:rsid w:val="00306CCF"/>
    <w:rsid w:val="00306EC7"/>
    <w:rsid w:val="00307B99"/>
    <w:rsid w:val="00310519"/>
    <w:rsid w:val="00310A2C"/>
    <w:rsid w:val="00310A82"/>
    <w:rsid w:val="003110DE"/>
    <w:rsid w:val="003115E7"/>
    <w:rsid w:val="0031250C"/>
    <w:rsid w:val="00312857"/>
    <w:rsid w:val="00312B47"/>
    <w:rsid w:val="00312C74"/>
    <w:rsid w:val="003135B5"/>
    <w:rsid w:val="00313B05"/>
    <w:rsid w:val="00314095"/>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485"/>
    <w:rsid w:val="00331D70"/>
    <w:rsid w:val="00332150"/>
    <w:rsid w:val="00332EFF"/>
    <w:rsid w:val="00332FDD"/>
    <w:rsid w:val="003336D8"/>
    <w:rsid w:val="00333964"/>
    <w:rsid w:val="00333DE5"/>
    <w:rsid w:val="00334115"/>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523E"/>
    <w:rsid w:val="0035625E"/>
    <w:rsid w:val="00356AC1"/>
    <w:rsid w:val="00356ED7"/>
    <w:rsid w:val="003573B9"/>
    <w:rsid w:val="00357D53"/>
    <w:rsid w:val="00361A80"/>
    <w:rsid w:val="003620FC"/>
    <w:rsid w:val="003621B9"/>
    <w:rsid w:val="003628A0"/>
    <w:rsid w:val="003630BD"/>
    <w:rsid w:val="003649CA"/>
    <w:rsid w:val="00364A45"/>
    <w:rsid w:val="00365041"/>
    <w:rsid w:val="003652AD"/>
    <w:rsid w:val="003657AE"/>
    <w:rsid w:val="00365AD5"/>
    <w:rsid w:val="00365BE8"/>
    <w:rsid w:val="00366748"/>
    <w:rsid w:val="00366C21"/>
    <w:rsid w:val="00366C5A"/>
    <w:rsid w:val="003671FD"/>
    <w:rsid w:val="00367C6A"/>
    <w:rsid w:val="00370141"/>
    <w:rsid w:val="00370DC8"/>
    <w:rsid w:val="00370EE0"/>
    <w:rsid w:val="00371006"/>
    <w:rsid w:val="003712BA"/>
    <w:rsid w:val="00372059"/>
    <w:rsid w:val="003721C5"/>
    <w:rsid w:val="003725FA"/>
    <w:rsid w:val="003729B6"/>
    <w:rsid w:val="00372A90"/>
    <w:rsid w:val="00372CE1"/>
    <w:rsid w:val="00372F91"/>
    <w:rsid w:val="00373951"/>
    <w:rsid w:val="00373AB8"/>
    <w:rsid w:val="0037529A"/>
    <w:rsid w:val="00375338"/>
    <w:rsid w:val="003756CB"/>
    <w:rsid w:val="00375CEA"/>
    <w:rsid w:val="00375FF3"/>
    <w:rsid w:val="00376740"/>
    <w:rsid w:val="003770B5"/>
    <w:rsid w:val="0037738B"/>
    <w:rsid w:val="00380559"/>
    <w:rsid w:val="0038091A"/>
    <w:rsid w:val="00380921"/>
    <w:rsid w:val="00381039"/>
    <w:rsid w:val="00381A31"/>
    <w:rsid w:val="00381BC1"/>
    <w:rsid w:val="00382CA2"/>
    <w:rsid w:val="00382D72"/>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7C3"/>
    <w:rsid w:val="00395B7D"/>
    <w:rsid w:val="00395CED"/>
    <w:rsid w:val="00395D44"/>
    <w:rsid w:val="003969A7"/>
    <w:rsid w:val="00396C03"/>
    <w:rsid w:val="00396DB1"/>
    <w:rsid w:val="0039709F"/>
    <w:rsid w:val="003977B8"/>
    <w:rsid w:val="003A062C"/>
    <w:rsid w:val="003A1063"/>
    <w:rsid w:val="003A124A"/>
    <w:rsid w:val="003A19D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9CB"/>
    <w:rsid w:val="003B7A50"/>
    <w:rsid w:val="003C0075"/>
    <w:rsid w:val="003C0145"/>
    <w:rsid w:val="003C0898"/>
    <w:rsid w:val="003C0D5A"/>
    <w:rsid w:val="003C18E1"/>
    <w:rsid w:val="003C1A51"/>
    <w:rsid w:val="003C1DD0"/>
    <w:rsid w:val="003C2094"/>
    <w:rsid w:val="003C2449"/>
    <w:rsid w:val="003C2547"/>
    <w:rsid w:val="003C2F2F"/>
    <w:rsid w:val="003C3BD6"/>
    <w:rsid w:val="003C3FBE"/>
    <w:rsid w:val="003C427C"/>
    <w:rsid w:val="003C4B8D"/>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381F"/>
    <w:rsid w:val="003E3966"/>
    <w:rsid w:val="003E3D5A"/>
    <w:rsid w:val="003E4548"/>
    <w:rsid w:val="003E4AC6"/>
    <w:rsid w:val="003E4BAB"/>
    <w:rsid w:val="003E5020"/>
    <w:rsid w:val="003E514D"/>
    <w:rsid w:val="003E5E6B"/>
    <w:rsid w:val="003E659C"/>
    <w:rsid w:val="003E66A3"/>
    <w:rsid w:val="003E77A3"/>
    <w:rsid w:val="003E7B81"/>
    <w:rsid w:val="003E7FFB"/>
    <w:rsid w:val="003F055F"/>
    <w:rsid w:val="003F08EE"/>
    <w:rsid w:val="003F11D3"/>
    <w:rsid w:val="003F13ED"/>
    <w:rsid w:val="003F1472"/>
    <w:rsid w:val="003F155C"/>
    <w:rsid w:val="003F1B67"/>
    <w:rsid w:val="003F2585"/>
    <w:rsid w:val="003F29F7"/>
    <w:rsid w:val="003F2EE3"/>
    <w:rsid w:val="003F318D"/>
    <w:rsid w:val="003F3C6E"/>
    <w:rsid w:val="003F42CD"/>
    <w:rsid w:val="003F47E7"/>
    <w:rsid w:val="003F4A0F"/>
    <w:rsid w:val="003F4D3B"/>
    <w:rsid w:val="003F4F20"/>
    <w:rsid w:val="003F5604"/>
    <w:rsid w:val="003F776B"/>
    <w:rsid w:val="003F7E72"/>
    <w:rsid w:val="004005A5"/>
    <w:rsid w:val="004005D1"/>
    <w:rsid w:val="0040060D"/>
    <w:rsid w:val="00400675"/>
    <w:rsid w:val="00400805"/>
    <w:rsid w:val="00400D7B"/>
    <w:rsid w:val="00400ED9"/>
    <w:rsid w:val="00402FE5"/>
    <w:rsid w:val="00403635"/>
    <w:rsid w:val="004041E0"/>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FB3"/>
    <w:rsid w:val="00421124"/>
    <w:rsid w:val="00421D95"/>
    <w:rsid w:val="0042234A"/>
    <w:rsid w:val="00422399"/>
    <w:rsid w:val="00422687"/>
    <w:rsid w:val="004229AF"/>
    <w:rsid w:val="00422B3E"/>
    <w:rsid w:val="00423505"/>
    <w:rsid w:val="00423999"/>
    <w:rsid w:val="00424279"/>
    <w:rsid w:val="004243F0"/>
    <w:rsid w:val="0042441D"/>
    <w:rsid w:val="004246DE"/>
    <w:rsid w:val="0042495E"/>
    <w:rsid w:val="004249D7"/>
    <w:rsid w:val="00424AAD"/>
    <w:rsid w:val="0042526E"/>
    <w:rsid w:val="00425B8A"/>
    <w:rsid w:val="00425CE1"/>
    <w:rsid w:val="00426C01"/>
    <w:rsid w:val="00426F00"/>
    <w:rsid w:val="004279D5"/>
    <w:rsid w:val="00427FF6"/>
    <w:rsid w:val="00430605"/>
    <w:rsid w:val="00430608"/>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7517"/>
    <w:rsid w:val="00437A5A"/>
    <w:rsid w:val="00437C87"/>
    <w:rsid w:val="0044060F"/>
    <w:rsid w:val="00440AA6"/>
    <w:rsid w:val="00441719"/>
    <w:rsid w:val="00441B63"/>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9BA"/>
    <w:rsid w:val="00472C61"/>
    <w:rsid w:val="004731D4"/>
    <w:rsid w:val="004732C8"/>
    <w:rsid w:val="00473CE4"/>
    <w:rsid w:val="00474159"/>
    <w:rsid w:val="004746F1"/>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F13"/>
    <w:rsid w:val="004A39B4"/>
    <w:rsid w:val="004A3D2B"/>
    <w:rsid w:val="004A476A"/>
    <w:rsid w:val="004A4EE1"/>
    <w:rsid w:val="004A700C"/>
    <w:rsid w:val="004A7A17"/>
    <w:rsid w:val="004B05B1"/>
    <w:rsid w:val="004B07C3"/>
    <w:rsid w:val="004B0818"/>
    <w:rsid w:val="004B0BC9"/>
    <w:rsid w:val="004B0DFF"/>
    <w:rsid w:val="004B1007"/>
    <w:rsid w:val="004B1457"/>
    <w:rsid w:val="004B1F74"/>
    <w:rsid w:val="004B1FC7"/>
    <w:rsid w:val="004B28D1"/>
    <w:rsid w:val="004B2B8C"/>
    <w:rsid w:val="004B2DDE"/>
    <w:rsid w:val="004B2F7F"/>
    <w:rsid w:val="004B33C0"/>
    <w:rsid w:val="004B376E"/>
    <w:rsid w:val="004B491A"/>
    <w:rsid w:val="004B5A10"/>
    <w:rsid w:val="004B5C06"/>
    <w:rsid w:val="004B7910"/>
    <w:rsid w:val="004B7B42"/>
    <w:rsid w:val="004B7E1A"/>
    <w:rsid w:val="004C02E8"/>
    <w:rsid w:val="004C03B9"/>
    <w:rsid w:val="004C0434"/>
    <w:rsid w:val="004C048C"/>
    <w:rsid w:val="004C058C"/>
    <w:rsid w:val="004C0688"/>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6183"/>
    <w:rsid w:val="004E6475"/>
    <w:rsid w:val="004E64BB"/>
    <w:rsid w:val="004E66F4"/>
    <w:rsid w:val="004E680D"/>
    <w:rsid w:val="004F0AE2"/>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1B3C"/>
    <w:rsid w:val="00571B72"/>
    <w:rsid w:val="00571D68"/>
    <w:rsid w:val="00571D6A"/>
    <w:rsid w:val="00571F50"/>
    <w:rsid w:val="0057213C"/>
    <w:rsid w:val="005721B6"/>
    <w:rsid w:val="005722E4"/>
    <w:rsid w:val="005726DD"/>
    <w:rsid w:val="00572EE5"/>
    <w:rsid w:val="005732FA"/>
    <w:rsid w:val="0057374A"/>
    <w:rsid w:val="00573AEB"/>
    <w:rsid w:val="00573E12"/>
    <w:rsid w:val="00573FAA"/>
    <w:rsid w:val="005746A8"/>
    <w:rsid w:val="0057485B"/>
    <w:rsid w:val="005751D0"/>
    <w:rsid w:val="00576D6D"/>
    <w:rsid w:val="005777D5"/>
    <w:rsid w:val="00581517"/>
    <w:rsid w:val="005815DD"/>
    <w:rsid w:val="005825FA"/>
    <w:rsid w:val="005840AB"/>
    <w:rsid w:val="00584C7A"/>
    <w:rsid w:val="00585423"/>
    <w:rsid w:val="00585842"/>
    <w:rsid w:val="00585D9E"/>
    <w:rsid w:val="0058624C"/>
    <w:rsid w:val="0058695C"/>
    <w:rsid w:val="00586BFD"/>
    <w:rsid w:val="00586CD6"/>
    <w:rsid w:val="00586D6F"/>
    <w:rsid w:val="005872A5"/>
    <w:rsid w:val="0059003D"/>
    <w:rsid w:val="00590FBD"/>
    <w:rsid w:val="005914E5"/>
    <w:rsid w:val="005914F7"/>
    <w:rsid w:val="005915D9"/>
    <w:rsid w:val="00591E98"/>
    <w:rsid w:val="00591FD8"/>
    <w:rsid w:val="0059253E"/>
    <w:rsid w:val="00592913"/>
    <w:rsid w:val="00592BCA"/>
    <w:rsid w:val="005935CB"/>
    <w:rsid w:val="00593774"/>
    <w:rsid w:val="00594507"/>
    <w:rsid w:val="00595079"/>
    <w:rsid w:val="005954FA"/>
    <w:rsid w:val="00595634"/>
    <w:rsid w:val="00595646"/>
    <w:rsid w:val="00595F6E"/>
    <w:rsid w:val="00596038"/>
    <w:rsid w:val="0059703D"/>
    <w:rsid w:val="005973A3"/>
    <w:rsid w:val="00597DA3"/>
    <w:rsid w:val="00597EE9"/>
    <w:rsid w:val="005A0A15"/>
    <w:rsid w:val="005A15BA"/>
    <w:rsid w:val="005A1D24"/>
    <w:rsid w:val="005A1DE3"/>
    <w:rsid w:val="005A29D0"/>
    <w:rsid w:val="005A36CC"/>
    <w:rsid w:val="005A3918"/>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178D"/>
    <w:rsid w:val="00611D9B"/>
    <w:rsid w:val="0061219A"/>
    <w:rsid w:val="00612739"/>
    <w:rsid w:val="006127B2"/>
    <w:rsid w:val="00612821"/>
    <w:rsid w:val="00612BC3"/>
    <w:rsid w:val="00612D49"/>
    <w:rsid w:val="00612F90"/>
    <w:rsid w:val="006130B7"/>
    <w:rsid w:val="00613AC0"/>
    <w:rsid w:val="006144BA"/>
    <w:rsid w:val="0061464D"/>
    <w:rsid w:val="00615873"/>
    <w:rsid w:val="00616180"/>
    <w:rsid w:val="00617B93"/>
    <w:rsid w:val="00620B35"/>
    <w:rsid w:val="00620BFD"/>
    <w:rsid w:val="00621224"/>
    <w:rsid w:val="0062175D"/>
    <w:rsid w:val="00621898"/>
    <w:rsid w:val="006219AF"/>
    <w:rsid w:val="00622512"/>
    <w:rsid w:val="00622F1C"/>
    <w:rsid w:val="00623049"/>
    <w:rsid w:val="006237C6"/>
    <w:rsid w:val="00623D3A"/>
    <w:rsid w:val="006251CA"/>
    <w:rsid w:val="00625492"/>
    <w:rsid w:val="006255C5"/>
    <w:rsid w:val="006259C2"/>
    <w:rsid w:val="00625ACE"/>
    <w:rsid w:val="00625BA7"/>
    <w:rsid w:val="00625C77"/>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1709"/>
    <w:rsid w:val="006624A1"/>
    <w:rsid w:val="006625E9"/>
    <w:rsid w:val="00662607"/>
    <w:rsid w:val="00663189"/>
    <w:rsid w:val="0066356F"/>
    <w:rsid w:val="00663615"/>
    <w:rsid w:val="00663B55"/>
    <w:rsid w:val="00663F32"/>
    <w:rsid w:val="006641BF"/>
    <w:rsid w:val="0066436A"/>
    <w:rsid w:val="0066462B"/>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86C"/>
    <w:rsid w:val="006768E0"/>
    <w:rsid w:val="00676A66"/>
    <w:rsid w:val="00676AB8"/>
    <w:rsid w:val="00676FCF"/>
    <w:rsid w:val="006773C7"/>
    <w:rsid w:val="00677571"/>
    <w:rsid w:val="0067764F"/>
    <w:rsid w:val="00680921"/>
    <w:rsid w:val="00680F83"/>
    <w:rsid w:val="00681262"/>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6D8"/>
    <w:rsid w:val="006C2926"/>
    <w:rsid w:val="006C364A"/>
    <w:rsid w:val="006C39AF"/>
    <w:rsid w:val="006C4454"/>
    <w:rsid w:val="006C4AED"/>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A11"/>
    <w:rsid w:val="006E0E1D"/>
    <w:rsid w:val="006E0E7A"/>
    <w:rsid w:val="006E0F00"/>
    <w:rsid w:val="006E202A"/>
    <w:rsid w:val="006E245C"/>
    <w:rsid w:val="006E2F98"/>
    <w:rsid w:val="006E3437"/>
    <w:rsid w:val="006E349F"/>
    <w:rsid w:val="006E41DC"/>
    <w:rsid w:val="006E45A0"/>
    <w:rsid w:val="006E465D"/>
    <w:rsid w:val="006E4F9A"/>
    <w:rsid w:val="006E52AF"/>
    <w:rsid w:val="006E547C"/>
    <w:rsid w:val="006E5A26"/>
    <w:rsid w:val="006E6258"/>
    <w:rsid w:val="006E69B5"/>
    <w:rsid w:val="006F006B"/>
    <w:rsid w:val="006F0F4B"/>
    <w:rsid w:val="006F14A6"/>
    <w:rsid w:val="006F1AEA"/>
    <w:rsid w:val="006F1EF5"/>
    <w:rsid w:val="006F32AB"/>
    <w:rsid w:val="006F362E"/>
    <w:rsid w:val="006F3A28"/>
    <w:rsid w:val="006F4306"/>
    <w:rsid w:val="006F4450"/>
    <w:rsid w:val="006F46F6"/>
    <w:rsid w:val="006F4778"/>
    <w:rsid w:val="006F4FF5"/>
    <w:rsid w:val="006F62A6"/>
    <w:rsid w:val="006F69D7"/>
    <w:rsid w:val="007001C2"/>
    <w:rsid w:val="007001E2"/>
    <w:rsid w:val="007004F5"/>
    <w:rsid w:val="00700776"/>
    <w:rsid w:val="0070094D"/>
    <w:rsid w:val="00700B05"/>
    <w:rsid w:val="00700E91"/>
    <w:rsid w:val="00700EE0"/>
    <w:rsid w:val="00701B64"/>
    <w:rsid w:val="00702044"/>
    <w:rsid w:val="00703C49"/>
    <w:rsid w:val="007040DF"/>
    <w:rsid w:val="00704807"/>
    <w:rsid w:val="00704923"/>
    <w:rsid w:val="00704EC8"/>
    <w:rsid w:val="0070550B"/>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DA5"/>
    <w:rsid w:val="00721EC6"/>
    <w:rsid w:val="00721F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6769"/>
    <w:rsid w:val="00736ADC"/>
    <w:rsid w:val="00736C15"/>
    <w:rsid w:val="00737BAB"/>
    <w:rsid w:val="0074045E"/>
    <w:rsid w:val="0074055F"/>
    <w:rsid w:val="00740BF5"/>
    <w:rsid w:val="00741155"/>
    <w:rsid w:val="007415E7"/>
    <w:rsid w:val="00741E18"/>
    <w:rsid w:val="00742780"/>
    <w:rsid w:val="00742C8A"/>
    <w:rsid w:val="00742FB4"/>
    <w:rsid w:val="00743355"/>
    <w:rsid w:val="007435D5"/>
    <w:rsid w:val="00743608"/>
    <w:rsid w:val="00743A14"/>
    <w:rsid w:val="00743F74"/>
    <w:rsid w:val="007441CE"/>
    <w:rsid w:val="0074487D"/>
    <w:rsid w:val="0074544A"/>
    <w:rsid w:val="007465C1"/>
    <w:rsid w:val="007468D9"/>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C43"/>
    <w:rsid w:val="007B146E"/>
    <w:rsid w:val="007B14EF"/>
    <w:rsid w:val="007B1843"/>
    <w:rsid w:val="007B1876"/>
    <w:rsid w:val="007B1B8D"/>
    <w:rsid w:val="007B2ADE"/>
    <w:rsid w:val="007B2B17"/>
    <w:rsid w:val="007B2D4C"/>
    <w:rsid w:val="007B2FDF"/>
    <w:rsid w:val="007B37DD"/>
    <w:rsid w:val="007B381A"/>
    <w:rsid w:val="007B4033"/>
    <w:rsid w:val="007B46DF"/>
    <w:rsid w:val="007B4F85"/>
    <w:rsid w:val="007B574D"/>
    <w:rsid w:val="007B58D5"/>
    <w:rsid w:val="007B5B67"/>
    <w:rsid w:val="007B61B0"/>
    <w:rsid w:val="007B6661"/>
    <w:rsid w:val="007B66B1"/>
    <w:rsid w:val="007B6E1F"/>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7EFB"/>
    <w:rsid w:val="007D0309"/>
    <w:rsid w:val="007D08FE"/>
    <w:rsid w:val="007D0F91"/>
    <w:rsid w:val="007D21FA"/>
    <w:rsid w:val="007D22AB"/>
    <w:rsid w:val="007D26E0"/>
    <w:rsid w:val="007D3529"/>
    <w:rsid w:val="007D3979"/>
    <w:rsid w:val="007D3E84"/>
    <w:rsid w:val="007D3E93"/>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B02"/>
    <w:rsid w:val="007E4C8A"/>
    <w:rsid w:val="007E4D7D"/>
    <w:rsid w:val="007E501F"/>
    <w:rsid w:val="007E5773"/>
    <w:rsid w:val="007E5A1B"/>
    <w:rsid w:val="007E5CDB"/>
    <w:rsid w:val="007E5DC0"/>
    <w:rsid w:val="007E5ED3"/>
    <w:rsid w:val="007E71A2"/>
    <w:rsid w:val="007E7E49"/>
    <w:rsid w:val="007F01C4"/>
    <w:rsid w:val="007F0287"/>
    <w:rsid w:val="007F0D80"/>
    <w:rsid w:val="007F10FE"/>
    <w:rsid w:val="007F1370"/>
    <w:rsid w:val="007F1537"/>
    <w:rsid w:val="007F1B49"/>
    <w:rsid w:val="007F2083"/>
    <w:rsid w:val="007F2246"/>
    <w:rsid w:val="007F232A"/>
    <w:rsid w:val="007F2B18"/>
    <w:rsid w:val="007F2F97"/>
    <w:rsid w:val="007F346F"/>
    <w:rsid w:val="007F37BD"/>
    <w:rsid w:val="007F4233"/>
    <w:rsid w:val="007F457C"/>
    <w:rsid w:val="007F4A11"/>
    <w:rsid w:val="007F4E36"/>
    <w:rsid w:val="007F4E49"/>
    <w:rsid w:val="007F66C6"/>
    <w:rsid w:val="007F679E"/>
    <w:rsid w:val="007F6A00"/>
    <w:rsid w:val="007F72ED"/>
    <w:rsid w:val="007F74D4"/>
    <w:rsid w:val="007F753E"/>
    <w:rsid w:val="007F7707"/>
    <w:rsid w:val="007F784B"/>
    <w:rsid w:val="007F7E22"/>
    <w:rsid w:val="00800182"/>
    <w:rsid w:val="00800A81"/>
    <w:rsid w:val="0080188A"/>
    <w:rsid w:val="00801E35"/>
    <w:rsid w:val="00803724"/>
    <w:rsid w:val="008048E9"/>
    <w:rsid w:val="00804A5D"/>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564"/>
    <w:rsid w:val="00812B19"/>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20B6"/>
    <w:rsid w:val="0082228B"/>
    <w:rsid w:val="0082262A"/>
    <w:rsid w:val="00822A4A"/>
    <w:rsid w:val="00823434"/>
    <w:rsid w:val="00823DAD"/>
    <w:rsid w:val="0082461D"/>
    <w:rsid w:val="00824736"/>
    <w:rsid w:val="0082507A"/>
    <w:rsid w:val="00825234"/>
    <w:rsid w:val="008261C5"/>
    <w:rsid w:val="0082626C"/>
    <w:rsid w:val="008264EA"/>
    <w:rsid w:val="008265CD"/>
    <w:rsid w:val="00826B7F"/>
    <w:rsid w:val="00826CDD"/>
    <w:rsid w:val="0082778C"/>
    <w:rsid w:val="0083061A"/>
    <w:rsid w:val="00830CF4"/>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5415"/>
    <w:rsid w:val="008460D1"/>
    <w:rsid w:val="00846168"/>
    <w:rsid w:val="008479F7"/>
    <w:rsid w:val="00847E45"/>
    <w:rsid w:val="008504C3"/>
    <w:rsid w:val="00850FB7"/>
    <w:rsid w:val="00851F02"/>
    <w:rsid w:val="00852522"/>
    <w:rsid w:val="008525F2"/>
    <w:rsid w:val="00852855"/>
    <w:rsid w:val="00852BED"/>
    <w:rsid w:val="008531AB"/>
    <w:rsid w:val="00853395"/>
    <w:rsid w:val="00853744"/>
    <w:rsid w:val="00853E06"/>
    <w:rsid w:val="008549AB"/>
    <w:rsid w:val="00854A69"/>
    <w:rsid w:val="00856188"/>
    <w:rsid w:val="008564CC"/>
    <w:rsid w:val="00856826"/>
    <w:rsid w:val="00856997"/>
    <w:rsid w:val="008569D2"/>
    <w:rsid w:val="00856C0E"/>
    <w:rsid w:val="008571FF"/>
    <w:rsid w:val="00857341"/>
    <w:rsid w:val="00857472"/>
    <w:rsid w:val="008574AB"/>
    <w:rsid w:val="0085751C"/>
    <w:rsid w:val="008602BA"/>
    <w:rsid w:val="00860531"/>
    <w:rsid w:val="00860575"/>
    <w:rsid w:val="00860BEC"/>
    <w:rsid w:val="00860C33"/>
    <w:rsid w:val="00860C5C"/>
    <w:rsid w:val="00860F9A"/>
    <w:rsid w:val="00861302"/>
    <w:rsid w:val="0086135F"/>
    <w:rsid w:val="0086182F"/>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790"/>
    <w:rsid w:val="008A3E5E"/>
    <w:rsid w:val="008A40EC"/>
    <w:rsid w:val="008A4422"/>
    <w:rsid w:val="008A4489"/>
    <w:rsid w:val="008A4668"/>
    <w:rsid w:val="008A487C"/>
    <w:rsid w:val="008A4B55"/>
    <w:rsid w:val="008A4D32"/>
    <w:rsid w:val="008A59D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43BF"/>
    <w:rsid w:val="008C4527"/>
    <w:rsid w:val="008C4538"/>
    <w:rsid w:val="008C4CE8"/>
    <w:rsid w:val="008C4DC0"/>
    <w:rsid w:val="008C5021"/>
    <w:rsid w:val="008C5199"/>
    <w:rsid w:val="008C5864"/>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B31"/>
    <w:rsid w:val="008E319F"/>
    <w:rsid w:val="008E3F1B"/>
    <w:rsid w:val="008E43A5"/>
    <w:rsid w:val="008E4439"/>
    <w:rsid w:val="008E4725"/>
    <w:rsid w:val="008E483E"/>
    <w:rsid w:val="008E48D9"/>
    <w:rsid w:val="008E586C"/>
    <w:rsid w:val="008E5908"/>
    <w:rsid w:val="008E5B83"/>
    <w:rsid w:val="008E5C98"/>
    <w:rsid w:val="008E6518"/>
    <w:rsid w:val="008E6C49"/>
    <w:rsid w:val="008F087D"/>
    <w:rsid w:val="008F13C9"/>
    <w:rsid w:val="008F16CE"/>
    <w:rsid w:val="008F1992"/>
    <w:rsid w:val="008F1DCD"/>
    <w:rsid w:val="008F1FEE"/>
    <w:rsid w:val="008F2028"/>
    <w:rsid w:val="008F2401"/>
    <w:rsid w:val="008F25D7"/>
    <w:rsid w:val="008F2952"/>
    <w:rsid w:val="008F3783"/>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E03"/>
    <w:rsid w:val="00916E63"/>
    <w:rsid w:val="00917593"/>
    <w:rsid w:val="00917B72"/>
    <w:rsid w:val="0092028F"/>
    <w:rsid w:val="00920330"/>
    <w:rsid w:val="00920854"/>
    <w:rsid w:val="00921967"/>
    <w:rsid w:val="00921CC3"/>
    <w:rsid w:val="00921E22"/>
    <w:rsid w:val="00921E9A"/>
    <w:rsid w:val="009227B6"/>
    <w:rsid w:val="00923B67"/>
    <w:rsid w:val="00923D51"/>
    <w:rsid w:val="009241DA"/>
    <w:rsid w:val="00924D74"/>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61F"/>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98A"/>
    <w:rsid w:val="0094127C"/>
    <w:rsid w:val="00941484"/>
    <w:rsid w:val="00941890"/>
    <w:rsid w:val="00942605"/>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B07"/>
    <w:rsid w:val="009515AE"/>
    <w:rsid w:val="00951C93"/>
    <w:rsid w:val="0095230D"/>
    <w:rsid w:val="00952577"/>
    <w:rsid w:val="00952801"/>
    <w:rsid w:val="00952817"/>
    <w:rsid w:val="00952B2A"/>
    <w:rsid w:val="00953692"/>
    <w:rsid w:val="009536D5"/>
    <w:rsid w:val="00954492"/>
    <w:rsid w:val="00954681"/>
    <w:rsid w:val="009549A0"/>
    <w:rsid w:val="00955387"/>
    <w:rsid w:val="00955F67"/>
    <w:rsid w:val="0095681F"/>
    <w:rsid w:val="00957117"/>
    <w:rsid w:val="00957E7E"/>
    <w:rsid w:val="009606D4"/>
    <w:rsid w:val="0096082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2242"/>
    <w:rsid w:val="00972783"/>
    <w:rsid w:val="009727AC"/>
    <w:rsid w:val="00972A9D"/>
    <w:rsid w:val="00972DDC"/>
    <w:rsid w:val="00972E44"/>
    <w:rsid w:val="00973912"/>
    <w:rsid w:val="00973E46"/>
    <w:rsid w:val="00974027"/>
    <w:rsid w:val="00975C6E"/>
    <w:rsid w:val="00976757"/>
    <w:rsid w:val="00976FF5"/>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654C"/>
    <w:rsid w:val="00990842"/>
    <w:rsid w:val="00990A8C"/>
    <w:rsid w:val="0099107C"/>
    <w:rsid w:val="0099134C"/>
    <w:rsid w:val="00991B53"/>
    <w:rsid w:val="0099283F"/>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E2D"/>
    <w:rsid w:val="009A51A4"/>
    <w:rsid w:val="009A51DE"/>
    <w:rsid w:val="009A51ED"/>
    <w:rsid w:val="009A5714"/>
    <w:rsid w:val="009A6C77"/>
    <w:rsid w:val="009A6E9B"/>
    <w:rsid w:val="009A6EA4"/>
    <w:rsid w:val="009B057A"/>
    <w:rsid w:val="009B0CFD"/>
    <w:rsid w:val="009B102B"/>
    <w:rsid w:val="009B13C4"/>
    <w:rsid w:val="009B147B"/>
    <w:rsid w:val="009B17D9"/>
    <w:rsid w:val="009B1B7B"/>
    <w:rsid w:val="009B1BB7"/>
    <w:rsid w:val="009B2554"/>
    <w:rsid w:val="009B27ED"/>
    <w:rsid w:val="009B29EB"/>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E0039"/>
    <w:rsid w:val="009E0074"/>
    <w:rsid w:val="009E07CA"/>
    <w:rsid w:val="009E0BDB"/>
    <w:rsid w:val="009E12A5"/>
    <w:rsid w:val="009E289E"/>
    <w:rsid w:val="009E2B07"/>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C6F"/>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3ADF"/>
    <w:rsid w:val="00A142B9"/>
    <w:rsid w:val="00A15858"/>
    <w:rsid w:val="00A15A3A"/>
    <w:rsid w:val="00A15ED5"/>
    <w:rsid w:val="00A16670"/>
    <w:rsid w:val="00A16FB9"/>
    <w:rsid w:val="00A1731D"/>
    <w:rsid w:val="00A17B31"/>
    <w:rsid w:val="00A20715"/>
    <w:rsid w:val="00A21B7E"/>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DCB"/>
    <w:rsid w:val="00A311BE"/>
    <w:rsid w:val="00A31865"/>
    <w:rsid w:val="00A31B83"/>
    <w:rsid w:val="00A31FA2"/>
    <w:rsid w:val="00A321F0"/>
    <w:rsid w:val="00A32548"/>
    <w:rsid w:val="00A327D0"/>
    <w:rsid w:val="00A3340C"/>
    <w:rsid w:val="00A338A2"/>
    <w:rsid w:val="00A34B15"/>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17C"/>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52B"/>
    <w:rsid w:val="00A909B6"/>
    <w:rsid w:val="00A90A31"/>
    <w:rsid w:val="00A90F80"/>
    <w:rsid w:val="00A92049"/>
    <w:rsid w:val="00A9268A"/>
    <w:rsid w:val="00A92732"/>
    <w:rsid w:val="00A93775"/>
    <w:rsid w:val="00A94128"/>
    <w:rsid w:val="00A9415C"/>
    <w:rsid w:val="00A94205"/>
    <w:rsid w:val="00A94E49"/>
    <w:rsid w:val="00A94FA4"/>
    <w:rsid w:val="00A95511"/>
    <w:rsid w:val="00A95754"/>
    <w:rsid w:val="00A95907"/>
    <w:rsid w:val="00A96396"/>
    <w:rsid w:val="00A96C8B"/>
    <w:rsid w:val="00A971AC"/>
    <w:rsid w:val="00A97803"/>
    <w:rsid w:val="00AA0045"/>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EE2"/>
    <w:rsid w:val="00AA740F"/>
    <w:rsid w:val="00AA76E9"/>
    <w:rsid w:val="00AA7E7E"/>
    <w:rsid w:val="00AB0074"/>
    <w:rsid w:val="00AB0E34"/>
    <w:rsid w:val="00AB1105"/>
    <w:rsid w:val="00AB163C"/>
    <w:rsid w:val="00AB1EF4"/>
    <w:rsid w:val="00AB1F9E"/>
    <w:rsid w:val="00AB2F44"/>
    <w:rsid w:val="00AB2FDE"/>
    <w:rsid w:val="00AB2FEB"/>
    <w:rsid w:val="00AB3369"/>
    <w:rsid w:val="00AB39E7"/>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87D"/>
    <w:rsid w:val="00AD70EB"/>
    <w:rsid w:val="00AD715E"/>
    <w:rsid w:val="00AD7991"/>
    <w:rsid w:val="00AD7F0E"/>
    <w:rsid w:val="00AD7F9A"/>
    <w:rsid w:val="00AD7FD6"/>
    <w:rsid w:val="00AE0169"/>
    <w:rsid w:val="00AE067B"/>
    <w:rsid w:val="00AE1175"/>
    <w:rsid w:val="00AE1295"/>
    <w:rsid w:val="00AE153E"/>
    <w:rsid w:val="00AE1703"/>
    <w:rsid w:val="00AE1831"/>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CAE"/>
    <w:rsid w:val="00AF6047"/>
    <w:rsid w:val="00AF6487"/>
    <w:rsid w:val="00AF6647"/>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329"/>
    <w:rsid w:val="00B05360"/>
    <w:rsid w:val="00B057DE"/>
    <w:rsid w:val="00B05A9B"/>
    <w:rsid w:val="00B05F2B"/>
    <w:rsid w:val="00B06375"/>
    <w:rsid w:val="00B0644F"/>
    <w:rsid w:val="00B06539"/>
    <w:rsid w:val="00B06738"/>
    <w:rsid w:val="00B0739A"/>
    <w:rsid w:val="00B075F3"/>
    <w:rsid w:val="00B10233"/>
    <w:rsid w:val="00B102AB"/>
    <w:rsid w:val="00B1036B"/>
    <w:rsid w:val="00B103E0"/>
    <w:rsid w:val="00B10B42"/>
    <w:rsid w:val="00B11027"/>
    <w:rsid w:val="00B113BB"/>
    <w:rsid w:val="00B114C0"/>
    <w:rsid w:val="00B11ED6"/>
    <w:rsid w:val="00B1319D"/>
    <w:rsid w:val="00B13ABD"/>
    <w:rsid w:val="00B13D0D"/>
    <w:rsid w:val="00B14483"/>
    <w:rsid w:val="00B145E8"/>
    <w:rsid w:val="00B1468B"/>
    <w:rsid w:val="00B164BA"/>
    <w:rsid w:val="00B16741"/>
    <w:rsid w:val="00B16794"/>
    <w:rsid w:val="00B16D56"/>
    <w:rsid w:val="00B17BDF"/>
    <w:rsid w:val="00B20915"/>
    <w:rsid w:val="00B21108"/>
    <w:rsid w:val="00B213E2"/>
    <w:rsid w:val="00B2162F"/>
    <w:rsid w:val="00B21DBE"/>
    <w:rsid w:val="00B24174"/>
    <w:rsid w:val="00B24615"/>
    <w:rsid w:val="00B24A38"/>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651C"/>
    <w:rsid w:val="00B47477"/>
    <w:rsid w:val="00B47665"/>
    <w:rsid w:val="00B47B88"/>
    <w:rsid w:val="00B47EC2"/>
    <w:rsid w:val="00B51C3A"/>
    <w:rsid w:val="00B51C6A"/>
    <w:rsid w:val="00B53CE1"/>
    <w:rsid w:val="00B53ED8"/>
    <w:rsid w:val="00B53EEC"/>
    <w:rsid w:val="00B5419D"/>
    <w:rsid w:val="00B55412"/>
    <w:rsid w:val="00B55902"/>
    <w:rsid w:val="00B5625D"/>
    <w:rsid w:val="00B564E1"/>
    <w:rsid w:val="00B57BCD"/>
    <w:rsid w:val="00B57EDB"/>
    <w:rsid w:val="00B613D4"/>
    <w:rsid w:val="00B6180E"/>
    <w:rsid w:val="00B620AE"/>
    <w:rsid w:val="00B621A4"/>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75D"/>
    <w:rsid w:val="00B910C3"/>
    <w:rsid w:val="00B913D6"/>
    <w:rsid w:val="00B91A56"/>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2F94"/>
    <w:rsid w:val="00BD32D7"/>
    <w:rsid w:val="00BD36E6"/>
    <w:rsid w:val="00BD372B"/>
    <w:rsid w:val="00BD3797"/>
    <w:rsid w:val="00BD3A6C"/>
    <w:rsid w:val="00BD4978"/>
    <w:rsid w:val="00BD4E22"/>
    <w:rsid w:val="00BD4EB1"/>
    <w:rsid w:val="00BD5D29"/>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BA7"/>
    <w:rsid w:val="00BF5E22"/>
    <w:rsid w:val="00BF68A5"/>
    <w:rsid w:val="00BF6B37"/>
    <w:rsid w:val="00BF6EB6"/>
    <w:rsid w:val="00BF76CA"/>
    <w:rsid w:val="00BF79E1"/>
    <w:rsid w:val="00BF7E39"/>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454"/>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57ED"/>
    <w:rsid w:val="00C15AD3"/>
    <w:rsid w:val="00C15BD2"/>
    <w:rsid w:val="00C15ECC"/>
    <w:rsid w:val="00C15F3D"/>
    <w:rsid w:val="00C167CA"/>
    <w:rsid w:val="00C171D4"/>
    <w:rsid w:val="00C1722F"/>
    <w:rsid w:val="00C1753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DD"/>
    <w:rsid w:val="00C375A8"/>
    <w:rsid w:val="00C37D89"/>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34C5"/>
    <w:rsid w:val="00C635B7"/>
    <w:rsid w:val="00C6380F"/>
    <w:rsid w:val="00C63B44"/>
    <w:rsid w:val="00C640F4"/>
    <w:rsid w:val="00C65CA6"/>
    <w:rsid w:val="00C65E83"/>
    <w:rsid w:val="00C660CC"/>
    <w:rsid w:val="00C666E1"/>
    <w:rsid w:val="00C66738"/>
    <w:rsid w:val="00C66E63"/>
    <w:rsid w:val="00C67429"/>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85F"/>
    <w:rsid w:val="00C91874"/>
    <w:rsid w:val="00C91921"/>
    <w:rsid w:val="00C91B68"/>
    <w:rsid w:val="00C91BEE"/>
    <w:rsid w:val="00C92016"/>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505"/>
    <w:rsid w:val="00CC7FF7"/>
    <w:rsid w:val="00CD0045"/>
    <w:rsid w:val="00CD020D"/>
    <w:rsid w:val="00CD02D0"/>
    <w:rsid w:val="00CD0AD4"/>
    <w:rsid w:val="00CD0C51"/>
    <w:rsid w:val="00CD2E16"/>
    <w:rsid w:val="00CD3970"/>
    <w:rsid w:val="00CD4149"/>
    <w:rsid w:val="00CD41DE"/>
    <w:rsid w:val="00CD4777"/>
    <w:rsid w:val="00CD5F35"/>
    <w:rsid w:val="00CD6272"/>
    <w:rsid w:val="00CD72FC"/>
    <w:rsid w:val="00CD75CF"/>
    <w:rsid w:val="00CD7BF8"/>
    <w:rsid w:val="00CD7CF1"/>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AE6"/>
    <w:rsid w:val="00CF611D"/>
    <w:rsid w:val="00CF70DB"/>
    <w:rsid w:val="00CF756D"/>
    <w:rsid w:val="00D00483"/>
    <w:rsid w:val="00D006DC"/>
    <w:rsid w:val="00D01A39"/>
    <w:rsid w:val="00D02323"/>
    <w:rsid w:val="00D02351"/>
    <w:rsid w:val="00D02B37"/>
    <w:rsid w:val="00D02BBA"/>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22BA"/>
    <w:rsid w:val="00D230DE"/>
    <w:rsid w:val="00D23F18"/>
    <w:rsid w:val="00D249A6"/>
    <w:rsid w:val="00D24E12"/>
    <w:rsid w:val="00D250C0"/>
    <w:rsid w:val="00D25223"/>
    <w:rsid w:val="00D253B2"/>
    <w:rsid w:val="00D25A8F"/>
    <w:rsid w:val="00D25F25"/>
    <w:rsid w:val="00D262E4"/>
    <w:rsid w:val="00D26E42"/>
    <w:rsid w:val="00D27232"/>
    <w:rsid w:val="00D27482"/>
    <w:rsid w:val="00D277AA"/>
    <w:rsid w:val="00D27E7B"/>
    <w:rsid w:val="00D306F4"/>
    <w:rsid w:val="00D307E8"/>
    <w:rsid w:val="00D30CFA"/>
    <w:rsid w:val="00D30FCA"/>
    <w:rsid w:val="00D31434"/>
    <w:rsid w:val="00D31898"/>
    <w:rsid w:val="00D31C60"/>
    <w:rsid w:val="00D31F93"/>
    <w:rsid w:val="00D328F2"/>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140C"/>
    <w:rsid w:val="00D514B6"/>
    <w:rsid w:val="00D51AC8"/>
    <w:rsid w:val="00D52123"/>
    <w:rsid w:val="00D52507"/>
    <w:rsid w:val="00D52680"/>
    <w:rsid w:val="00D535A1"/>
    <w:rsid w:val="00D53808"/>
    <w:rsid w:val="00D53C42"/>
    <w:rsid w:val="00D53ECD"/>
    <w:rsid w:val="00D54560"/>
    <w:rsid w:val="00D54C63"/>
    <w:rsid w:val="00D555C1"/>
    <w:rsid w:val="00D55CF4"/>
    <w:rsid w:val="00D56C0A"/>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966"/>
    <w:rsid w:val="00D670F7"/>
    <w:rsid w:val="00D67938"/>
    <w:rsid w:val="00D7046C"/>
    <w:rsid w:val="00D7066E"/>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60EA"/>
    <w:rsid w:val="00D76EA8"/>
    <w:rsid w:val="00D775DA"/>
    <w:rsid w:val="00D77FD8"/>
    <w:rsid w:val="00D805D1"/>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71CE"/>
    <w:rsid w:val="00DB220D"/>
    <w:rsid w:val="00DB223F"/>
    <w:rsid w:val="00DB2436"/>
    <w:rsid w:val="00DB31FF"/>
    <w:rsid w:val="00DB35A2"/>
    <w:rsid w:val="00DB4DB0"/>
    <w:rsid w:val="00DB697B"/>
    <w:rsid w:val="00DB6B8F"/>
    <w:rsid w:val="00DB6EAE"/>
    <w:rsid w:val="00DB7F02"/>
    <w:rsid w:val="00DC008C"/>
    <w:rsid w:val="00DC0554"/>
    <w:rsid w:val="00DC086B"/>
    <w:rsid w:val="00DC147E"/>
    <w:rsid w:val="00DC16A5"/>
    <w:rsid w:val="00DC1791"/>
    <w:rsid w:val="00DC18EC"/>
    <w:rsid w:val="00DC1A91"/>
    <w:rsid w:val="00DC1AC9"/>
    <w:rsid w:val="00DC1F6D"/>
    <w:rsid w:val="00DC266C"/>
    <w:rsid w:val="00DC2D5E"/>
    <w:rsid w:val="00DC3012"/>
    <w:rsid w:val="00DC39BD"/>
    <w:rsid w:val="00DC3D97"/>
    <w:rsid w:val="00DC4046"/>
    <w:rsid w:val="00DC41EB"/>
    <w:rsid w:val="00DC4801"/>
    <w:rsid w:val="00DC4BED"/>
    <w:rsid w:val="00DC5202"/>
    <w:rsid w:val="00DC5334"/>
    <w:rsid w:val="00DC57AA"/>
    <w:rsid w:val="00DC5929"/>
    <w:rsid w:val="00DC594F"/>
    <w:rsid w:val="00DC5BED"/>
    <w:rsid w:val="00DC5E5A"/>
    <w:rsid w:val="00DC654E"/>
    <w:rsid w:val="00DC67E7"/>
    <w:rsid w:val="00DC696F"/>
    <w:rsid w:val="00DC77F3"/>
    <w:rsid w:val="00DC7E73"/>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D51"/>
    <w:rsid w:val="00DF30AF"/>
    <w:rsid w:val="00DF34D0"/>
    <w:rsid w:val="00DF371A"/>
    <w:rsid w:val="00DF38AF"/>
    <w:rsid w:val="00DF42E6"/>
    <w:rsid w:val="00DF472D"/>
    <w:rsid w:val="00DF473F"/>
    <w:rsid w:val="00DF4C2F"/>
    <w:rsid w:val="00DF4C9F"/>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408C"/>
    <w:rsid w:val="00E141C1"/>
    <w:rsid w:val="00E1476E"/>
    <w:rsid w:val="00E15EC7"/>
    <w:rsid w:val="00E16193"/>
    <w:rsid w:val="00E162B2"/>
    <w:rsid w:val="00E17B34"/>
    <w:rsid w:val="00E2031E"/>
    <w:rsid w:val="00E20C75"/>
    <w:rsid w:val="00E20C86"/>
    <w:rsid w:val="00E20EAF"/>
    <w:rsid w:val="00E213E5"/>
    <w:rsid w:val="00E21772"/>
    <w:rsid w:val="00E21AAD"/>
    <w:rsid w:val="00E22A0E"/>
    <w:rsid w:val="00E22B39"/>
    <w:rsid w:val="00E23398"/>
    <w:rsid w:val="00E23496"/>
    <w:rsid w:val="00E23633"/>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8EE"/>
    <w:rsid w:val="00E30CBC"/>
    <w:rsid w:val="00E31118"/>
    <w:rsid w:val="00E312C3"/>
    <w:rsid w:val="00E31B25"/>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75"/>
    <w:rsid w:val="00E42040"/>
    <w:rsid w:val="00E4210D"/>
    <w:rsid w:val="00E425BE"/>
    <w:rsid w:val="00E43DD0"/>
    <w:rsid w:val="00E44058"/>
    <w:rsid w:val="00E44A30"/>
    <w:rsid w:val="00E44FF7"/>
    <w:rsid w:val="00E45304"/>
    <w:rsid w:val="00E4574B"/>
    <w:rsid w:val="00E45778"/>
    <w:rsid w:val="00E45833"/>
    <w:rsid w:val="00E45932"/>
    <w:rsid w:val="00E464AE"/>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715"/>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B40"/>
    <w:rsid w:val="00E762BB"/>
    <w:rsid w:val="00E7642B"/>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4BD"/>
    <w:rsid w:val="00E86EAB"/>
    <w:rsid w:val="00E86FBC"/>
    <w:rsid w:val="00E87C19"/>
    <w:rsid w:val="00E87D94"/>
    <w:rsid w:val="00E90119"/>
    <w:rsid w:val="00E90858"/>
    <w:rsid w:val="00E90BF3"/>
    <w:rsid w:val="00E918CE"/>
    <w:rsid w:val="00E91FB7"/>
    <w:rsid w:val="00E9200D"/>
    <w:rsid w:val="00E921A9"/>
    <w:rsid w:val="00E9221B"/>
    <w:rsid w:val="00E93450"/>
    <w:rsid w:val="00E9386C"/>
    <w:rsid w:val="00E93C0A"/>
    <w:rsid w:val="00E96289"/>
    <w:rsid w:val="00E96A82"/>
    <w:rsid w:val="00E96BB8"/>
    <w:rsid w:val="00E972C1"/>
    <w:rsid w:val="00E97D8E"/>
    <w:rsid w:val="00EA03CD"/>
    <w:rsid w:val="00EA0DB0"/>
    <w:rsid w:val="00EA16BC"/>
    <w:rsid w:val="00EA1960"/>
    <w:rsid w:val="00EA1A67"/>
    <w:rsid w:val="00EA1DA3"/>
    <w:rsid w:val="00EA26BB"/>
    <w:rsid w:val="00EA2B4F"/>
    <w:rsid w:val="00EA2EA3"/>
    <w:rsid w:val="00EA4952"/>
    <w:rsid w:val="00EA4A27"/>
    <w:rsid w:val="00EA4B58"/>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86E"/>
    <w:rsid w:val="00EC0E7F"/>
    <w:rsid w:val="00EC0F89"/>
    <w:rsid w:val="00EC124D"/>
    <w:rsid w:val="00EC1A77"/>
    <w:rsid w:val="00EC1FAE"/>
    <w:rsid w:val="00EC2039"/>
    <w:rsid w:val="00EC2603"/>
    <w:rsid w:val="00EC2BB7"/>
    <w:rsid w:val="00EC32AB"/>
    <w:rsid w:val="00EC39BD"/>
    <w:rsid w:val="00EC4BF3"/>
    <w:rsid w:val="00EC5924"/>
    <w:rsid w:val="00EC6FC6"/>
    <w:rsid w:val="00EC7090"/>
    <w:rsid w:val="00EC7250"/>
    <w:rsid w:val="00EC7735"/>
    <w:rsid w:val="00EC7D27"/>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C90"/>
    <w:rsid w:val="00EF3EC7"/>
    <w:rsid w:val="00EF406C"/>
    <w:rsid w:val="00EF4EB4"/>
    <w:rsid w:val="00EF53EB"/>
    <w:rsid w:val="00EF72CA"/>
    <w:rsid w:val="00EF7549"/>
    <w:rsid w:val="00EF7C31"/>
    <w:rsid w:val="00EF7F5A"/>
    <w:rsid w:val="00F002B6"/>
    <w:rsid w:val="00F002DE"/>
    <w:rsid w:val="00F00384"/>
    <w:rsid w:val="00F01903"/>
    <w:rsid w:val="00F02DD8"/>
    <w:rsid w:val="00F031C6"/>
    <w:rsid w:val="00F0473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6338"/>
    <w:rsid w:val="00F3695A"/>
    <w:rsid w:val="00F36C09"/>
    <w:rsid w:val="00F37994"/>
    <w:rsid w:val="00F40C77"/>
    <w:rsid w:val="00F40E36"/>
    <w:rsid w:val="00F4143E"/>
    <w:rsid w:val="00F41890"/>
    <w:rsid w:val="00F41EE1"/>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C77"/>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F7A"/>
    <w:rsid w:val="00F576A0"/>
    <w:rsid w:val="00F57B26"/>
    <w:rsid w:val="00F57B2F"/>
    <w:rsid w:val="00F603E7"/>
    <w:rsid w:val="00F60924"/>
    <w:rsid w:val="00F60EFC"/>
    <w:rsid w:val="00F61317"/>
    <w:rsid w:val="00F6131F"/>
    <w:rsid w:val="00F6216B"/>
    <w:rsid w:val="00F62BFF"/>
    <w:rsid w:val="00F631A1"/>
    <w:rsid w:val="00F63AA0"/>
    <w:rsid w:val="00F63CBE"/>
    <w:rsid w:val="00F63D29"/>
    <w:rsid w:val="00F63E27"/>
    <w:rsid w:val="00F64DE0"/>
    <w:rsid w:val="00F65D5C"/>
    <w:rsid w:val="00F66DD3"/>
    <w:rsid w:val="00F67C56"/>
    <w:rsid w:val="00F70444"/>
    <w:rsid w:val="00F70B45"/>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58F6"/>
    <w:rsid w:val="00F8676D"/>
    <w:rsid w:val="00F86935"/>
    <w:rsid w:val="00F86E8A"/>
    <w:rsid w:val="00F8713E"/>
    <w:rsid w:val="00F8737F"/>
    <w:rsid w:val="00F87503"/>
    <w:rsid w:val="00F877BB"/>
    <w:rsid w:val="00F879ED"/>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37F0"/>
    <w:rsid w:val="00FB3904"/>
    <w:rsid w:val="00FB4A8F"/>
    <w:rsid w:val="00FB4B8A"/>
    <w:rsid w:val="00FB4F6B"/>
    <w:rsid w:val="00FB4FE3"/>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3010"/>
    <w:rsid w:val="00FC30EF"/>
    <w:rsid w:val="00FC3465"/>
    <w:rsid w:val="00FC38AD"/>
    <w:rsid w:val="00FC3AA6"/>
    <w:rsid w:val="00FC3C70"/>
    <w:rsid w:val="00FC401B"/>
    <w:rsid w:val="00FC4C11"/>
    <w:rsid w:val="00FC50E2"/>
    <w:rsid w:val="00FC6309"/>
    <w:rsid w:val="00FC6AAB"/>
    <w:rsid w:val="00FC6E60"/>
    <w:rsid w:val="00FC6FFE"/>
    <w:rsid w:val="00FC7477"/>
    <w:rsid w:val="00FC7768"/>
    <w:rsid w:val="00FC7D94"/>
    <w:rsid w:val="00FC7E82"/>
    <w:rsid w:val="00FD0AC0"/>
    <w:rsid w:val="00FD10ED"/>
    <w:rsid w:val="00FD185A"/>
    <w:rsid w:val="00FD2F4E"/>
    <w:rsid w:val="00FD307E"/>
    <w:rsid w:val="00FD30DD"/>
    <w:rsid w:val="00FD32FA"/>
    <w:rsid w:val="00FD33A7"/>
    <w:rsid w:val="00FD4568"/>
    <w:rsid w:val="00FD46CD"/>
    <w:rsid w:val="00FD48E3"/>
    <w:rsid w:val="00FD4E9D"/>
    <w:rsid w:val="00FD55A5"/>
    <w:rsid w:val="00FD5A2E"/>
    <w:rsid w:val="00FD5D10"/>
    <w:rsid w:val="00FD5EF9"/>
    <w:rsid w:val="00FD64C2"/>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745"/>
    <w:rsid w:val="00FE4948"/>
    <w:rsid w:val="00FE4E00"/>
    <w:rsid w:val="00FE4EE1"/>
    <w:rsid w:val="00FE61E3"/>
    <w:rsid w:val="00FE7EC8"/>
    <w:rsid w:val="00FE7EF4"/>
    <w:rsid w:val="00FF0A82"/>
    <w:rsid w:val="00FF0CBB"/>
    <w:rsid w:val="00FF0FAA"/>
    <w:rsid w:val="00FF13C1"/>
    <w:rsid w:val="00FF1BD3"/>
    <w:rsid w:val="00FF1C0B"/>
    <w:rsid w:val="00FF1CF2"/>
    <w:rsid w:val="00FF1FDD"/>
    <w:rsid w:val="00FF3FCF"/>
    <w:rsid w:val="00FF3FE7"/>
    <w:rsid w:val="00FF4478"/>
    <w:rsid w:val="00FF4DED"/>
    <w:rsid w:val="00FF5358"/>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6E077"/>
  <w15:docId w15:val="{C23DD9D7-7AA8-4A14-A7A6-96AA7B8A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AF"/>
  </w:style>
  <w:style w:type="paragraph" w:styleId="Ttulo1">
    <w:name w:val="heading 1"/>
    <w:basedOn w:val="Normal"/>
    <w:next w:val="Normal"/>
    <w:link w:val="Ttulo1Car"/>
    <w:uiPriority w:val="9"/>
    <w:qFormat/>
    <w:rsid w:val="006219AF"/>
    <w:pPr>
      <w:pBdr>
        <w:top w:val="single" w:sz="24" w:space="0" w:color="CC66FF" w:themeColor="accent1"/>
        <w:left w:val="single" w:sz="24" w:space="0" w:color="CC66FF" w:themeColor="accent1"/>
        <w:bottom w:val="single" w:sz="24" w:space="0" w:color="CC66FF" w:themeColor="accent1"/>
        <w:right w:val="single" w:sz="24" w:space="0" w:color="CC66FF" w:themeColor="accent1"/>
      </w:pBdr>
      <w:shd w:val="clear" w:color="auto" w:fill="CC66FF"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219AF"/>
    <w:pPr>
      <w:pBdr>
        <w:top w:val="single" w:sz="24" w:space="0" w:color="F4E0FF" w:themeColor="accent1" w:themeTint="33"/>
        <w:left w:val="single" w:sz="24" w:space="0" w:color="F4E0FF" w:themeColor="accent1" w:themeTint="33"/>
        <w:bottom w:val="single" w:sz="24" w:space="0" w:color="F4E0FF" w:themeColor="accent1" w:themeTint="33"/>
        <w:right w:val="single" w:sz="24" w:space="0" w:color="F4E0FF" w:themeColor="accent1" w:themeTint="33"/>
      </w:pBdr>
      <w:shd w:val="clear" w:color="auto" w:fill="F4E0FF"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219AF"/>
    <w:pPr>
      <w:pBdr>
        <w:top w:val="single" w:sz="6" w:space="2" w:color="CC66FF" w:themeColor="accent1"/>
      </w:pBdr>
      <w:spacing w:before="300" w:after="0"/>
      <w:outlineLvl w:val="2"/>
    </w:pPr>
    <w:rPr>
      <w:caps/>
      <w:color w:val="7600B1" w:themeColor="accent1" w:themeShade="7F"/>
      <w:spacing w:val="15"/>
    </w:rPr>
  </w:style>
  <w:style w:type="paragraph" w:styleId="Ttulo4">
    <w:name w:val="heading 4"/>
    <w:basedOn w:val="Normal"/>
    <w:next w:val="Normal"/>
    <w:link w:val="Ttulo4Car"/>
    <w:uiPriority w:val="9"/>
    <w:unhideWhenUsed/>
    <w:qFormat/>
    <w:rsid w:val="006219AF"/>
    <w:pPr>
      <w:pBdr>
        <w:top w:val="dotted" w:sz="6" w:space="2" w:color="CC66FF" w:themeColor="accent1"/>
      </w:pBdr>
      <w:spacing w:before="200" w:after="0"/>
      <w:outlineLvl w:val="3"/>
    </w:pPr>
    <w:rPr>
      <w:caps/>
      <w:color w:val="AE0CFF" w:themeColor="accent1" w:themeShade="BF"/>
      <w:spacing w:val="10"/>
    </w:rPr>
  </w:style>
  <w:style w:type="paragraph" w:styleId="Ttulo5">
    <w:name w:val="heading 5"/>
    <w:basedOn w:val="Normal"/>
    <w:next w:val="Normal"/>
    <w:link w:val="Ttulo5Car"/>
    <w:uiPriority w:val="9"/>
    <w:unhideWhenUsed/>
    <w:qFormat/>
    <w:rsid w:val="006219AF"/>
    <w:pPr>
      <w:pBdr>
        <w:bottom w:val="single" w:sz="6" w:space="1" w:color="CC66FF" w:themeColor="accent1"/>
      </w:pBdr>
      <w:spacing w:before="200" w:after="0"/>
      <w:outlineLvl w:val="4"/>
    </w:pPr>
    <w:rPr>
      <w:caps/>
      <w:color w:val="AE0CFF" w:themeColor="accent1" w:themeShade="BF"/>
      <w:spacing w:val="10"/>
    </w:rPr>
  </w:style>
  <w:style w:type="paragraph" w:styleId="Ttulo6">
    <w:name w:val="heading 6"/>
    <w:basedOn w:val="Normal"/>
    <w:next w:val="Normal"/>
    <w:link w:val="Ttulo6Car"/>
    <w:uiPriority w:val="9"/>
    <w:unhideWhenUsed/>
    <w:qFormat/>
    <w:rsid w:val="006219AF"/>
    <w:pPr>
      <w:pBdr>
        <w:bottom w:val="dotted" w:sz="6" w:space="1" w:color="CC66FF" w:themeColor="accent1"/>
      </w:pBdr>
      <w:spacing w:before="200" w:after="0"/>
      <w:outlineLvl w:val="5"/>
    </w:pPr>
    <w:rPr>
      <w:caps/>
      <w:color w:val="AE0CFF" w:themeColor="accent1" w:themeShade="BF"/>
      <w:spacing w:val="10"/>
    </w:rPr>
  </w:style>
  <w:style w:type="paragraph" w:styleId="Ttulo7">
    <w:name w:val="heading 7"/>
    <w:basedOn w:val="Normal"/>
    <w:next w:val="Normal"/>
    <w:link w:val="Ttulo7Car"/>
    <w:uiPriority w:val="9"/>
    <w:semiHidden/>
    <w:unhideWhenUsed/>
    <w:qFormat/>
    <w:rsid w:val="006219AF"/>
    <w:pPr>
      <w:spacing w:before="200" w:after="0"/>
      <w:outlineLvl w:val="6"/>
    </w:pPr>
    <w:rPr>
      <w:caps/>
      <w:color w:val="AE0CFF" w:themeColor="accent1" w:themeShade="BF"/>
      <w:spacing w:val="10"/>
    </w:rPr>
  </w:style>
  <w:style w:type="paragraph" w:styleId="Ttulo8">
    <w:name w:val="heading 8"/>
    <w:basedOn w:val="Normal"/>
    <w:next w:val="Normal"/>
    <w:link w:val="Ttulo8Car"/>
    <w:uiPriority w:val="9"/>
    <w:semiHidden/>
    <w:unhideWhenUsed/>
    <w:qFormat/>
    <w:rsid w:val="006219AF"/>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219AF"/>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9AF"/>
    <w:rPr>
      <w:caps/>
      <w:color w:val="FFFFFF" w:themeColor="background1"/>
      <w:spacing w:val="15"/>
      <w:sz w:val="22"/>
      <w:szCs w:val="22"/>
      <w:shd w:val="clear" w:color="auto" w:fill="CC66FF" w:themeFill="accent1"/>
    </w:rPr>
  </w:style>
  <w:style w:type="character" w:customStyle="1" w:styleId="Ttulo2Car">
    <w:name w:val="Título 2 Car"/>
    <w:basedOn w:val="Fuentedeprrafopredeter"/>
    <w:link w:val="Ttulo2"/>
    <w:uiPriority w:val="9"/>
    <w:rsid w:val="006219AF"/>
    <w:rPr>
      <w:caps/>
      <w:spacing w:val="15"/>
      <w:shd w:val="clear" w:color="auto" w:fill="F4E0FF" w:themeFill="accent1" w:themeFillTint="33"/>
    </w:rPr>
  </w:style>
  <w:style w:type="character" w:customStyle="1" w:styleId="Ttulo3Car">
    <w:name w:val="Título 3 Car"/>
    <w:basedOn w:val="Fuentedeprrafopredeter"/>
    <w:link w:val="Ttulo3"/>
    <w:uiPriority w:val="9"/>
    <w:rsid w:val="006219AF"/>
    <w:rPr>
      <w:caps/>
      <w:color w:val="7600B1" w:themeColor="accent1" w:themeShade="7F"/>
      <w:spacing w:val="15"/>
    </w:rPr>
  </w:style>
  <w:style w:type="character" w:customStyle="1" w:styleId="Ttulo4Car">
    <w:name w:val="Título 4 Car"/>
    <w:basedOn w:val="Fuentedeprrafopredeter"/>
    <w:link w:val="Ttulo4"/>
    <w:uiPriority w:val="9"/>
    <w:rsid w:val="006219AF"/>
    <w:rPr>
      <w:caps/>
      <w:color w:val="AE0CFF" w:themeColor="accent1" w:themeShade="BF"/>
      <w:spacing w:val="10"/>
    </w:rPr>
  </w:style>
  <w:style w:type="character" w:customStyle="1" w:styleId="Ttulo8Car">
    <w:name w:val="Título 8 Car"/>
    <w:basedOn w:val="Fuentedeprrafopredeter"/>
    <w:link w:val="Ttulo8"/>
    <w:uiPriority w:val="9"/>
    <w:semiHidden/>
    <w:rsid w:val="006219AF"/>
    <w:rPr>
      <w:caps/>
      <w:spacing w:val="10"/>
      <w:sz w:val="18"/>
      <w:szCs w:val="18"/>
    </w:rPr>
  </w:style>
  <w:style w:type="character" w:customStyle="1" w:styleId="Ttulo9Car">
    <w:name w:val="Título 9 Car"/>
    <w:basedOn w:val="Fuentedeprrafopredeter"/>
    <w:link w:val="Ttulo9"/>
    <w:uiPriority w:val="9"/>
    <w:semiHidden/>
    <w:rsid w:val="006219AF"/>
    <w:rPr>
      <w:i/>
      <w:iCs/>
      <w:caps/>
      <w:spacing w:val="10"/>
      <w:sz w:val="18"/>
      <w:szCs w:val="18"/>
    </w:rPr>
  </w:style>
  <w:style w:type="paragraph" w:styleId="Encabezado">
    <w:name w:val="header"/>
    <w:basedOn w:val="Normal"/>
    <w:link w:val="Encabezado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563C1" w:themeColor="hyperlink"/>
      <w:u w:val="single"/>
    </w:rPr>
  </w:style>
  <w:style w:type="paragraph" w:styleId="TDC1">
    <w:name w:val="toc 1"/>
    <w:basedOn w:val="Normal"/>
    <w:next w:val="Normal"/>
    <w:autoRedefine/>
    <w:uiPriority w:val="39"/>
    <w:unhideWhenUsed/>
    <w:rsid w:val="00C12D18"/>
    <w:pPr>
      <w:spacing w:before="120" w:after="0"/>
    </w:pPr>
    <w:rPr>
      <w:b/>
      <w:bCs/>
      <w:i/>
      <w:iCs/>
    </w:rPr>
  </w:style>
  <w:style w:type="paragraph" w:styleId="TDC2">
    <w:name w:val="toc 2"/>
    <w:basedOn w:val="Normal"/>
    <w:next w:val="Normal"/>
    <w:autoRedefine/>
    <w:uiPriority w:val="39"/>
    <w:unhideWhenUsed/>
    <w:rsid w:val="00C12D18"/>
    <w:pPr>
      <w:spacing w:before="120" w:after="0"/>
      <w:ind w:left="240"/>
    </w:pPr>
    <w:rPr>
      <w:b/>
      <w:bCs/>
      <w:sz w:val="22"/>
      <w:szCs w:val="22"/>
    </w:rPr>
  </w:style>
  <w:style w:type="paragraph" w:styleId="Prrafodelista">
    <w:name w:val="List Paragraph"/>
    <w:basedOn w:val="Normal"/>
    <w:uiPriority w:val="34"/>
    <w:qFormat/>
    <w:rsid w:val="00F63D29"/>
    <w:pPr>
      <w:ind w:left="720"/>
      <w:contextualSpacing/>
    </w:p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9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0099" w:themeFill="accent2"/>
      </w:tcPr>
    </w:tblStylePr>
    <w:tblStylePr w:type="lastCol">
      <w:rPr>
        <w:b/>
        <w:bCs/>
        <w:color w:val="FFFFFF" w:themeColor="background1"/>
      </w:rPr>
      <w:tblPr/>
      <w:tcPr>
        <w:tcBorders>
          <w:left w:val="nil"/>
          <w:right w:val="nil"/>
          <w:insideH w:val="nil"/>
          <w:insideV w:val="nil"/>
        </w:tcBorders>
        <w:shd w:val="clear" w:color="auto" w:fill="99009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rPr>
      <w:rFonts w:ascii="Tahoma" w:hAnsi="Tahoma" w:cs="Tahoma"/>
      <w:color w:val="000000"/>
      <w:kern w:val="28"/>
      <w:szCs w:val="16"/>
      <w:lang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99" w:themeColor="accent2"/>
        <w:left w:val="single" w:sz="8" w:space="0" w:color="990099" w:themeColor="accent2"/>
        <w:bottom w:val="single" w:sz="8" w:space="0" w:color="990099" w:themeColor="accent2"/>
        <w:right w:val="single" w:sz="8" w:space="0" w:color="990099" w:themeColor="accent2"/>
      </w:tblBorders>
    </w:tblPr>
    <w:tblStylePr w:type="firstRow">
      <w:rPr>
        <w:sz w:val="24"/>
        <w:szCs w:val="24"/>
      </w:rPr>
      <w:tblPr/>
      <w:tcPr>
        <w:tcBorders>
          <w:top w:val="nil"/>
          <w:left w:val="nil"/>
          <w:bottom w:val="single" w:sz="24" w:space="0" w:color="990099" w:themeColor="accent2"/>
          <w:right w:val="nil"/>
          <w:insideH w:val="nil"/>
          <w:insideV w:val="nil"/>
        </w:tcBorders>
        <w:shd w:val="clear" w:color="auto" w:fill="FFFFFF" w:themeFill="background1"/>
      </w:tcPr>
    </w:tblStylePr>
    <w:tblStylePr w:type="lastRow">
      <w:tblPr/>
      <w:tcPr>
        <w:tcBorders>
          <w:top w:val="single" w:sz="8" w:space="0" w:color="99009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99" w:themeColor="accent2"/>
          <w:insideH w:val="nil"/>
          <w:insideV w:val="nil"/>
        </w:tcBorders>
        <w:shd w:val="clear" w:color="auto" w:fill="FFFFFF" w:themeFill="background1"/>
      </w:tcPr>
    </w:tblStylePr>
    <w:tblStylePr w:type="lastCol">
      <w:tblPr/>
      <w:tcPr>
        <w:tcBorders>
          <w:top w:val="nil"/>
          <w:left w:val="single" w:sz="8" w:space="0" w:color="99009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FF" w:themeFill="accent2" w:themeFillTint="3F"/>
      </w:tcPr>
    </w:tblStylePr>
    <w:tblStylePr w:type="band1Horz">
      <w:tblPr/>
      <w:tcPr>
        <w:tcBorders>
          <w:top w:val="nil"/>
          <w:bottom w:val="nil"/>
          <w:insideH w:val="nil"/>
          <w:insideV w:val="nil"/>
        </w:tcBorders>
        <w:shd w:val="clear" w:color="auto" w:fill="FFA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9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9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4" w:themeFillTint="7F"/>
      </w:tcPr>
    </w:tblStylePr>
  </w:style>
  <w:style w:type="table" w:styleId="Sombreadoclaro-nfasis4">
    <w:name w:val="Light Shading Accent 4"/>
    <w:basedOn w:val="Tablanormal"/>
    <w:uiPriority w:val="60"/>
    <w:rsid w:val="003A3010"/>
    <w:pPr>
      <w:spacing w:after="0" w:line="240" w:lineRule="auto"/>
    </w:pPr>
    <w:rPr>
      <w:color w:val="BF0000" w:themeColor="accent4" w:themeShade="BF"/>
    </w:rPr>
    <w:tblPr>
      <w:tblStyleRowBandSize w:val="1"/>
      <w:tblStyleColBandSize w:val="1"/>
      <w:tblBorders>
        <w:top w:val="single" w:sz="8" w:space="0" w:color="FF0000" w:themeColor="accent4"/>
        <w:bottom w:val="single" w:sz="8" w:space="0" w:color="FF0000" w:themeColor="accent4"/>
      </w:tblBorders>
    </w:tblPr>
    <w:tblStylePr w:type="fir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la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left w:val="nil"/>
          <w:right w:val="nil"/>
          <w:insideH w:val="nil"/>
          <w:insideV w:val="nil"/>
        </w:tcBorders>
        <w:shd w:val="clear" w:color="auto" w:fill="FFC0C0"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4"/>
        <w:left w:val="single" w:sz="8" w:space="0" w:color="FF0000" w:themeColor="accent4"/>
        <w:bottom w:val="single" w:sz="8" w:space="0" w:color="FF0000" w:themeColor="accent4"/>
        <w:right w:val="single" w:sz="8" w:space="0" w:color="FF0000" w:themeColor="accent4"/>
      </w:tblBorders>
    </w:tblPr>
    <w:tblStylePr w:type="firstRow">
      <w:rPr>
        <w:sz w:val="24"/>
        <w:szCs w:val="24"/>
      </w:rPr>
      <w:tblPr/>
      <w:tcPr>
        <w:tcBorders>
          <w:top w:val="nil"/>
          <w:left w:val="nil"/>
          <w:bottom w:val="single" w:sz="24" w:space="0" w:color="FF0000" w:themeColor="accent4"/>
          <w:right w:val="nil"/>
          <w:insideH w:val="nil"/>
          <w:insideV w:val="nil"/>
        </w:tcBorders>
        <w:shd w:val="clear" w:color="auto" w:fill="FFFFFF" w:themeFill="background1"/>
      </w:tcPr>
    </w:tblStylePr>
    <w:tblStylePr w:type="lastRow">
      <w:tblPr/>
      <w:tcPr>
        <w:tcBorders>
          <w:top w:val="single" w:sz="8" w:space="0" w:color="FF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4"/>
          <w:insideH w:val="nil"/>
          <w:insideV w:val="nil"/>
        </w:tcBorders>
        <w:shd w:val="clear" w:color="auto" w:fill="FFFFFF" w:themeFill="background1"/>
      </w:tcPr>
    </w:tblStylePr>
    <w:tblStylePr w:type="lastCol">
      <w:tblPr/>
      <w:tcPr>
        <w:tcBorders>
          <w:top w:val="nil"/>
          <w:left w:val="single" w:sz="8" w:space="0" w:color="FF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top w:val="nil"/>
          <w:bottom w:val="nil"/>
          <w:insideH w:val="nil"/>
          <w:insideV w:val="nil"/>
        </w:tcBorders>
        <w:shd w:val="clear" w:color="auto" w:fill="FF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ind w:left="540"/>
    </w:pPr>
    <w:rPr>
      <w:rFonts w:ascii="Futura-Book" w:hAnsi="Futura-Book" w:cs="Arial"/>
      <w:szCs w:val="22"/>
      <w:lang w:eastAsia="es-ES"/>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after="160" w:line="240" w:lineRule="exact"/>
    </w:pPr>
    <w:rPr>
      <w:rFonts w:ascii="Verdana" w:hAnsi="Verdana"/>
      <w:lang w:val="en-US"/>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7F7F7F"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rPr>
      <w:rFonts w:eastAsia="Calibri"/>
      <w:color w:val="000000"/>
      <w:kern w:val="28"/>
      <w:lang w:eastAsia="es-ES"/>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Autospacing="1" w:after="100" w:afterAutospacing="1"/>
    </w:pPr>
    <w:rPr>
      <w:rFonts w:eastAsia="Calibri"/>
      <w:lang w:eastAsia="es-ES"/>
    </w:rPr>
  </w:style>
  <w:style w:type="table" w:styleId="Sombreadovistoso-nfasis4">
    <w:name w:val="Colorful Shading Accent 4"/>
    <w:basedOn w:val="Tablanormal"/>
    <w:uiPriority w:val="71"/>
    <w:rsid w:val="00891CBB"/>
    <w:pPr>
      <w:spacing w:after="0" w:line="240" w:lineRule="auto"/>
    </w:pPr>
    <w:rPr>
      <w:color w:val="000000" w:themeColor="text1"/>
    </w:rPr>
    <w:tblPr>
      <w:tblStyleRowBandSize w:val="1"/>
      <w:tblStyleColBandSize w:val="1"/>
      <w:tblBorders>
        <w:top w:val="single" w:sz="24" w:space="0" w:color="CC0066" w:themeColor="accent3"/>
        <w:left w:val="single" w:sz="4" w:space="0" w:color="FF0000" w:themeColor="accent4"/>
        <w:bottom w:val="single" w:sz="4" w:space="0" w:color="FF0000" w:themeColor="accent4"/>
        <w:right w:val="single" w:sz="4" w:space="0" w:color="FF0000" w:themeColor="accent4"/>
        <w:insideH w:val="single" w:sz="4" w:space="0" w:color="FFFFFF" w:themeColor="background1"/>
        <w:insideV w:val="single" w:sz="4" w:space="0" w:color="FFFFFF" w:themeColor="background1"/>
      </w:tblBorders>
    </w:tblPr>
    <w:tcPr>
      <w:shd w:val="clear" w:color="auto" w:fill="FFE6E6" w:themeFill="accent4" w:themeFillTint="19"/>
    </w:tcPr>
    <w:tblStylePr w:type="firstRow">
      <w:rPr>
        <w:b/>
        <w:bCs/>
      </w:rPr>
      <w:tblPr/>
      <w:tcPr>
        <w:tcBorders>
          <w:top w:val="nil"/>
          <w:left w:val="nil"/>
          <w:bottom w:val="single" w:sz="24" w:space="0" w:color="CC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4" w:themeFillShade="99"/>
      </w:tcPr>
    </w:tblStylePr>
    <w:tblStylePr w:type="firstCol">
      <w:rPr>
        <w:color w:val="FFFFFF" w:themeColor="background1"/>
      </w:rPr>
      <w:tblPr/>
      <w:tcPr>
        <w:tcBorders>
          <w:top w:val="nil"/>
          <w:left w:val="nil"/>
          <w:bottom w:val="nil"/>
          <w:right w:val="nil"/>
          <w:insideH w:val="single" w:sz="4" w:space="0" w:color="990000" w:themeColor="accent4" w:themeShade="99"/>
          <w:insideV w:val="nil"/>
        </w:tcBorders>
        <w:shd w:val="clear" w:color="auto" w:fill="99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4" w:themeFillShade="99"/>
      </w:tcPr>
    </w:tblStylePr>
    <w:tblStylePr w:type="band1Vert">
      <w:tblPr/>
      <w:tcPr>
        <w:shd w:val="clear" w:color="auto" w:fill="FF9999" w:themeFill="accent4" w:themeFillTint="66"/>
      </w:tcPr>
    </w:tblStylePr>
    <w:tblStylePr w:type="band1Horz">
      <w:tblPr/>
      <w:tcPr>
        <w:shd w:val="clear" w:color="auto" w:fill="FF8080" w:themeFill="accent4" w:themeFillTint="7F"/>
      </w:tcPr>
    </w:tblStylePr>
    <w:tblStylePr w:type="neCell">
      <w:rPr>
        <w:color w:val="000000" w:themeColor="text1"/>
      </w:rPr>
    </w:tblStylePr>
    <w:tblStylePr w:type="nwCell">
      <w:rPr>
        <w:color w:val="000000"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FF4040" w:themeColor="accent4" w:themeTint="BF"/>
        <w:left w:val="single" w:sz="8" w:space="0" w:color="FF4040" w:themeColor="accent4" w:themeTint="BF"/>
        <w:bottom w:val="single" w:sz="8" w:space="0" w:color="FF4040" w:themeColor="accent4" w:themeTint="BF"/>
        <w:right w:val="single" w:sz="8" w:space="0" w:color="FF4040" w:themeColor="accent4" w:themeTint="BF"/>
        <w:insideH w:val="single" w:sz="8" w:space="0" w:color="FF4040" w:themeColor="accent4" w:themeTint="BF"/>
        <w:insideV w:val="single" w:sz="8" w:space="0" w:color="FF4040" w:themeColor="accent4" w:themeTint="BF"/>
      </w:tblBorders>
    </w:tblPr>
    <w:tcPr>
      <w:shd w:val="clear" w:color="auto" w:fill="FFC0C0" w:themeFill="accent4" w:themeFillTint="3F"/>
    </w:tcPr>
    <w:tblStylePr w:type="firstRow">
      <w:rPr>
        <w:b/>
        <w:bCs/>
      </w:rPr>
    </w:tblStylePr>
    <w:tblStylePr w:type="lastRow">
      <w:rPr>
        <w:b/>
        <w:bCs/>
      </w:rPr>
      <w:tblPr/>
      <w:tcPr>
        <w:tcBorders>
          <w:top w:val="single" w:sz="18" w:space="0" w:color="FF4040" w:themeColor="accent4" w:themeTint="BF"/>
        </w:tcBorders>
      </w:tcPr>
    </w:tblStylePr>
    <w:tblStylePr w:type="firstCol">
      <w:rPr>
        <w:b/>
        <w:bCs/>
      </w:rPr>
    </w:tblStylePr>
    <w:tblStylePr w:type="lastCol">
      <w:rPr>
        <w:b/>
        <w:bCs/>
      </w:rPr>
    </w:tblStylePr>
    <w:tblStylePr w:type="band1Vert">
      <w:tblPr/>
      <w:tcPr>
        <w:shd w:val="clear" w:color="auto" w:fill="FF8080" w:themeFill="accent4" w:themeFillTint="7F"/>
      </w:tcPr>
    </w:tblStylePr>
    <w:tblStylePr w:type="band1Horz">
      <w:tblPr/>
      <w:tcPr>
        <w:shd w:val="clear" w:color="auto" w:fill="FF8080" w:themeFill="accent4" w:themeFillTint="7F"/>
      </w:tcPr>
    </w:tblStylePr>
  </w:style>
  <w:style w:type="paragraph" w:customStyle="1" w:styleId="notaalpie">
    <w:name w:val="nota al pie"/>
    <w:basedOn w:val="Textonotapie"/>
    <w:link w:val="notaalpieCar"/>
    <w:rsid w:val="009B64B7"/>
    <w:pPr>
      <w:spacing w:line="240" w:lineRule="auto"/>
    </w:pPr>
    <w:rPr>
      <w:i/>
      <w:szCs w:val="16"/>
    </w:rPr>
  </w:style>
  <w:style w:type="paragraph" w:styleId="Citadestacada">
    <w:name w:val="Intense Quote"/>
    <w:basedOn w:val="Normal"/>
    <w:next w:val="Normal"/>
    <w:link w:val="CitadestacadaCar"/>
    <w:uiPriority w:val="30"/>
    <w:qFormat/>
    <w:rsid w:val="006219AF"/>
    <w:pPr>
      <w:spacing w:before="240" w:after="240" w:line="240" w:lineRule="auto"/>
      <w:ind w:left="1080" w:right="1080"/>
      <w:jc w:val="center"/>
    </w:pPr>
    <w:rPr>
      <w:color w:val="CC66FF" w:themeColor="accent1"/>
      <w:sz w:val="24"/>
      <w:szCs w:val="24"/>
    </w:rPr>
  </w:style>
  <w:style w:type="character" w:customStyle="1" w:styleId="notaalpieCar">
    <w:name w:val="nota al pie Car"/>
    <w:basedOn w:val="TextonotapieCar"/>
    <w:link w:val="notaalpie"/>
    <w:rsid w:val="009B64B7"/>
    <w:rPr>
      <w:rFonts w:ascii="Tw Cen MT" w:eastAsia="Calibri" w:hAnsi="Tw Cen MT"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6219AF"/>
    <w:rPr>
      <w:color w:val="CC66FF" w:themeColor="accent1"/>
      <w:sz w:val="24"/>
      <w:szCs w:val="24"/>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00" w:themeFill="accent4"/>
      </w:tcPr>
    </w:tblStylePr>
    <w:tblStylePr w:type="lastCol">
      <w:rPr>
        <w:b/>
        <w:bCs/>
        <w:color w:val="FFFFFF" w:themeColor="background1"/>
      </w:rPr>
      <w:tblPr/>
      <w:tcPr>
        <w:tcBorders>
          <w:left w:val="nil"/>
          <w:right w:val="nil"/>
          <w:insideH w:val="nil"/>
          <w:insideV w:val="nil"/>
        </w:tcBorders>
        <w:shd w:val="clear" w:color="auto" w:fill="FF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6219AF"/>
    <w:pPr>
      <w:spacing w:after="0" w:line="240" w:lineRule="auto"/>
    </w:pPr>
  </w:style>
  <w:style w:type="character" w:customStyle="1" w:styleId="SinespaciadoCar">
    <w:name w:val="Sin espaciado Car"/>
    <w:basedOn w:val="Fuentedeprrafopredeter"/>
    <w:link w:val="Sinespaciado"/>
    <w:uiPriority w:val="1"/>
    <w:rsid w:val="00F445C3"/>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after="120"/>
    </w:pPr>
    <w:rPr>
      <w:rFonts w:cs="Century Gothic"/>
      <w:color w:val="000000"/>
      <w:kern w:val="28"/>
      <w:lang w:eastAsia="es-ES"/>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6219AF"/>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D6AD" w:themeColor="accent6" w:themeTint="66"/>
        <w:left w:val="single" w:sz="4" w:space="0" w:color="FFD6AD" w:themeColor="accent6" w:themeTint="66"/>
        <w:bottom w:val="single" w:sz="4" w:space="0" w:color="FFD6AD" w:themeColor="accent6" w:themeTint="66"/>
        <w:right w:val="single" w:sz="4" w:space="0" w:color="FFD6AD" w:themeColor="accent6" w:themeTint="66"/>
        <w:insideH w:val="single" w:sz="4" w:space="0" w:color="FFD6AD" w:themeColor="accent6" w:themeTint="66"/>
        <w:insideV w:val="single" w:sz="4" w:space="0" w:color="FFD6AD" w:themeColor="accent6" w:themeTint="66"/>
      </w:tblBorders>
    </w:tblPr>
    <w:tblStylePr w:type="firstRow">
      <w:rPr>
        <w:b/>
        <w:bCs/>
      </w:rPr>
      <w:tblPr/>
      <w:tcPr>
        <w:tcBorders>
          <w:bottom w:val="single" w:sz="12" w:space="0" w:color="FFC184" w:themeColor="accent6" w:themeTint="99"/>
        </w:tcBorders>
      </w:tcPr>
    </w:tblStylePr>
    <w:tblStylePr w:type="lastRow">
      <w:rPr>
        <w:b/>
        <w:bCs/>
      </w:rPr>
      <w:tblPr/>
      <w:tcPr>
        <w:tcBorders>
          <w:top w:val="double" w:sz="2" w:space="0" w:color="FFC184"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219AF"/>
    <w:rPr>
      <w:b/>
      <w:bCs/>
      <w:color w:val="AE0CFF" w:themeColor="accent1" w:themeShade="BF"/>
      <w:sz w:val="16"/>
      <w:szCs w:val="16"/>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FFA366" w:themeColor="accent5" w:themeTint="99"/>
        <w:bottom w:val="single" w:sz="2" w:space="0" w:color="FFA366" w:themeColor="accent5" w:themeTint="99"/>
        <w:insideH w:val="single" w:sz="2" w:space="0" w:color="FFA366" w:themeColor="accent5" w:themeTint="99"/>
        <w:insideV w:val="single" w:sz="2" w:space="0" w:color="FFA366" w:themeColor="accent5" w:themeTint="99"/>
      </w:tblBorders>
    </w:tblPr>
    <w:tblStylePr w:type="firstRow">
      <w:rPr>
        <w:b/>
        <w:bCs/>
      </w:rPr>
      <w:tblPr/>
      <w:tcPr>
        <w:tcBorders>
          <w:top w:val="nil"/>
          <w:bottom w:val="single" w:sz="12" w:space="0" w:color="FFA366" w:themeColor="accent5" w:themeTint="99"/>
          <w:insideH w:val="nil"/>
          <w:insideV w:val="nil"/>
        </w:tcBorders>
        <w:shd w:val="clear" w:color="auto" w:fill="FFFFFF" w:themeFill="background1"/>
      </w:tcPr>
    </w:tblStylePr>
    <w:tblStylePr w:type="lastRow">
      <w:rPr>
        <w:b/>
        <w:bCs/>
      </w:rPr>
      <w:tblPr/>
      <w:tcPr>
        <w:tcBorders>
          <w:top w:val="double" w:sz="2" w:space="0" w:color="FFA3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6219AF"/>
    <w:pPr>
      <w:spacing w:before="0" w:after="0"/>
    </w:pPr>
    <w:rPr>
      <w:rFonts w:asciiTheme="majorHAnsi" w:eastAsiaTheme="majorEastAsia" w:hAnsiTheme="majorHAnsi" w:cstheme="majorBidi"/>
      <w:caps/>
      <w:color w:val="CC66FF" w:themeColor="accent1"/>
      <w:spacing w:val="10"/>
      <w:sz w:val="52"/>
      <w:szCs w:val="52"/>
    </w:rPr>
  </w:style>
  <w:style w:type="character" w:customStyle="1" w:styleId="TtuloCar">
    <w:name w:val="Título Car"/>
    <w:basedOn w:val="Fuentedeprrafopredeter"/>
    <w:link w:val="Ttulo"/>
    <w:uiPriority w:val="10"/>
    <w:rsid w:val="006219AF"/>
    <w:rPr>
      <w:rFonts w:asciiTheme="majorHAnsi" w:eastAsiaTheme="majorEastAsia" w:hAnsiTheme="majorHAnsi" w:cstheme="majorBidi"/>
      <w:caps/>
      <w:color w:val="CC66FF" w:themeColor="accent1"/>
      <w:spacing w:val="10"/>
      <w:sz w:val="52"/>
      <w:szCs w:val="52"/>
    </w:rPr>
  </w:style>
  <w:style w:type="paragraph" w:styleId="Subttulo">
    <w:name w:val="Subtitle"/>
    <w:basedOn w:val="Normal"/>
    <w:next w:val="Normal"/>
    <w:link w:val="SubttuloCar"/>
    <w:uiPriority w:val="11"/>
    <w:qFormat/>
    <w:rsid w:val="006219AF"/>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219AF"/>
    <w:rPr>
      <w:caps/>
      <w:color w:val="595959" w:themeColor="text1" w:themeTint="A6"/>
      <w:spacing w:val="10"/>
      <w:sz w:val="21"/>
      <w:szCs w:val="21"/>
    </w:rPr>
  </w:style>
  <w:style w:type="paragraph" w:styleId="TDC3">
    <w:name w:val="toc 3"/>
    <w:basedOn w:val="Normal"/>
    <w:next w:val="Normal"/>
    <w:autoRedefine/>
    <w:uiPriority w:val="39"/>
    <w:unhideWhenUsed/>
    <w:rsid w:val="002053A4"/>
    <w:pPr>
      <w:spacing w:after="0"/>
      <w:ind w:left="480"/>
    </w:pPr>
  </w:style>
  <w:style w:type="character" w:styleId="Textoennegrita">
    <w:name w:val="Strong"/>
    <w:uiPriority w:val="22"/>
    <w:qFormat/>
    <w:rsid w:val="006219AF"/>
    <w:rPr>
      <w:b/>
      <w:bCs/>
    </w:rPr>
  </w:style>
  <w:style w:type="paragraph" w:styleId="Tabladeilustraciones">
    <w:name w:val="table of figures"/>
    <w:basedOn w:val="Normal"/>
    <w:next w:val="Normal"/>
    <w:uiPriority w:val="99"/>
    <w:unhideWhenUsed/>
    <w:rsid w:val="002D7FB9"/>
    <w:pPr>
      <w:spacing w:before="120" w:after="120" w:line="286" w:lineRule="auto"/>
    </w:pPr>
    <w:rPr>
      <w:color w:val="000000"/>
      <w:kern w:val="28"/>
      <w:szCs w:val="19"/>
      <w:lang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C184" w:themeColor="accent6" w:themeTint="99"/>
        <w:left w:val="single" w:sz="4" w:space="0" w:color="FFC184" w:themeColor="accent6" w:themeTint="99"/>
        <w:bottom w:val="single" w:sz="4" w:space="0" w:color="FFC184" w:themeColor="accent6" w:themeTint="99"/>
        <w:right w:val="single" w:sz="4" w:space="0" w:color="FFC184" w:themeColor="accent6" w:themeTint="99"/>
        <w:insideH w:val="single" w:sz="4" w:space="0" w:color="FFC184" w:themeColor="accent6" w:themeTint="99"/>
        <w:insideV w:val="single" w:sz="4" w:space="0" w:color="FFC184" w:themeColor="accent6" w:themeTint="99"/>
      </w:tblBorders>
    </w:tblPr>
    <w:tblStylePr w:type="firstRow">
      <w:rPr>
        <w:b/>
        <w:bCs/>
        <w:color w:val="FFFFFF" w:themeColor="background1"/>
      </w:rPr>
      <w:tblPr/>
      <w:tcPr>
        <w:tcBorders>
          <w:top w:val="single" w:sz="4" w:space="0" w:color="FF9933" w:themeColor="accent6"/>
          <w:left w:val="single" w:sz="4" w:space="0" w:color="FF9933" w:themeColor="accent6"/>
          <w:bottom w:val="single" w:sz="4" w:space="0" w:color="FF9933" w:themeColor="accent6"/>
          <w:right w:val="single" w:sz="4" w:space="0" w:color="FF9933" w:themeColor="accent6"/>
          <w:insideH w:val="nil"/>
          <w:insideV w:val="nil"/>
        </w:tcBorders>
        <w:shd w:val="clear" w:color="auto" w:fill="FF9933" w:themeFill="accent6"/>
      </w:tcPr>
    </w:tblStylePr>
    <w:tblStylePr w:type="lastRow">
      <w:rPr>
        <w:b/>
        <w:bCs/>
      </w:rPr>
      <w:tblPr/>
      <w:tcPr>
        <w:tcBorders>
          <w:top w:val="double" w:sz="4" w:space="0" w:color="FF9933" w:themeColor="accent6"/>
        </w:tcBorders>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47A2" w:themeColor="accent3" w:themeTint="99"/>
        <w:bottom w:val="single" w:sz="2" w:space="0" w:color="FF47A2" w:themeColor="accent3" w:themeTint="99"/>
        <w:insideH w:val="single" w:sz="2" w:space="0" w:color="FF47A2" w:themeColor="accent3" w:themeTint="99"/>
        <w:insideV w:val="single" w:sz="2" w:space="0" w:color="FF47A2" w:themeColor="accent3" w:themeTint="99"/>
      </w:tblBorders>
    </w:tblPr>
    <w:tblStylePr w:type="firstRow">
      <w:rPr>
        <w:b/>
        <w:bCs/>
      </w:rPr>
      <w:tblPr/>
      <w:tcPr>
        <w:tcBorders>
          <w:top w:val="nil"/>
          <w:bottom w:val="single" w:sz="12" w:space="0" w:color="FF47A2" w:themeColor="accent3" w:themeTint="99"/>
          <w:insideH w:val="nil"/>
          <w:insideV w:val="nil"/>
        </w:tcBorders>
        <w:shd w:val="clear" w:color="auto" w:fill="FFFFFF" w:themeFill="background1"/>
      </w:tcPr>
    </w:tblStylePr>
    <w:tblStylePr w:type="lastRow">
      <w:rPr>
        <w:b/>
        <w:bCs/>
      </w:rPr>
      <w:tblPr/>
      <w:tcPr>
        <w:tcBorders>
          <w:top w:val="double" w:sz="2" w:space="0" w:color="FF47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6219AF"/>
    <w:rPr>
      <w:caps/>
      <w:color w:val="AE0CFF" w:themeColor="accent1" w:themeShade="BF"/>
      <w:spacing w:val="10"/>
    </w:rPr>
  </w:style>
  <w:style w:type="paragraph" w:styleId="ndice1">
    <w:name w:val="index 1"/>
    <w:basedOn w:val="Normal"/>
    <w:next w:val="Normal"/>
    <w:autoRedefine/>
    <w:uiPriority w:val="99"/>
    <w:semiHidden/>
    <w:unhideWhenUsed/>
    <w:rsid w:val="003D34B4"/>
    <w:pPr>
      <w:ind w:left="240" w:hanging="240"/>
    </w:pPr>
  </w:style>
  <w:style w:type="table" w:styleId="Tablaconcuadrcula6concolores-nfasis1">
    <w:name w:val="Grid Table 6 Colorful Accent 1"/>
    <w:basedOn w:val="Tablanormal"/>
    <w:uiPriority w:val="51"/>
    <w:rsid w:val="00405DA3"/>
    <w:pPr>
      <w:spacing w:after="0" w:line="240" w:lineRule="auto"/>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C184" w:themeColor="accent6" w:themeTint="99"/>
        <w:bottom w:val="single" w:sz="2" w:space="0" w:color="FFC184" w:themeColor="accent6" w:themeTint="99"/>
        <w:insideH w:val="single" w:sz="2" w:space="0" w:color="FFC184" w:themeColor="accent6" w:themeTint="99"/>
        <w:insideV w:val="single" w:sz="2" w:space="0" w:color="FFC184" w:themeColor="accent6" w:themeTint="99"/>
      </w:tblBorders>
    </w:tblPr>
    <w:tblStylePr w:type="firstRow">
      <w:rPr>
        <w:b/>
        <w:bCs/>
      </w:rPr>
      <w:tblPr/>
      <w:tcPr>
        <w:tcBorders>
          <w:top w:val="nil"/>
          <w:bottom w:val="single" w:sz="12" w:space="0" w:color="FFC184" w:themeColor="accent6" w:themeTint="99"/>
          <w:insideH w:val="nil"/>
          <w:insideV w:val="nil"/>
        </w:tcBorders>
        <w:shd w:val="clear" w:color="auto" w:fill="FFFFFF" w:themeFill="background1"/>
      </w:tcPr>
    </w:tblStylePr>
    <w:tblStylePr w:type="lastRow">
      <w:rPr>
        <w:b/>
        <w:bCs/>
      </w:rPr>
      <w:tblPr/>
      <w:tcPr>
        <w:tcBorders>
          <w:top w:val="double" w:sz="2" w:space="0" w:color="FFC1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98004C" w:themeColor="accent3" w:themeShade="BF"/>
    </w:rPr>
    <w:tblPr>
      <w:tblStyleRowBandSize w:val="1"/>
      <w:tblStyleColBandSize w:val="1"/>
      <w:tblBorders>
        <w:top w:val="single" w:sz="4" w:space="0" w:color="CC0066" w:themeColor="accent3"/>
        <w:bottom w:val="single" w:sz="4" w:space="0" w:color="CC0066" w:themeColor="accent3"/>
      </w:tblBorders>
    </w:tblPr>
    <w:tblStylePr w:type="firstRow">
      <w:rPr>
        <w:b/>
        <w:bCs/>
      </w:rPr>
      <w:tblPr/>
      <w:tcPr>
        <w:tcBorders>
          <w:bottom w:val="single" w:sz="4" w:space="0" w:color="CC0066" w:themeColor="accent3"/>
        </w:tcBorders>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paragraph" w:customStyle="1" w:styleId="abla">
    <w:name w:val="abla"/>
    <w:basedOn w:val="Normal"/>
    <w:link w:val="ablaCar"/>
    <w:rsid w:val="00036880"/>
    <w:rPr>
      <w:rFonts w:cs="Calibri"/>
      <w:color w:val="000000"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036880"/>
    <w:rPr>
      <w:rFonts w:ascii="Tw Cen MT" w:eastAsia="Times New Roman" w:hAnsi="Tw Cen MT" w:cs="Calibri"/>
      <w:color w:val="000000" w:themeColor="text1"/>
      <w:sz w:val="24"/>
      <w:szCs w:val="18"/>
      <w:lang w:eastAsia="zh-CN"/>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47A2" w:themeColor="accent3" w:themeTint="99"/>
        <w:left w:val="single" w:sz="4" w:space="0" w:color="FF47A2" w:themeColor="accent3" w:themeTint="99"/>
        <w:bottom w:val="single" w:sz="4" w:space="0" w:color="FF47A2" w:themeColor="accent3" w:themeTint="99"/>
        <w:right w:val="single" w:sz="4" w:space="0" w:color="FF47A2" w:themeColor="accent3" w:themeTint="99"/>
        <w:insideH w:val="single" w:sz="4" w:space="0" w:color="FF47A2" w:themeColor="accent3" w:themeTint="99"/>
        <w:insideV w:val="single" w:sz="4" w:space="0" w:color="FF47A2" w:themeColor="accent3" w:themeTint="99"/>
      </w:tblBorders>
    </w:tblPr>
    <w:tblStylePr w:type="firstRow">
      <w:rPr>
        <w:b/>
        <w:bCs/>
        <w:color w:val="FFFFFF" w:themeColor="background1"/>
      </w:rPr>
      <w:tblPr/>
      <w:tcPr>
        <w:tcBorders>
          <w:top w:val="single" w:sz="4" w:space="0" w:color="CC0066" w:themeColor="accent3"/>
          <w:left w:val="single" w:sz="4" w:space="0" w:color="CC0066" w:themeColor="accent3"/>
          <w:bottom w:val="single" w:sz="4" w:space="0" w:color="CC0066" w:themeColor="accent3"/>
          <w:right w:val="single" w:sz="4" w:space="0" w:color="CC0066" w:themeColor="accent3"/>
          <w:insideH w:val="nil"/>
          <w:insideV w:val="nil"/>
        </w:tcBorders>
        <w:shd w:val="clear" w:color="auto" w:fill="CC0066" w:themeFill="accent3"/>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character" w:styleId="Referenciasutil">
    <w:name w:val="Subtle Reference"/>
    <w:uiPriority w:val="31"/>
    <w:qFormat/>
    <w:rsid w:val="006219AF"/>
    <w:rPr>
      <w:b/>
      <w:bCs/>
      <w:color w:val="CC66FF" w:themeColor="accent1"/>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character" w:styleId="nfasisintenso">
    <w:name w:val="Intense Emphasis"/>
    <w:uiPriority w:val="21"/>
    <w:qFormat/>
    <w:rsid w:val="006219AF"/>
    <w:rPr>
      <w:b/>
      <w:bCs/>
      <w:caps/>
      <w:color w:val="7600B1" w:themeColor="accent1" w:themeShade="7F"/>
      <w:spacing w:val="10"/>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6219AF"/>
    <w:rPr>
      <w:caps/>
      <w:color w:val="AE0CFF" w:themeColor="accent1" w:themeShade="BF"/>
      <w:spacing w:val="10"/>
    </w:rPr>
  </w:style>
  <w:style w:type="character" w:styleId="Ttulodellibro">
    <w:name w:val="Book Title"/>
    <w:uiPriority w:val="33"/>
    <w:qFormat/>
    <w:rsid w:val="006219AF"/>
    <w:rPr>
      <w:b/>
      <w:bCs/>
      <w:i/>
      <w:iCs/>
      <w:spacing w:val="0"/>
    </w:rPr>
  </w:style>
  <w:style w:type="paragraph" w:styleId="Textoindependiente">
    <w:name w:val="Body Text"/>
    <w:basedOn w:val="Normal"/>
    <w:link w:val="TextoindependienteCar"/>
    <w:uiPriority w:val="99"/>
    <w:semiHidden/>
    <w:unhideWhenUsed/>
    <w:rsid w:val="00E45304"/>
    <w:pPr>
      <w:spacing w:after="120"/>
    </w:p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E767E"/>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CC0066" w:themeColor="accent3"/>
        <w:left w:val="single" w:sz="4" w:space="0" w:color="CC0066" w:themeColor="accent3"/>
        <w:bottom w:val="single" w:sz="4" w:space="0" w:color="CC0066" w:themeColor="accent3"/>
        <w:right w:val="single" w:sz="4" w:space="0" w:color="CC0066" w:themeColor="accent3"/>
      </w:tblBorders>
    </w:tblPr>
    <w:tblStylePr w:type="firstRow">
      <w:rPr>
        <w:b/>
        <w:bCs/>
        <w:color w:val="FFFFFF" w:themeColor="background1"/>
      </w:rPr>
      <w:tblPr/>
      <w:tcPr>
        <w:shd w:val="clear" w:color="auto" w:fill="CC0066" w:themeFill="accent3"/>
      </w:tcPr>
    </w:tblStylePr>
    <w:tblStylePr w:type="lastRow">
      <w:rPr>
        <w:b/>
        <w:bCs/>
      </w:rPr>
      <w:tblPr/>
      <w:tcPr>
        <w:tcBorders>
          <w:top w:val="double" w:sz="4" w:space="0" w:color="CC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0066" w:themeColor="accent3"/>
          <w:right w:val="single" w:sz="4" w:space="0" w:color="CC0066" w:themeColor="accent3"/>
        </w:tcBorders>
      </w:tcPr>
    </w:tblStylePr>
    <w:tblStylePr w:type="band1Horz">
      <w:tblPr/>
      <w:tcPr>
        <w:tcBorders>
          <w:top w:val="single" w:sz="4" w:space="0" w:color="CC0066" w:themeColor="accent3"/>
          <w:bottom w:val="single" w:sz="4" w:space="0" w:color="CC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0066" w:themeColor="accent3"/>
          <w:left w:val="nil"/>
        </w:tcBorders>
      </w:tcPr>
    </w:tblStylePr>
    <w:tblStylePr w:type="swCell">
      <w:tblPr/>
      <w:tcPr>
        <w:tcBorders>
          <w:top w:val="double" w:sz="4" w:space="0" w:color="CC0066" w:themeColor="accent3"/>
          <w:right w:val="nil"/>
        </w:tcBorders>
      </w:tcPr>
    </w:tblStylePr>
  </w:style>
  <w:style w:type="character" w:styleId="Hipervnculovisitado">
    <w:name w:val="FollowedHyperlink"/>
    <w:basedOn w:val="Fuentedeprrafopredeter"/>
    <w:uiPriority w:val="99"/>
    <w:semiHidden/>
    <w:unhideWhenUsed/>
    <w:rsid w:val="000F7490"/>
    <w:rPr>
      <w:color w:val="954F72"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after="0"/>
      <w:ind w:left="720"/>
    </w:pPr>
  </w:style>
  <w:style w:type="paragraph" w:styleId="TDC5">
    <w:name w:val="toc 5"/>
    <w:basedOn w:val="Normal"/>
    <w:next w:val="Normal"/>
    <w:autoRedefine/>
    <w:uiPriority w:val="39"/>
    <w:unhideWhenUsed/>
    <w:rsid w:val="00C12D18"/>
    <w:pPr>
      <w:spacing w:after="0"/>
      <w:ind w:left="960"/>
    </w:pPr>
  </w:style>
  <w:style w:type="paragraph" w:styleId="TDC6">
    <w:name w:val="toc 6"/>
    <w:basedOn w:val="Normal"/>
    <w:next w:val="Normal"/>
    <w:autoRedefine/>
    <w:uiPriority w:val="39"/>
    <w:unhideWhenUsed/>
    <w:rsid w:val="00C12D18"/>
    <w:pPr>
      <w:spacing w:after="0"/>
      <w:ind w:left="1200"/>
    </w:pPr>
  </w:style>
  <w:style w:type="paragraph" w:styleId="TDC7">
    <w:name w:val="toc 7"/>
    <w:basedOn w:val="Normal"/>
    <w:next w:val="Normal"/>
    <w:autoRedefine/>
    <w:uiPriority w:val="39"/>
    <w:unhideWhenUsed/>
    <w:rsid w:val="00C12D18"/>
    <w:pPr>
      <w:spacing w:after="0"/>
      <w:ind w:left="1440"/>
    </w:pPr>
  </w:style>
  <w:style w:type="paragraph" w:styleId="TDC8">
    <w:name w:val="toc 8"/>
    <w:basedOn w:val="Normal"/>
    <w:next w:val="Normal"/>
    <w:autoRedefine/>
    <w:uiPriority w:val="39"/>
    <w:unhideWhenUsed/>
    <w:rsid w:val="00C12D18"/>
    <w:pPr>
      <w:spacing w:after="0"/>
      <w:ind w:left="1680"/>
    </w:pPr>
  </w:style>
  <w:style w:type="paragraph" w:styleId="TDC9">
    <w:name w:val="toc 9"/>
    <w:basedOn w:val="Normal"/>
    <w:next w:val="Normal"/>
    <w:autoRedefine/>
    <w:uiPriority w:val="39"/>
    <w:unhideWhenUsed/>
    <w:rsid w:val="00C12D18"/>
    <w:pPr>
      <w:spacing w:after="0"/>
      <w:ind w:left="1920"/>
    </w:p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FFA366" w:themeColor="accent5" w:themeTint="99"/>
        <w:left w:val="single" w:sz="4" w:space="0" w:color="FFA366" w:themeColor="accent5" w:themeTint="99"/>
        <w:bottom w:val="single" w:sz="4" w:space="0" w:color="FFA366" w:themeColor="accent5" w:themeTint="99"/>
        <w:right w:val="single" w:sz="4" w:space="0" w:color="FFA366" w:themeColor="accent5" w:themeTint="99"/>
        <w:insideH w:val="single" w:sz="4" w:space="0" w:color="FFA366" w:themeColor="accent5" w:themeTint="99"/>
      </w:tblBorders>
    </w:tblPr>
    <w:tblStylePr w:type="firstRow">
      <w:rPr>
        <w:b/>
        <w:bCs/>
        <w:color w:val="FFFFFF" w:themeColor="background1"/>
      </w:rPr>
      <w:tblPr/>
      <w:tcPr>
        <w:tcBorders>
          <w:top w:val="single" w:sz="4" w:space="0" w:color="FF6600" w:themeColor="accent5"/>
          <w:left w:val="single" w:sz="4" w:space="0" w:color="FF6600" w:themeColor="accent5"/>
          <w:bottom w:val="single" w:sz="4" w:space="0" w:color="FF6600" w:themeColor="accent5"/>
          <w:right w:val="single" w:sz="4" w:space="0" w:color="FF6600" w:themeColor="accent5"/>
          <w:insideH w:val="nil"/>
        </w:tcBorders>
        <w:shd w:val="clear" w:color="auto" w:fill="FF6600" w:themeFill="accent5"/>
      </w:tcPr>
    </w:tblStylePr>
    <w:tblStylePr w:type="lastRow">
      <w:rPr>
        <w:b/>
        <w:bCs/>
      </w:rPr>
      <w:tblPr/>
      <w:tcPr>
        <w:tcBorders>
          <w:top w:val="double" w:sz="4" w:space="0" w:color="FFA366" w:themeColor="accent5" w:themeTint="99"/>
        </w:tcBorders>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FF0000" w:themeColor="accent4"/>
        <w:left w:val="single" w:sz="4" w:space="0" w:color="FF0000" w:themeColor="accent4"/>
        <w:bottom w:val="single" w:sz="4" w:space="0" w:color="FF0000" w:themeColor="accent4"/>
        <w:right w:val="single" w:sz="4" w:space="0" w:color="FF0000" w:themeColor="accent4"/>
      </w:tblBorders>
    </w:tblPr>
    <w:tblStylePr w:type="firstRow">
      <w:rPr>
        <w:b/>
        <w:bCs/>
        <w:color w:val="FFFFFF" w:themeColor="background1"/>
      </w:rPr>
      <w:tblPr/>
      <w:tcPr>
        <w:shd w:val="clear" w:color="auto" w:fill="FF0000" w:themeFill="accent4"/>
      </w:tcPr>
    </w:tblStylePr>
    <w:tblStylePr w:type="lastRow">
      <w:rPr>
        <w:b/>
        <w:bCs/>
      </w:rPr>
      <w:tblPr/>
      <w:tcPr>
        <w:tcBorders>
          <w:top w:val="double" w:sz="4" w:space="0" w:color="FF0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4"/>
          <w:right w:val="single" w:sz="4" w:space="0" w:color="FF0000" w:themeColor="accent4"/>
        </w:tcBorders>
      </w:tcPr>
    </w:tblStylePr>
    <w:tblStylePr w:type="band1Horz">
      <w:tblPr/>
      <w:tcPr>
        <w:tcBorders>
          <w:top w:val="single" w:sz="4" w:space="0" w:color="FF0000" w:themeColor="accent4"/>
          <w:bottom w:val="single" w:sz="4" w:space="0" w:color="FF0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4"/>
          <w:left w:val="nil"/>
        </w:tcBorders>
      </w:tcPr>
    </w:tblStylePr>
    <w:tblStylePr w:type="swCell">
      <w:tblPr/>
      <w:tcPr>
        <w:tcBorders>
          <w:top w:val="double" w:sz="4" w:space="0" w:color="FF0000"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84C1" w:themeColor="accent3" w:themeTint="66"/>
        <w:left w:val="single" w:sz="4" w:space="0" w:color="FF84C1" w:themeColor="accent3" w:themeTint="66"/>
        <w:bottom w:val="single" w:sz="4" w:space="0" w:color="FF84C1" w:themeColor="accent3" w:themeTint="66"/>
        <w:right w:val="single" w:sz="4" w:space="0" w:color="FF84C1" w:themeColor="accent3" w:themeTint="66"/>
        <w:insideH w:val="single" w:sz="4" w:space="0" w:color="FF84C1" w:themeColor="accent3" w:themeTint="66"/>
        <w:insideV w:val="single" w:sz="4" w:space="0" w:color="FF84C1" w:themeColor="accent3" w:themeTint="66"/>
      </w:tblBorders>
    </w:tblPr>
    <w:tblStylePr w:type="firstRow">
      <w:rPr>
        <w:b/>
        <w:bCs/>
      </w:rPr>
      <w:tblPr/>
      <w:tcPr>
        <w:tcBorders>
          <w:bottom w:val="single" w:sz="12" w:space="0" w:color="FF47A2" w:themeColor="accent3" w:themeTint="99"/>
        </w:tcBorders>
      </w:tcPr>
    </w:tblStylePr>
    <w:tblStylePr w:type="lastRow">
      <w:rPr>
        <w:b/>
        <w:bCs/>
      </w:rPr>
      <w:tblPr/>
      <w:tcPr>
        <w:tcBorders>
          <w:top w:val="double" w:sz="2" w:space="0" w:color="FF47A2"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6219AF"/>
    <w:rPr>
      <w:caps/>
      <w:color w:val="AE0CFF" w:themeColor="accent1" w:themeShade="BF"/>
      <w:spacing w:val="10"/>
    </w:rPr>
  </w:style>
  <w:style w:type="character" w:styleId="nfasis">
    <w:name w:val="Emphasis"/>
    <w:uiPriority w:val="20"/>
    <w:qFormat/>
    <w:rsid w:val="006219AF"/>
    <w:rPr>
      <w:caps/>
      <w:color w:val="7600B1" w:themeColor="accent1" w:themeShade="7F"/>
      <w:spacing w:val="5"/>
    </w:rPr>
  </w:style>
  <w:style w:type="paragraph" w:styleId="Cita">
    <w:name w:val="Quote"/>
    <w:basedOn w:val="Normal"/>
    <w:next w:val="Normal"/>
    <w:link w:val="CitaCar"/>
    <w:uiPriority w:val="29"/>
    <w:qFormat/>
    <w:rsid w:val="006219AF"/>
    <w:rPr>
      <w:i/>
      <w:iCs/>
      <w:sz w:val="24"/>
      <w:szCs w:val="24"/>
    </w:rPr>
  </w:style>
  <w:style w:type="character" w:customStyle="1" w:styleId="CitaCar">
    <w:name w:val="Cita Car"/>
    <w:basedOn w:val="Fuentedeprrafopredeter"/>
    <w:link w:val="Cita"/>
    <w:uiPriority w:val="29"/>
    <w:rsid w:val="006219AF"/>
    <w:rPr>
      <w:i/>
      <w:iCs/>
      <w:sz w:val="24"/>
      <w:szCs w:val="24"/>
    </w:rPr>
  </w:style>
  <w:style w:type="character" w:styleId="nfasissutil">
    <w:name w:val="Subtle Emphasis"/>
    <w:uiPriority w:val="19"/>
    <w:qFormat/>
    <w:rsid w:val="006219AF"/>
    <w:rPr>
      <w:i/>
      <w:iCs/>
      <w:color w:val="7600B1" w:themeColor="accent1" w:themeShade="7F"/>
    </w:rPr>
  </w:style>
  <w:style w:type="character" w:styleId="Referenciaintensa">
    <w:name w:val="Intense Reference"/>
    <w:uiPriority w:val="32"/>
    <w:qFormat/>
    <w:rsid w:val="006219AF"/>
    <w:rPr>
      <w:b/>
      <w:bCs/>
      <w:i/>
      <w:iCs/>
      <w:caps/>
      <w:color w:val="CC66FF"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1588877423">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35158994">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991178109">
          <w:marLeft w:val="547"/>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8603387">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 w:id="32585031">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1429499572">
                  <w:marLeft w:val="0"/>
                  <w:marRight w:val="0"/>
                  <w:marTop w:val="0"/>
                  <w:marBottom w:val="0"/>
                  <w:divBdr>
                    <w:top w:val="none" w:sz="0" w:space="0" w:color="auto"/>
                    <w:left w:val="none" w:sz="0" w:space="0" w:color="auto"/>
                    <w:bottom w:val="none" w:sz="0" w:space="0" w:color="auto"/>
                    <w:right w:val="none" w:sz="0" w:space="0" w:color="auto"/>
                  </w:divBdr>
                </w:div>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2096852104">
          <w:marLeft w:val="1166"/>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418410985">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1032876610">
          <w:marLeft w:val="547"/>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531502119">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261182538">
          <w:marLeft w:val="547"/>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 w:id="163398033">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47150871">
          <w:marLeft w:val="547"/>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 w:id="16540273">
          <w:marLeft w:val="1166"/>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560603416">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99227306">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955208335">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464539940">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685712674">
          <w:marLeft w:val="547"/>
          <w:marRight w:val="0"/>
          <w:marTop w:val="0"/>
          <w:marBottom w:val="0"/>
          <w:divBdr>
            <w:top w:val="none" w:sz="0" w:space="0" w:color="auto"/>
            <w:left w:val="none" w:sz="0" w:space="0" w:color="auto"/>
            <w:bottom w:val="none" w:sz="0" w:space="0" w:color="auto"/>
            <w:right w:val="none" w:sz="0" w:space="0" w:color="auto"/>
          </w:divBdr>
        </w:div>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866141515">
          <w:marLeft w:val="547"/>
          <w:marRight w:val="0"/>
          <w:marTop w:val="0"/>
          <w:marBottom w:val="0"/>
          <w:divBdr>
            <w:top w:val="none" w:sz="0" w:space="0" w:color="auto"/>
            <w:left w:val="none" w:sz="0" w:space="0" w:color="auto"/>
            <w:bottom w:val="none" w:sz="0" w:space="0" w:color="auto"/>
            <w:right w:val="none" w:sz="0" w:space="0" w:color="auto"/>
          </w:divBdr>
        </w:div>
        <w:div w:id="169149652">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121509413">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501775316">
          <w:marLeft w:val="547"/>
          <w:marRight w:val="0"/>
          <w:marTop w:val="0"/>
          <w:marBottom w:val="0"/>
          <w:divBdr>
            <w:top w:val="none" w:sz="0" w:space="0" w:color="auto"/>
            <w:left w:val="none" w:sz="0" w:space="0" w:color="auto"/>
            <w:bottom w:val="none" w:sz="0" w:space="0" w:color="auto"/>
            <w:right w:val="none" w:sz="0" w:space="0" w:color="auto"/>
          </w:divBdr>
        </w:div>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1703046706">
          <w:marLeft w:val="0"/>
          <w:marRight w:val="0"/>
          <w:marTop w:val="0"/>
          <w:marBottom w:val="360"/>
          <w:divBdr>
            <w:top w:val="none" w:sz="0" w:space="0" w:color="auto"/>
            <w:left w:val="none" w:sz="0" w:space="0" w:color="auto"/>
            <w:bottom w:val="none" w:sz="0" w:space="0" w:color="auto"/>
            <w:right w:val="none" w:sz="0" w:space="0" w:color="auto"/>
          </w:divBdr>
        </w:div>
        <w:div w:id="239679278">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modelo%20de%20documento%20simple.dotx" TargetMode="External"/></Relationships>
</file>

<file path=word/theme/theme1.xml><?xml version="1.0" encoding="utf-8"?>
<a:theme xmlns:a="http://schemas.openxmlformats.org/drawingml/2006/main" name="Atlas">
  <a:themeElements>
    <a:clrScheme name="Personalizado 4">
      <a:dk1>
        <a:sysClr val="windowText" lastClr="000000"/>
      </a:dk1>
      <a:lt1>
        <a:sysClr val="window" lastClr="FFFFFF"/>
      </a:lt1>
      <a:dk2>
        <a:srgbClr val="44546A"/>
      </a:dk2>
      <a:lt2>
        <a:srgbClr val="E7E6E6"/>
      </a:lt2>
      <a:accent1>
        <a:srgbClr val="CC66FF"/>
      </a:accent1>
      <a:accent2>
        <a:srgbClr val="990099"/>
      </a:accent2>
      <a:accent3>
        <a:srgbClr val="CC0066"/>
      </a:accent3>
      <a:accent4>
        <a:srgbClr val="FF0000"/>
      </a:accent4>
      <a:accent5>
        <a:srgbClr val="FF6600"/>
      </a:accent5>
      <a:accent6>
        <a:srgbClr val="FF9933"/>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documento simple</Template>
  <TotalTime>2</TotalTime>
  <Pages>5</Pages>
  <Words>2511</Words>
  <Characters>13816</Characters>
  <Application>Microsoft Office Word</Application>
  <DocSecurity>0</DocSecurity>
  <Lines>115</Lines>
  <Paragraphs>32</Paragraphs>
  <ScaleCrop>false</ScaleCrop>
  <HeadingPairs>
    <vt:vector size="4" baseType="variant">
      <vt:variant>
        <vt:lpstr>Título</vt:lpstr>
      </vt:variant>
      <vt:variant>
        <vt:i4>1</vt:i4>
      </vt:variant>
      <vt:variant>
        <vt:lpstr>Titulua</vt:lpstr>
      </vt:variant>
      <vt:variant>
        <vt:i4>1</vt:i4>
      </vt:variant>
    </vt:vector>
  </HeadingPairs>
  <TitlesOfParts>
    <vt:vector size="2" baseType="lpstr">
      <vt:lpstr>Propuesta Técnica</vt:lpstr>
      <vt:lpstr>                                                                                    </vt:lpstr>
    </vt:vector>
  </TitlesOfParts>
  <Company>Red Kuorum</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dc:title>
  <dc:subject>Formación de Apoyo a la Implantación del Plan de Igualdad Interno de Diputación Foral de Álava</dc:subject>
  <dc:creator>Red Kuorum -Helena Ortiz de Lejarazu</dc:creator>
  <cp:keywords/>
  <dc:description/>
  <cp:lastModifiedBy>Elena Ortiz De Lejarazu</cp:lastModifiedBy>
  <cp:revision>1</cp:revision>
  <cp:lastPrinted>2019-12-25T23:52:00Z</cp:lastPrinted>
  <dcterms:created xsi:type="dcterms:W3CDTF">2026-01-14T12:45:00Z</dcterms:created>
  <dcterms:modified xsi:type="dcterms:W3CDTF">2026-01-14T12:47:00Z</dcterms:modified>
</cp:coreProperties>
</file>