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F827" w14:textId="77777777" w:rsidR="003A3011" w:rsidRDefault="00AD2146">
      <w:pPr>
        <w:pStyle w:val="Ttulo1"/>
      </w:pPr>
      <w:bookmarkStart w:id="0" w:name="header"/>
      <w:bookmarkStart w:id="1" w:name="X2a096bfb5b2da633e19e699e0216d13ef4c226f"/>
      <w:bookmarkStart w:id="2" w:name="content"/>
      <w:bookmarkEnd w:id="0"/>
      <w:r>
        <w:t>Informe Jurídico sobre la medida 2.2.1 del Plan de Igualdad de CCASA</w:t>
      </w:r>
    </w:p>
    <w:p w14:paraId="4532B0E8" w14:textId="10D753C3" w:rsidR="003A3011" w:rsidRDefault="00AD2146">
      <w:pPr>
        <w:pStyle w:val="FirstParagraph"/>
      </w:pPr>
      <w:r>
        <w:rPr>
          <w:b/>
          <w:bCs/>
        </w:rPr>
        <w:t>Objeto del informe:</w:t>
      </w:r>
      <w:r>
        <w:t xml:space="preserve"> </w:t>
      </w:r>
      <w:bookmarkStart w:id="3" w:name="OLE_LINK2"/>
      <w:r>
        <w:t xml:space="preserve">Analizar jurídicamente la medida 2.2.1 del Plan de Igualdad de CCASA, que propone </w:t>
      </w:r>
      <w:r>
        <w:rPr>
          <w:i/>
          <w:iCs/>
        </w:rPr>
        <w:t>“aplicar acciones positivas en nuevas vacantes de puestos de responsabilidad, seleccionando al sexo menos representado hasta alcanzar un 40% de presencia en todos los niveles de responsabilidad de CCASA”</w:t>
      </w:r>
      <w:r>
        <w:t xml:space="preserve">. El informe examina el marco normativo español aplicable a acciones positivas y selección de personal con perspectiva de género, la jurisprudencia relevante (especialmente STS 10/05/2016 y STS 16/10/2019), la validez de preferir automáticamente a una mujer sobre un hombre con mejor puntuación (distinguiendo diferencias notables de méritos vs. méritos equivalentes), los precedentes en España (particularmente el caso de la Universidad Autónoma de Madrid), la impugnación concreta planteada por el comité de empresa en CCASA, la situación actual (Plan no aprobado, proceso selectivo paralizado, propuesta alternativa del comité) y, finalmente, recomendaciones para reformular la medida 2.2.1 conforme a Derecho. </w:t>
      </w:r>
      <w:bookmarkEnd w:id="3"/>
    </w:p>
    <w:p w14:paraId="44B98BB9" w14:textId="77777777" w:rsidR="003A3011" w:rsidRDefault="00AD2146">
      <w:pPr>
        <w:pStyle w:val="Ttulo2"/>
      </w:pPr>
      <w:bookmarkStart w:id="4" w:name="X1498ee7fd2ca54b386c3664617e6d3bebb6d9d2"/>
      <w:r>
        <w:t>Marco jurídico español sobre acciones positivas e igualdad en el empleo</w:t>
      </w:r>
    </w:p>
    <w:p w14:paraId="1D321113" w14:textId="77777777" w:rsidR="003A3011" w:rsidRDefault="00AD2146">
      <w:pPr>
        <w:pStyle w:val="FirstParagraph"/>
      </w:pPr>
      <w:r>
        <w:rPr>
          <w:b/>
          <w:bCs/>
        </w:rPr>
        <w:t>Constitución Española (CE):</w:t>
      </w:r>
      <w:r>
        <w:t xml:space="preserve"> El principio de igualdad y no discriminación por razón de sexo está consagrado en el art. 14 CE como derecho fundamental. Adicionalmente, el art. 9.2 CE impone a los poderes públicos la obligación de promover la igualdad real y efectiva, removiendo los obstáculos que mantengan la discriminación de facto</w:t>
      </w:r>
      <w:hyperlink r:id="rId7" w:anchor=":~:text=No%20parece%20necesario%20recrearnos%20en,poderes%20p%C3%BAblicos%20para%20la%2C%20siempre">
        <w:r>
          <w:rPr>
            <w:rStyle w:val="Hipervnculo"/>
          </w:rPr>
          <w:t>[1]</w:t>
        </w:r>
      </w:hyperlink>
      <w:r>
        <w:t>. La CE también garantiza, en el acceso a cargos y funciones públicas, la igualdad de oportunidades mediante el mérito y la capacidad (arts. 23.2 y 103.3 CE). Esto implica que cualquier diferenciación en un proceso selectivo debe estar objetivamente justificada y ser razonable, para no vulnerar la igualdad ni los principios de mérito y capacidad.</w:t>
      </w:r>
    </w:p>
    <w:p w14:paraId="24C5C9B7" w14:textId="77777777" w:rsidR="003A3011" w:rsidRDefault="00AD2146">
      <w:pPr>
        <w:pStyle w:val="Textoindependiente"/>
      </w:pPr>
      <w:r>
        <w:rPr>
          <w:b/>
          <w:bCs/>
        </w:rPr>
        <w:t>Estatuto de los Trabajadores (ET) y legislación laboral:</w:t>
      </w:r>
      <w:r>
        <w:t xml:space="preserve"> La normativa laboral prohíbe la discriminación por sexo en el empleo (por ejemplo, el art. 17 ET). No obstante, admite medidas de acción positiva adoptadas para corregir situaciones de desequilibrio de hecho entre mujeres y hombres. De hecho, el propio ET (tras la reforma por LO 3/2007) contempla que la negociación colectiva pueda establecer acciones positivas para favorecer el acceso de las mujeres a determinadas profesiones u ocupaciones donde estén infrarrepresentadas. Estas medidas deben siempre respetar la proporcionalidad y temporalidad (es decir, aplicarse </w:t>
      </w:r>
      <w:r>
        <w:rPr>
          <w:i/>
          <w:iCs/>
        </w:rPr>
        <w:t>mientras subsista</w:t>
      </w:r>
      <w:r>
        <w:t xml:space="preserve"> la situación de desigualdad que se pretende corregir).</w:t>
      </w:r>
    </w:p>
    <w:p w14:paraId="52D833B7" w14:textId="77777777" w:rsidR="003A3011" w:rsidRDefault="00AD2146">
      <w:pPr>
        <w:pStyle w:val="Textoindependiente"/>
      </w:pPr>
      <w:r>
        <w:rPr>
          <w:b/>
          <w:bCs/>
        </w:rPr>
        <w:t>Ley Orgánica 3/2007, de 22 de marzo, para la Igualdad Efectiva de Mujeres y Hombres (LOI):</w:t>
      </w:r>
      <w:r>
        <w:t xml:space="preserve"> Esta ley desarrolla el mandato constitucional de promoción de la igualdad. En su art. 11 consagra expresamente las </w:t>
      </w:r>
      <w:r>
        <w:rPr>
          <w:i/>
          <w:iCs/>
        </w:rPr>
        <w:t>acciones positivas</w:t>
      </w:r>
      <w:r>
        <w:t xml:space="preserve">: define que, para hacer efectivo el derecho constitucional a la igualdad, </w:t>
      </w:r>
      <w:r>
        <w:rPr>
          <w:b/>
          <w:bCs/>
        </w:rPr>
        <w:t>los poderes públicos adoptarán medidas específicas en favor de las mujeres para corregir situaciones patentes de desigualdad de hecho respecto de los hombres</w:t>
      </w:r>
      <w:r>
        <w:t xml:space="preserve">, medidas que serán </w:t>
      </w:r>
      <w:r>
        <w:rPr>
          <w:b/>
          <w:bCs/>
        </w:rPr>
        <w:t>temporales</w:t>
      </w:r>
      <w:r>
        <w:t xml:space="preserve">, </w:t>
      </w:r>
      <w:r>
        <w:rPr>
          <w:b/>
          <w:bCs/>
        </w:rPr>
        <w:t>razonables y proporcionadas</w:t>
      </w:r>
      <w:r>
        <w:t xml:space="preserve"> al objetivo perseguido, y </w:t>
      </w:r>
      <w:r>
        <w:rPr>
          <w:b/>
          <w:bCs/>
        </w:rPr>
        <w:t>vigentes solo mientras subsistan dichas situaciones</w:t>
      </w:r>
      <w:hyperlink r:id="rId8" w:anchor=":~:text=%C2%AB1,objetivo%20perseguido%20en%20cada%20caso">
        <w:r>
          <w:rPr>
            <w:rStyle w:val="Hipervnculo"/>
          </w:rPr>
          <w:t>[2]</w:t>
        </w:r>
      </w:hyperlink>
      <w:r>
        <w:t xml:space="preserve">. Igualmente, las personas y entidades privadas </w:t>
      </w:r>
      <w:r>
        <w:rPr>
          <w:b/>
          <w:bCs/>
        </w:rPr>
        <w:t>podrán</w:t>
      </w:r>
      <w:r>
        <w:t xml:space="preserve"> adoptar este tipo de medidas en los términos de la ley</w:t>
      </w:r>
      <w:hyperlink r:id="rId9" w:anchor=":~:text=%C2%AB1,objetivo%20perseguido%20en%20cada%20caso">
        <w:r>
          <w:rPr>
            <w:rStyle w:val="Hipervnculo"/>
          </w:rPr>
          <w:t>[2]</w:t>
        </w:r>
      </w:hyperlink>
      <w:r>
        <w:t>. La LOI fija además el concepto de “</w:t>
      </w:r>
      <w:r>
        <w:rPr>
          <w:b/>
          <w:bCs/>
        </w:rPr>
        <w:t>composición equilibrada</w:t>
      </w:r>
      <w:r>
        <w:t xml:space="preserve">” de sexos (Disposición Adicional 1ª LOI), entendiendo por tal la presencia de mujeres y hombres de manera que ninguno de los sexos esté por debajo </w:t>
      </w:r>
      <w:r>
        <w:lastRenderedPageBreak/>
        <w:t xml:space="preserve">del 40%. Este porcentaje del 40% sirve de referencia para identificar infrarrepresentación y establecer objetivos de paridad en órganos, puestos directivos y procesos selectivos. Adicionalmente, en el ámbito del empleo público, la LOI impone a las Administraciones la obligación de </w:t>
      </w:r>
      <w:r>
        <w:rPr>
          <w:b/>
          <w:bCs/>
        </w:rPr>
        <w:t>remover obstáculos que perpetúen la discriminación</w:t>
      </w:r>
      <w:r>
        <w:t xml:space="preserve"> y </w:t>
      </w:r>
      <w:r>
        <w:rPr>
          <w:b/>
          <w:bCs/>
        </w:rPr>
        <w:t>ofrecer igualdad efectiva de condiciones de acceso y promoción</w:t>
      </w:r>
      <w:r>
        <w:t xml:space="preserve"> para mujeres (art. 51 LOI)</w:t>
      </w:r>
      <w:hyperlink r:id="rId10" w:anchor=":~:text=Conviene%20tener%20en%20cuenta%20que,ley%2C%20entre%20los%20que%20se">
        <w:r>
          <w:rPr>
            <w:rStyle w:val="Hipervnculo"/>
          </w:rPr>
          <w:t>[3]</w:t>
        </w:r>
      </w:hyperlink>
      <w:r>
        <w:t>.</w:t>
      </w:r>
    </w:p>
    <w:p w14:paraId="4B44E333" w14:textId="77777777" w:rsidR="003A3011" w:rsidRDefault="00AD2146">
      <w:pPr>
        <w:pStyle w:val="Textoindependiente"/>
      </w:pPr>
      <w:r>
        <w:rPr>
          <w:b/>
          <w:bCs/>
        </w:rPr>
        <w:t>Jurisprudencia constitucional y ordinaria sobre acciones positivas:</w:t>
      </w:r>
      <w:r>
        <w:t xml:space="preserve"> El Tribunal Constitucional ha dejado sentado que no toda diferenciación de trato por razón de sexo constituye discriminación prohibida si obedece a la corrección de desigualdades de hecho persistentes. Ya en la STC 128/1987 reconoció la legitimidad de medidas orientadas a superar la situación histórica de inferioridad de las mujeres en el acceso al trabajo y la promoción profesional. Posteriormente, la STC 229/1992 afirmó que, si bien el principio de igualdad es bidireccional, </w:t>
      </w:r>
      <w:r>
        <w:rPr>
          <w:b/>
          <w:bCs/>
        </w:rPr>
        <w:t>en la práctica las mujeres han sido el colectivo tradicionalmente relegado</w:t>
      </w:r>
      <w:r>
        <w:t>, lo que justifica acciones positivas específicas en su favor</w:t>
      </w:r>
      <w:hyperlink r:id="rId11" w:anchor=":~:text=discriminaci%C3%B3n%20por%20g%C3%A9nero%20en%20el,16">
        <w:r>
          <w:rPr>
            <w:rStyle w:val="Hipervnculo"/>
          </w:rPr>
          <w:t>[4]</w:t>
        </w:r>
      </w:hyperlink>
      <w:r>
        <w:t xml:space="preserve">. En la STC 26/2011, el TC reiteró que las medidas legales para compensar desventajas reales de la mujer en el empleo </w:t>
      </w:r>
      <w:r>
        <w:rPr>
          <w:b/>
          <w:bCs/>
        </w:rPr>
        <w:t>no se oponen al principio de igualdad</w:t>
      </w:r>
      <w:r>
        <w:t xml:space="preserve">, sino que </w:t>
      </w:r>
      <w:r>
        <w:rPr>
          <w:b/>
          <w:bCs/>
        </w:rPr>
        <w:t>buscan hacer efectiva la igualdad material</w:t>
      </w:r>
      <w:r>
        <w:t xml:space="preserve"> exigida por el art. 9.2 CE</w:t>
      </w:r>
      <w:hyperlink r:id="rId12" w:anchor=":~:text=mujeres,derechos%20exigida%20por%20el%20art">
        <w:r>
          <w:rPr>
            <w:rStyle w:val="Hipervnculo"/>
          </w:rPr>
          <w:t>[5]</w:t>
        </w:r>
      </w:hyperlink>
      <w:r>
        <w:t>.</w:t>
      </w:r>
    </w:p>
    <w:p w14:paraId="2CCCEEB3" w14:textId="6B007E85" w:rsidR="003A3011" w:rsidRDefault="00AD2146">
      <w:pPr>
        <w:pStyle w:val="Textoindependiente"/>
      </w:pPr>
      <w:r>
        <w:t xml:space="preserve">La jurisprudencia del Tribunal Supremo (orden contencioso-administrativo y social) y del Tribunal de Justicia de la Unión Europea (TJUE) ha elaborado criterios para delimitar cuándo una acción positiva es válida y cuándo deviene discriminatoria. En esencia, </w:t>
      </w:r>
      <w:r>
        <w:rPr>
          <w:b/>
          <w:bCs/>
        </w:rPr>
        <w:t>se admite la preferencia por el sexo infrarrepresentado únicamente en condiciones de equivalencia sustancial de méritos</w:t>
      </w:r>
      <w:r>
        <w:t xml:space="preserve">, </w:t>
      </w:r>
      <w:r w:rsidR="00AC7FED">
        <w:rPr>
          <w:b/>
          <w:bCs/>
        </w:rPr>
        <w:t>pero es legalmente controvertida</w:t>
      </w:r>
      <w:r>
        <w:rPr>
          <w:b/>
          <w:bCs/>
        </w:rPr>
        <w:t xml:space="preserve"> como preferencia automática o absoluta desplazando a </w:t>
      </w:r>
      <w:r w:rsidR="003E15F0">
        <w:rPr>
          <w:b/>
          <w:bCs/>
        </w:rPr>
        <w:t>candidaturas</w:t>
      </w:r>
      <w:r>
        <w:rPr>
          <w:b/>
          <w:bCs/>
        </w:rPr>
        <w:t xml:space="preserve"> claramente más cualificad</w:t>
      </w:r>
      <w:r w:rsidR="003E15F0">
        <w:rPr>
          <w:b/>
          <w:bCs/>
        </w:rPr>
        <w:t>a</w:t>
      </w:r>
      <w:r>
        <w:rPr>
          <w:b/>
          <w:bCs/>
        </w:rPr>
        <w:t>s del sexo opuesto</w:t>
      </w:r>
      <w:hyperlink r:id="rId13" w:anchor=":~:text=En%20este%20punto%2C%20el%20correcurrido,personal%20de%20todos%20los%20candidatos">
        <w:r>
          <w:rPr>
            <w:rStyle w:val="Hipervnculo"/>
          </w:rPr>
          <w:t>[6]</w:t>
        </w:r>
      </w:hyperlink>
      <w:hyperlink r:id="rId14" w:anchor=":~:text=Desde%20este%20punto%20de%20vista%2C,que%20exige%20que%20se%20expliquen">
        <w:r>
          <w:rPr>
            <w:rStyle w:val="Hipervnculo"/>
          </w:rPr>
          <w:t>[7]</w:t>
        </w:r>
      </w:hyperlink>
      <w:r>
        <w:t>. Estos criterios se analizan a continuación con mayor detalle.</w:t>
      </w:r>
      <w:r w:rsidR="00AC7FED">
        <w:t xml:space="preserve"> Por otra parte, LAS ACCIONES DE DISCRIMINACIÓN POSITIVA SOLO SE CONTEMPLAN HACIA PERSONAS QUE POR SUS CARACTERISTICAS </w:t>
      </w:r>
      <w:r w:rsidR="003E15F0">
        <w:t xml:space="preserve">HAYAN SUFRIDO HISTORICAMENTE UNA SITUACIÓN DE DESIGUALDAD, no sistemáticamente hacia cualquier colectivo </w:t>
      </w:r>
      <w:proofErr w:type="spellStart"/>
      <w:r w:rsidR="003E15F0">
        <w:t>infrarepresentado</w:t>
      </w:r>
      <w:proofErr w:type="spellEnd"/>
      <w:r w:rsidR="003E15F0">
        <w:t xml:space="preserve">. </w:t>
      </w:r>
    </w:p>
    <w:p w14:paraId="4CEE1454" w14:textId="77777777" w:rsidR="003A3011" w:rsidRDefault="00AD2146">
      <w:pPr>
        <w:pStyle w:val="Ttulo2"/>
      </w:pPr>
      <w:bookmarkStart w:id="5" w:name="Xd8f6093b16df9eb7e4ee6e7fdfe03317c3032a9"/>
      <w:bookmarkEnd w:id="4"/>
      <w:r>
        <w:t>Validez jurídica de seleccionar a una mujer frente a un hombre con mejor puntuación</w:t>
      </w:r>
    </w:p>
    <w:p w14:paraId="648EC968" w14:textId="3055EB8B" w:rsidR="003A3011" w:rsidRDefault="00AD2146">
      <w:pPr>
        <w:pStyle w:val="FirstParagraph"/>
      </w:pPr>
      <w:r>
        <w:t xml:space="preserve">Un punto central es distinguir dos escenarios: (1) candidaturas de distinto sexo con diferencias notables en sus méritos o puntuaciones, y (2) candidaturas con méritos </w:t>
      </w:r>
      <w:r>
        <w:rPr>
          <w:b/>
          <w:bCs/>
        </w:rPr>
        <w:t>sustancialmente equivalentes</w:t>
      </w:r>
      <w:r w:rsidR="003E15F0">
        <w:rPr>
          <w:b/>
          <w:bCs/>
        </w:rPr>
        <w:t xml:space="preserve"> o al menos </w:t>
      </w:r>
      <w:proofErr w:type="gramStart"/>
      <w:r w:rsidR="003E15F0">
        <w:rPr>
          <w:b/>
          <w:bCs/>
        </w:rPr>
        <w:t>similares.</w:t>
      </w:r>
      <w:r>
        <w:t>.</w:t>
      </w:r>
      <w:proofErr w:type="gramEnd"/>
      <w:r>
        <w:t xml:space="preserve"> La legalidad de aplicar una preferencia por la mujer (por ser el sexo menos representado) varía radicalmente entre ambos supuestos:</w:t>
      </w:r>
    </w:p>
    <w:p w14:paraId="54D19464" w14:textId="0C3E5C12" w:rsidR="003A3011" w:rsidRDefault="00AD2146">
      <w:pPr>
        <w:numPr>
          <w:ilvl w:val="0"/>
          <w:numId w:val="2"/>
        </w:numPr>
      </w:pPr>
      <w:r>
        <w:rPr>
          <w:b/>
          <w:bCs/>
        </w:rPr>
        <w:t xml:space="preserve">Diferencia apreciable de méritos entre </w:t>
      </w:r>
      <w:r w:rsidR="003E15F0">
        <w:rPr>
          <w:b/>
          <w:bCs/>
        </w:rPr>
        <w:t>candidaturas</w:t>
      </w:r>
      <w:r>
        <w:rPr>
          <w:b/>
          <w:bCs/>
        </w:rPr>
        <w:t>:</w:t>
      </w:r>
      <w:r>
        <w:t xml:space="preserve"> Si un candidato hombre acredita una puntuación o idoneidad claramente superior a la de la candidata mujer, </w:t>
      </w:r>
      <w:r>
        <w:rPr>
          <w:b/>
          <w:bCs/>
        </w:rPr>
        <w:t>no es jurídicamente válido</w:t>
      </w:r>
      <w:r>
        <w:t xml:space="preserve"> obviar al varón y seleccionar a la mujer únicamente por acción positiva. Hacerlo implicaría una discriminación por razón de sexo al revés, vulnerando el principio de igualdad de mérito y capacidad. El Tribunal Supremo ha insistido en que </w:t>
      </w:r>
      <w:r>
        <w:rPr>
          <w:b/>
          <w:bCs/>
        </w:rPr>
        <w:t>las medidas de acción positiva no pueden justificar la elección de una persona menos cualificada por encima de otra claramente más cualificada</w:t>
      </w:r>
      <w:r>
        <w:t xml:space="preserve"> por motivo de sexo</w:t>
      </w:r>
      <w:hyperlink r:id="rId15" w:anchor=":~:text=su%20mayor%20idoneidad%2C%20sobre%20todo,preferencia%20a%20las%20candidatas%20femeninas">
        <w:r>
          <w:rPr>
            <w:rStyle w:val="Hipervnculo"/>
          </w:rPr>
          <w:t>[8]</w:t>
        </w:r>
      </w:hyperlink>
      <w:hyperlink r:id="rId16" w:anchor=":~:text=En%20este%20punto%2C%20el%20correcurrido,personal%20de%20todos%20los%20candidatos">
        <w:r>
          <w:rPr>
            <w:rStyle w:val="Hipervnculo"/>
          </w:rPr>
          <w:t>[6]</w:t>
        </w:r>
      </w:hyperlink>
      <w:r>
        <w:t xml:space="preserve">. En estos casos, la preferencia automática a favor del sexo infrarrepresentado sería desproporcionada y contraria al derecho fundamental de igualdad (art. 14 CE). En palabras del TS, </w:t>
      </w:r>
      <w:r>
        <w:rPr>
          <w:b/>
          <w:bCs/>
        </w:rPr>
        <w:t>la preferencia femenina “no podrá ser absoluta e incondicional”</w:t>
      </w:r>
      <w:r>
        <w:t xml:space="preserve"> y, cuando un candidato masculino se muestre </w:t>
      </w:r>
      <w:r>
        <w:rPr>
          <w:i/>
          <w:iCs/>
        </w:rPr>
        <w:t>más idóneo</w:t>
      </w:r>
      <w:r>
        <w:t xml:space="preserve"> que la candidata, no cabe aplicar la acción positiva como desplazamiento automático. Seleccionar a la mujer pese a la notable superioridad del varón constituiría un trato discriminatorio hacia este último, ilícito tanto en el ámbito público como en el privado.</w:t>
      </w:r>
    </w:p>
    <w:p w14:paraId="0736929A" w14:textId="179DCF45" w:rsidR="003A3011" w:rsidRDefault="00AD2146">
      <w:pPr>
        <w:numPr>
          <w:ilvl w:val="0"/>
          <w:numId w:val="2"/>
        </w:numPr>
      </w:pPr>
      <w:r>
        <w:rPr>
          <w:b/>
          <w:bCs/>
        </w:rPr>
        <w:t>Méritos e idoneidad sustancialmente equivalentes:</w:t>
      </w:r>
      <w:r>
        <w:t xml:space="preserve"> Por el contrario, si ambos candidatos (mujer y hombre) presentan una cualificación y puntuación similares, </w:t>
      </w:r>
      <w:r>
        <w:rPr>
          <w:b/>
          <w:bCs/>
        </w:rPr>
        <w:t xml:space="preserve">sí cabe establecer una preferencia por </w:t>
      </w:r>
      <w:r w:rsidR="00992E88">
        <w:rPr>
          <w:b/>
          <w:bCs/>
        </w:rPr>
        <w:t>la mujer</w:t>
      </w:r>
      <w:r>
        <w:t xml:space="preserve"> </w:t>
      </w:r>
      <w:r w:rsidR="003E15F0">
        <w:t xml:space="preserve">si </w:t>
      </w:r>
      <w:r>
        <w:t xml:space="preserve">como </w:t>
      </w:r>
      <w:r>
        <w:rPr>
          <w:b/>
          <w:bCs/>
        </w:rPr>
        <w:t>criterio de desempate o factor de corrección</w:t>
      </w:r>
      <w:r>
        <w:t xml:space="preserve">. Esta situación encaja en el concepto de acción positiva legítima: no se aparta a un candidato claramente más apto, sino que, </w:t>
      </w:r>
      <w:r>
        <w:rPr>
          <w:b/>
          <w:bCs/>
        </w:rPr>
        <w:t>ante la equivalencia de méritos</w:t>
      </w:r>
      <w:r>
        <w:t xml:space="preserve">, se desempata a favor del grupo infrarrepresentado para corregir un desequilibrio de género. La jurisprudencia europea y española avala esta práctica, siempre que se introduzca </w:t>
      </w:r>
      <w:r>
        <w:rPr>
          <w:b/>
          <w:bCs/>
        </w:rPr>
        <w:t>con las debidas garantías</w:t>
      </w:r>
      <w:r>
        <w:t xml:space="preserve">: i) que los méritos de los candidatos considerados sean efectivamente equivalentes o la diferencia no significativa, e ii) incluso así, conviene valorar individualmente si concurren circunstancias personales que justificaran excepcionar la preferencia femenina en ese caso concreto. En definitiva, </w:t>
      </w:r>
      <w:r>
        <w:rPr>
          <w:b/>
          <w:bCs/>
        </w:rPr>
        <w:t>a igualdad (o cuasi igualdad) de mérito, es lícito preferir al sexo subrepresentado</w:t>
      </w:r>
      <w:r>
        <w:t xml:space="preserve">, mientras que </w:t>
      </w:r>
      <w:r>
        <w:rPr>
          <w:b/>
          <w:bCs/>
        </w:rPr>
        <w:t>si no hay igualdad de mérito, la preferencia automática deviene ilícita</w:t>
      </w:r>
      <w:r>
        <w:t xml:space="preserve">. El Tribunal Supremo, en su Sentencia de 10 de mayo de 2016 (rec. 189/2015), lo expresó claramente: cuando una aspirante mujer tiene un perfil de méritos </w:t>
      </w:r>
      <w:r>
        <w:rPr>
          <w:b/>
          <w:bCs/>
        </w:rPr>
        <w:t>parejo, o incluso superior en puntos relevantes, al del candidato varón</w:t>
      </w:r>
      <w:r>
        <w:t xml:space="preserve">, cualquier decisión que otorgue el puesto al hombre debe estar </w:t>
      </w:r>
      <w:r>
        <w:rPr>
          <w:b/>
          <w:bCs/>
        </w:rPr>
        <w:t>especialmente motivada</w:t>
      </w:r>
      <w:r>
        <w:t xml:space="preserve"> y justificada. En esa misma sentencia, el TS subrayó que </w:t>
      </w:r>
      <w:r>
        <w:rPr>
          <w:i/>
          <w:iCs/>
        </w:rPr>
        <w:t>el criterio de preferencia femenina a igualdad de méritos no opera como una norma rígida de aplicación automática</w:t>
      </w:r>
      <w:r>
        <w:t xml:space="preserve">, </w:t>
      </w:r>
      <w:r>
        <w:rPr>
          <w:b/>
          <w:bCs/>
        </w:rPr>
        <w:t>sino como un principio rector</w:t>
      </w:r>
      <w:r>
        <w:t xml:space="preserve">: si no se aplica la preferencia en un caso de méritos equivalentes, la autoridad decisora debe </w:t>
      </w:r>
      <w:r>
        <w:rPr>
          <w:b/>
          <w:bCs/>
        </w:rPr>
        <w:t>explicar razonadamente</w:t>
      </w:r>
      <w:r>
        <w:t xml:space="preserve"> por qué elige al varón sobre la mujer. Esta necesidad de motivación reforzada crece en intensidad cuando la candidata tuviera incluso alguna ventaja objetiva sobre el candidato: en tal supuesto, elegir al hombre requeriría una justificación aún más sólida (“</w:t>
      </w:r>
      <w:r>
        <w:rPr>
          <w:i/>
          <w:iCs/>
        </w:rPr>
        <w:t>un plus de motivación</w:t>
      </w:r>
      <w:r>
        <w:t>”) para no incurrir en trato discriminatorio.</w:t>
      </w:r>
    </w:p>
    <w:p w14:paraId="53A2E25B" w14:textId="1C254929" w:rsidR="003A3011" w:rsidRDefault="00AD2146">
      <w:pPr>
        <w:pStyle w:val="FirstParagraph"/>
      </w:pPr>
      <w:r>
        <w:t xml:space="preserve">En síntesis, </w:t>
      </w:r>
      <w:r>
        <w:rPr>
          <w:b/>
          <w:bCs/>
        </w:rPr>
        <w:t>las alternativas válidas</w:t>
      </w:r>
      <w:r>
        <w:t xml:space="preserve"> para incorporar la perspectiva de género en un proceso selectivo son aquellas que </w:t>
      </w:r>
      <w:r>
        <w:rPr>
          <w:b/>
          <w:bCs/>
        </w:rPr>
        <w:t>no implican desplazar a quien tenga méritos claramente superiores</w:t>
      </w:r>
      <w:r>
        <w:t xml:space="preserve">. Son válidos los criterios de desempate a favor del sexo menos representado, las puntuaciones adicionales moderadas o tramos de preferencia condicionados a equivalencia de idoneidad. Por el contrario, </w:t>
      </w:r>
      <w:r>
        <w:rPr>
          <w:b/>
          <w:bCs/>
        </w:rPr>
        <w:t>sería discriminatorio y nulo un criterio que otorgue automáticamente el puesto a la persona de un sexo con franca desventaja de méritos respecto a la del otro sexo</w:t>
      </w:r>
      <w:r>
        <w:t xml:space="preserve">. Ello vulneraría no solo el art. 14 CE, sino también la normativa ordinaria que prohíbe la discriminación en el empleo, sin que el amparo del art. 9.2 CE o de la LOI pueda llegar tan lejos como para justificar la contratación o promoción de alguien menos cualificado por razón de género. Las acciones positivas tienen límites: deben ser proporcionadas, razonables y </w:t>
      </w:r>
      <w:r>
        <w:rPr>
          <w:b/>
          <w:bCs/>
        </w:rPr>
        <w:t>“no desligadas de los méritos personales”</w:t>
      </w:r>
      <w:r>
        <w:t xml:space="preserve"> de los aspirantes. En caso de exceder esos límites (por ejemplo, una preferencia que ignore méritos muy dispares), la medida sería ilegal.</w:t>
      </w:r>
    </w:p>
    <w:p w14:paraId="215C10AD" w14:textId="40D563C8" w:rsidR="00992E88" w:rsidRPr="00992E88" w:rsidRDefault="00992E88" w:rsidP="00992E88">
      <w:pPr>
        <w:pStyle w:val="Ttulo2"/>
      </w:pPr>
      <w:r w:rsidRPr="00992E88">
        <w:t>Aplicación de acciones positivas a hombres, en tanto que sexo no discriminado</w:t>
      </w:r>
    </w:p>
    <w:p w14:paraId="124C81D0" w14:textId="77777777" w:rsidR="00992E88" w:rsidRDefault="00992E88" w:rsidP="00992E88">
      <w:pPr>
        <w:pStyle w:val="Textoindependiente"/>
        <w:rPr>
          <w:lang w:val="es-ES"/>
        </w:rPr>
      </w:pPr>
      <w:r w:rsidRPr="00992E88">
        <w:rPr>
          <w:lang w:val="es-ES"/>
        </w:rPr>
        <w:t xml:space="preserve">En el derecho español vigente, la </w:t>
      </w:r>
      <w:r>
        <w:rPr>
          <w:lang w:val="es-ES"/>
        </w:rPr>
        <w:t xml:space="preserve">posibilidad de aplicar acciones positivas a hombres es de </w:t>
      </w:r>
      <w:r w:rsidRPr="00992E88">
        <w:rPr>
          <w:lang w:val="es-ES"/>
        </w:rPr>
        <w:t>forma muy condicionada, y en la práctica, casi nunca</w:t>
      </w:r>
      <w:r>
        <w:rPr>
          <w:lang w:val="es-ES"/>
        </w:rPr>
        <w:t>,</w:t>
      </w:r>
      <w:r w:rsidRPr="00992E88">
        <w:rPr>
          <w:lang w:val="es-ES"/>
        </w:rPr>
        <w:t xml:space="preserve"> si hablamos de hombres en sectores feminizados, salvo que se acredite una desventaja específica asociada a estereotipos de género (por ejemplo, penalización por cuidados, sesgos de evaluación, segregación por roles, etc.). </w:t>
      </w:r>
    </w:p>
    <w:p w14:paraId="63F86E00" w14:textId="5C1E3521" w:rsidR="00992E88" w:rsidRPr="00992E88" w:rsidRDefault="00992E88" w:rsidP="00992E88">
      <w:pPr>
        <w:pStyle w:val="Textoindependiente"/>
        <w:rPr>
          <w:lang w:val="es-ES"/>
        </w:rPr>
      </w:pPr>
      <w:r w:rsidRPr="00992E88">
        <w:rPr>
          <w:lang w:val="es-ES"/>
        </w:rPr>
        <w:t>Las razones</w:t>
      </w:r>
      <w:r>
        <w:rPr>
          <w:lang w:val="es-ES"/>
        </w:rPr>
        <w:t xml:space="preserve"> son las siguientes: </w:t>
      </w:r>
    </w:p>
    <w:p w14:paraId="4CA0D5D5" w14:textId="77777777" w:rsidR="00992E88" w:rsidRPr="00992E88" w:rsidRDefault="00992E88" w:rsidP="00992E88">
      <w:pPr>
        <w:pStyle w:val="Textoindependiente"/>
        <w:rPr>
          <w:lang w:val="es-ES"/>
        </w:rPr>
      </w:pPr>
      <w:r w:rsidRPr="00992E88">
        <w:rPr>
          <w:lang w:val="es-ES"/>
        </w:rPr>
        <w:t xml:space="preserve">a) La LO 3/2007 (LOI) configura las acciones positivas, en su formulación nuclear, como medidas “en favor de las mujeres” para corregir “situaciones patentes de desigualdad de hecho respecto de los hombres”, con exigencia de temporalidad, razonabilidad y proporcionalidad. Es decir: la ley no formula una habilitación simétrica para “el sexo menos representado” en abstracto; su anclaje está en la desigualdad estructural de las mujeres. </w:t>
      </w:r>
    </w:p>
    <w:p w14:paraId="5138326E" w14:textId="77777777" w:rsidR="00992E88" w:rsidRPr="00992E88" w:rsidRDefault="00992E88" w:rsidP="00992E88">
      <w:pPr>
        <w:pStyle w:val="Textoindependiente"/>
        <w:rPr>
          <w:lang w:val="es-ES"/>
        </w:rPr>
      </w:pPr>
      <w:r w:rsidRPr="00992E88">
        <w:rPr>
          <w:lang w:val="es-ES"/>
        </w:rPr>
        <w:t xml:space="preserve">b) La jurisprudencia constitucional y ordinaria suele exigir, para legitimar la diferenciación, una justificación material: no basta el dato estadístico desnudo, sino la identificación de una desigualdad de oportunidades real y persistente que la medida pretende corregir. Hay doctrina del TC que, en términos generales (más allá de sexo), admite reservas/cupos cuando responden a colectivos con graves dificultades de acceso al empleo, precisamente por ese componente de desventaja material (no por simple “minoría numérica”). </w:t>
      </w:r>
    </w:p>
    <w:p w14:paraId="73F38EEF" w14:textId="77777777" w:rsidR="00992E88" w:rsidRDefault="00992E88" w:rsidP="00992E88">
      <w:pPr>
        <w:pStyle w:val="Textoindependiente"/>
        <w:rPr>
          <w:lang w:val="es-ES"/>
        </w:rPr>
      </w:pPr>
      <w:r w:rsidRPr="00992E88">
        <w:rPr>
          <w:lang w:val="es-ES"/>
        </w:rPr>
        <w:t xml:space="preserve">c) En paralelo, la jurisprudencia europea y española ha sido estricta con los beneficios o ventajas “solo para mujeres” cuando no se sostienen en una desigualdad material específica (o cuando excluyen a hombres en situaciones equivalentes). Un ejemplo muy ilustrativo (aunque no es “acción positiva” en selección, sí es </w:t>
      </w:r>
      <w:proofErr w:type="gramStart"/>
      <w:r w:rsidRPr="00992E88">
        <w:rPr>
          <w:lang w:val="es-ES"/>
        </w:rPr>
        <w:t>un test</w:t>
      </w:r>
      <w:proofErr w:type="gramEnd"/>
      <w:r w:rsidRPr="00992E88">
        <w:rPr>
          <w:lang w:val="es-ES"/>
        </w:rPr>
        <w:t xml:space="preserve"> de justificación de la asimetría) es la evolución del “complemento” vinculado a brecha de género: tras pronunciamientos del TJUE, el Tribunal Supremo ha venido reconociendo que, si el beneficio está diseñado como corrector de una desigualdad pero su configuración excluye indebidamente a hombres en situaciones comparables, debe abrirse en igualdad de condiciones. Esto refleja que los tribunales piden una conexión fina entre: (i) desigualdad estructural corregida y (</w:t>
      </w:r>
      <w:proofErr w:type="spellStart"/>
      <w:r w:rsidRPr="00992E88">
        <w:rPr>
          <w:lang w:val="es-ES"/>
        </w:rPr>
        <w:t>ii</w:t>
      </w:r>
      <w:proofErr w:type="spellEnd"/>
      <w:r w:rsidRPr="00992E88">
        <w:rPr>
          <w:lang w:val="es-ES"/>
        </w:rPr>
        <w:t xml:space="preserve">) diseño de la medida. </w:t>
      </w:r>
    </w:p>
    <w:p w14:paraId="08F6DF1C" w14:textId="39FF1EBC" w:rsidR="00B06706" w:rsidRPr="00B06706" w:rsidRDefault="00B06706" w:rsidP="00B06706">
      <w:pPr>
        <w:pStyle w:val="Textoindependiente"/>
        <w:rPr>
          <w:lang w:val="es-ES"/>
        </w:rPr>
      </w:pPr>
      <w:r>
        <w:rPr>
          <w:lang w:val="es-ES"/>
        </w:rPr>
        <w:t>Por tanto, e</w:t>
      </w:r>
      <w:r w:rsidRPr="00B06706">
        <w:rPr>
          <w:lang w:val="es-ES"/>
        </w:rPr>
        <w:t>n el Derecho español y europeo, la idea de “sexo menos representado” no opera en el vacío. Para que una medida de acción positiva sea jurídicamente defendible no basta con acreditar infrarrepresentación numérica; es necesario poder vincularla con una situación de desigualdad de hecho y desventaja estructural (esto es, con discriminación en sentido material, aunque no siempre “intencional” o “directa”). Esa exigencia está en el propio fundamento normativo de las acciones positivas y también en la lógica jurisprudencial que las ha ido acotando.</w:t>
      </w:r>
    </w:p>
    <w:p w14:paraId="1F7FBCD3" w14:textId="2D095B0F" w:rsidR="00B06706" w:rsidRPr="00B06706" w:rsidRDefault="00B06706" w:rsidP="00B06706">
      <w:pPr>
        <w:pStyle w:val="Textoindependiente"/>
        <w:rPr>
          <w:lang w:val="es-ES"/>
        </w:rPr>
      </w:pPr>
      <w:r>
        <w:rPr>
          <w:lang w:val="es-ES"/>
        </w:rPr>
        <w:t xml:space="preserve">Así, </w:t>
      </w:r>
      <w:r w:rsidRPr="00B06706">
        <w:rPr>
          <w:lang w:val="es-ES"/>
        </w:rPr>
        <w:t>Infrarrepresentación no es, por sí sola, “título habilitante” autosuficiente</w:t>
      </w:r>
      <w:r>
        <w:rPr>
          <w:lang w:val="es-ES"/>
        </w:rPr>
        <w:t xml:space="preserve"> e</w:t>
      </w:r>
      <w:r w:rsidRPr="00B06706">
        <w:rPr>
          <w:lang w:val="es-ES"/>
        </w:rPr>
        <w:t>n el marco español, la LO 3/2007 formula las acciones positivas como medidas específicas “en favor de las mujeres” para corregir “situaciones patentes de desigualdad de hecho respecto de los hombres”, añadiendo exigencias de razonabilidad y proporcionalidad. En el marco de la UE, el art. 157.4 TFUE permite “ventajas concretas” para facilitar al sexo menos representado el ejercicio de actividades profesionales o para “evitar o compensar desventajas” en sus carreras profesionales.</w:t>
      </w:r>
      <w:r>
        <w:rPr>
          <w:lang w:val="es-ES"/>
        </w:rPr>
        <w:t xml:space="preserve"> </w:t>
      </w:r>
      <w:r w:rsidRPr="00B06706">
        <w:rPr>
          <w:lang w:val="es-ES"/>
        </w:rPr>
        <w:t xml:space="preserve">Y el art. 23 de la Carta permite igualmente medidas con “ventajas concretas en favor del sexo menos representado”. </w:t>
      </w:r>
    </w:p>
    <w:p w14:paraId="027BAB9F" w14:textId="36C33CDF" w:rsidR="00B06706" w:rsidRPr="00B06706" w:rsidRDefault="00B06706" w:rsidP="00B06706">
      <w:pPr>
        <w:pStyle w:val="Textoindependiente"/>
        <w:rPr>
          <w:lang w:val="es-ES"/>
        </w:rPr>
      </w:pPr>
      <w:r w:rsidRPr="00B06706">
        <w:rPr>
          <w:lang w:val="es-ES"/>
        </w:rPr>
        <w:t>La clave es el inciso “evitar o compensar desventajas”: la infrarrepresentación puede ser un indicio fuerte de desventaja estructural (segregación vertical/horizontal, sesgos de evaluación, redes informales masculinizadas, penalización de maternidad y cuidados, etc.), pero jurídicamente conviene tratarla como “prueba indiciaria” y no como “prueba plena” automática. En otras palabras: si el sexo menos representado no sufre desventajas (o no se acreditan), la medida se queda sin anclaje teleológico y se vuelve vulnerable.</w:t>
      </w:r>
      <w:r w:rsidR="00A65C44">
        <w:rPr>
          <w:lang w:val="es-ES"/>
        </w:rPr>
        <w:t xml:space="preserve"> Para acreditarlo, es necesario que de pueda identificar que la situación es estructural. </w:t>
      </w:r>
    </w:p>
    <w:p w14:paraId="61BF5305" w14:textId="35BDAAA6" w:rsidR="00992E88" w:rsidRPr="00992E88" w:rsidRDefault="00992E88" w:rsidP="00992E88">
      <w:pPr>
        <w:pStyle w:val="Textoindependiente"/>
        <w:rPr>
          <w:lang w:val="es-ES"/>
        </w:rPr>
      </w:pPr>
      <w:r>
        <w:rPr>
          <w:lang w:val="es-ES"/>
        </w:rPr>
        <w:t>En el caso de CCASA</w:t>
      </w:r>
      <w:r w:rsidRPr="00992E88">
        <w:rPr>
          <w:lang w:val="es-ES"/>
        </w:rPr>
        <w:t xml:space="preserve"> cuando en un ámbito el “sexo menos representado” fueran los hombres,</w:t>
      </w:r>
      <w:r>
        <w:rPr>
          <w:lang w:val="es-ES"/>
        </w:rPr>
        <w:t xml:space="preserve"> como es el caso del personal técnico,</w:t>
      </w:r>
      <w:r w:rsidRPr="00992E88">
        <w:rPr>
          <w:lang w:val="es-ES"/>
        </w:rPr>
        <w:t xml:space="preserve"> CCASA no debería poder apoyarse sin más en el armazón típico de acciones positivas del ET/LOI pensado para desigualdades estructurales de las mujeres. Haría falta acreditar una desventaja específica de los hombres vinculada a género (y no solo su menor presencia). En cambio, cuando el sexo menos representado son las mujeres en puestos de responsabilidad, la infrarrepresentación </w:t>
      </w:r>
      <w:r>
        <w:rPr>
          <w:lang w:val="es-ES"/>
        </w:rPr>
        <w:t>sirve como indicador de</w:t>
      </w:r>
      <w:r w:rsidRPr="00992E88">
        <w:rPr>
          <w:lang w:val="es-ES"/>
        </w:rPr>
        <w:t xml:space="preserve"> de segregación vertical y desigualdad de oportunidades, </w:t>
      </w:r>
      <w:r>
        <w:rPr>
          <w:lang w:val="es-ES"/>
        </w:rPr>
        <w:t xml:space="preserve">porque esta situación sigue estando estadísticamente extendida, </w:t>
      </w:r>
      <w:r w:rsidRPr="00992E88">
        <w:rPr>
          <w:lang w:val="es-ES"/>
        </w:rPr>
        <w:t xml:space="preserve">y ahí el encaje jurídico es sustancialmente más directo. </w:t>
      </w:r>
    </w:p>
    <w:p w14:paraId="53D89B10" w14:textId="77777777" w:rsidR="00992E88" w:rsidRPr="00992E88" w:rsidRDefault="00992E88" w:rsidP="00992E88">
      <w:pPr>
        <w:pStyle w:val="Textoindependiente"/>
      </w:pPr>
    </w:p>
    <w:p w14:paraId="2AD290AE" w14:textId="77777777" w:rsidR="003A3011" w:rsidRDefault="00AD2146">
      <w:pPr>
        <w:pStyle w:val="Ttulo2"/>
      </w:pPr>
      <w:bookmarkStart w:id="6" w:name="X490d7d822e7a03d4b5e76bf871b6b4863e10b69"/>
      <w:bookmarkEnd w:id="5"/>
      <w:r>
        <w:t>Precedentes relevantes en España sobre acciones positivas en selección</w:t>
      </w:r>
    </w:p>
    <w:p w14:paraId="6B0531F5" w14:textId="77777777" w:rsidR="003A3011" w:rsidRDefault="00AD2146">
      <w:pPr>
        <w:pStyle w:val="FirstParagraph"/>
      </w:pPr>
      <w:r>
        <w:t xml:space="preserve">Para contextualizar la medida 2.2.1 de CCASA, conviene examinar algunos </w:t>
      </w:r>
      <w:r>
        <w:rPr>
          <w:b/>
          <w:bCs/>
        </w:rPr>
        <w:t>precedentes jurisprudenciales y experiencias</w:t>
      </w:r>
      <w:r>
        <w:t xml:space="preserve"> en el Estado español en materia de acciones positivas de género en procesos selectivos.</w:t>
      </w:r>
    </w:p>
    <w:p w14:paraId="415A8089" w14:textId="77777777" w:rsidR="003A3011" w:rsidRDefault="00AD2146">
      <w:pPr>
        <w:pStyle w:val="Ttulo3"/>
      </w:pPr>
      <w:bookmarkStart w:id="7" w:name="Xf6cad7547a083958524d25200eb60bef6a3b914"/>
      <w:r>
        <w:t>Caso Tribunal Supremo – Presidencia de TSJ (STS de 10/05/2016)</w:t>
      </w:r>
    </w:p>
    <w:p w14:paraId="4801DD6A" w14:textId="77777777" w:rsidR="003A3011" w:rsidRDefault="00AD2146">
      <w:pPr>
        <w:pStyle w:val="FirstParagraph"/>
      </w:pPr>
      <w:r>
        <w:t>La Sentencia del Tribunal Supremo de 10 de mayo de 2016 (Sala de lo Contencioso-Adm., rec. 189/2015) es especialmente ilustrativa. Se trató de la impugnación de una decisión del Consejo General del Poder Judicial (CGPJ) que nombró a un hombre como Presidente de un Tribunal Superior de Justicia, frente a la candidatura de una magistrada mujer. La mujer alegaba que, teniendo méritos iguales o superiores en varios aspectos, su no selección carecía de motivación suficiente y vulneraba la normativa de igualdad (Reglamento 1/2010 del CGPJ que promovía la promoción de la mujer con mérito equivalente, y la LO 3/2007).</w:t>
      </w:r>
    </w:p>
    <w:p w14:paraId="0A97F697" w14:textId="2EC46253" w:rsidR="003A3011" w:rsidRDefault="00AD2146">
      <w:pPr>
        <w:pStyle w:val="Textoindependiente"/>
      </w:pPr>
      <w:r>
        <w:t xml:space="preserve">El Tribunal Supremo anuló el nombramiento y ordenó retrotraer el procedimiento, afirmando varios puntos clave: (a) que la candidata femenina tenía un perfil objetivamente equiparable e incluso en ciertos méritos </w:t>
      </w:r>
      <w:r>
        <w:rPr>
          <w:b/>
          <w:bCs/>
        </w:rPr>
        <w:t>muy superior</w:t>
      </w:r>
      <w:r>
        <w:t xml:space="preserve"> al del varón seleccionado; (b) que en tales circunstancias, el CGPJ debió extremar la motivación si optaba por el hombre, explicitando razones objetivas para no seguir el principio general de preferencia femenina ante igualdad sustancial de méritos; y (c) al no haberse dado esa motivación reforzada, la decisión adolecía de falta de justificación y comprometía el derecho a la igualdad de la aspirante mujer. El TS no ordenó nombrar directamente a la mujer (por respeto al margen de discrecionalidad del órgano evaluador), pero sí exigió repetir la decisión con plena motivación y </w:t>
      </w:r>
      <w:r>
        <w:rPr>
          <w:i/>
          <w:iCs/>
        </w:rPr>
        <w:t>considerando expresamente los méritos objetivos y lo dispuesto en la Ley de Igualdad</w:t>
      </w:r>
      <w:r>
        <w:t xml:space="preserve">. Este precedente subraya que </w:t>
      </w:r>
      <w:r>
        <w:rPr>
          <w:b/>
          <w:bCs/>
        </w:rPr>
        <w:t>una candidata con méritos claramente superiores no puede ser pasada por alto sin explicación</w:t>
      </w:r>
      <w:r>
        <w:t xml:space="preserve">, máxime en un contexto de infrarrepresentación femenina en altos cargos (solo uno de los TSJ autonómicos era presidido por mujer en ese momento, hecho reconocido en el expediente). En resumen, el TS avaló la necesidad de aplicar la perspectiva de género </w:t>
      </w:r>
      <w:r>
        <w:rPr>
          <w:b/>
          <w:bCs/>
        </w:rPr>
        <w:t>cuando no hay razones poderosas en contra</w:t>
      </w:r>
      <w:r>
        <w:t>, y censuró la falta de motivación en un caso donde la mujer tenía incluso ventaja objetiva en varios méritos</w:t>
      </w:r>
      <w:hyperlink r:id="rId17" w:anchor=":~:text=Desde%20este%20punto%20de%20vista%2C,que%20exige%20que%20se%20expliquen">
        <w:r>
          <w:rPr>
            <w:rStyle w:val="Hipervnculo"/>
          </w:rPr>
          <w:t>[7]</w:t>
        </w:r>
      </w:hyperlink>
      <w:r>
        <w:t xml:space="preserve">. Este caso sirve de aviso: </w:t>
      </w:r>
      <w:r>
        <w:rPr>
          <w:b/>
          <w:bCs/>
        </w:rPr>
        <w:t>la acción positiva no obliga a elegir siempre a la mujer</w:t>
      </w:r>
      <w:r>
        <w:t xml:space="preserve">, pero si no se le elige </w:t>
      </w:r>
      <w:r>
        <w:rPr>
          <w:i/>
          <w:iCs/>
        </w:rPr>
        <w:t>estando igualmente o más cualificada</w:t>
      </w:r>
      <w:r>
        <w:t>, debe haber fundamentos objetivos sólidos.</w:t>
      </w:r>
    </w:p>
    <w:p w14:paraId="02DBB27C" w14:textId="77777777" w:rsidR="003A3011" w:rsidRDefault="00AD2146">
      <w:pPr>
        <w:pStyle w:val="Ttulo3"/>
      </w:pPr>
      <w:bookmarkStart w:id="8" w:name="X67855fb5e2e91607c11761b8d3324b2dad5b557"/>
      <w:bookmarkEnd w:id="7"/>
      <w:r>
        <w:t>Caso Universidad Autónoma de Madrid – Promoción de Cátedras (STS 1383/2019, de 16/10/2019)</w:t>
      </w:r>
    </w:p>
    <w:p w14:paraId="415AF84B" w14:textId="77777777" w:rsidR="003A3011" w:rsidRDefault="00AD2146">
      <w:pPr>
        <w:pStyle w:val="FirstParagraph"/>
      </w:pPr>
      <w:r>
        <w:t xml:space="preserve">Otro precedente fundamental es el caso de la </w:t>
      </w:r>
      <w:r>
        <w:rPr>
          <w:b/>
          <w:bCs/>
        </w:rPr>
        <w:t>Universidad Autónoma de Madrid (UAM)</w:t>
      </w:r>
      <w:r>
        <w:t>, resuelto por la Sentencia del Tribunal Supremo de 16 de octubre de 2019</w:t>
      </w:r>
      <w:hyperlink r:id="rId18" w:anchor=":~:text=N%C3%BAmero%20y%20fecha%20de%20resoluci%C3%B3n,383%2F2019%2C%20de%2016%20de%20octubre">
        <w:r>
          <w:rPr>
            <w:rStyle w:val="Hipervnculo"/>
          </w:rPr>
          <w:t>[13]</w:t>
        </w:r>
      </w:hyperlink>
      <w:r>
        <w:t xml:space="preserve">. En este asunto, la UAM había aprobado una medida estructural de acción positiva para corregir la infrarrepresentación femenina en las cátedras universitarias. Constatando que en muchos departamentos el porcentaje de catedráticas era muy bajo, la UAM diseñó un </w:t>
      </w:r>
      <w:r>
        <w:rPr>
          <w:b/>
          <w:bCs/>
        </w:rPr>
        <w:t>sistema de tramos de puntuación adicionales en función de la infrarrepresentación por sexo</w:t>
      </w:r>
      <w:r>
        <w:t xml:space="preserve">: al convocar plazas de promoción interna a catedrático/a, se otorgaban </w:t>
      </w:r>
      <w:r>
        <w:rPr>
          <w:b/>
          <w:bCs/>
        </w:rPr>
        <w:t>hasta 10 puntos extra</w:t>
      </w:r>
      <w:r>
        <w:t xml:space="preserve"> a las candidatas mujeres si en su departamento las catedráticas eran menos del 40%. En detalle, la convocatoria establecía: “si la proporción de catedráticas es 0–10%, se asignan +10 puntos; entre 10–20%, +7,5 puntos; 20–30%, +5 puntos; 30–40%, +2,5 puntos. (Y 10 puntos si en el área no hay ninguna persona —ni hombre ni mujer— con plaza de catedrático aún)</w:t>
      </w:r>
      <w:hyperlink r:id="rId19" w:anchor=":~:text=En%20sus%20t%C3%A9rminos%2C%20para%20materializar,%E2%80%9D">
        <w:r>
          <w:rPr>
            <w:rStyle w:val="Hipervnculo"/>
          </w:rPr>
          <w:t>[14]</w:t>
        </w:r>
      </w:hyperlink>
      <w:r>
        <w:t xml:space="preserve">.” Es decir, </w:t>
      </w:r>
      <w:r>
        <w:rPr>
          <w:i/>
          <w:iCs/>
        </w:rPr>
        <w:t>cuanto mayor era la infrarrepresentación femenina en el área, mayor la ventaja en puntos otorgada a las mujeres acreditadas de ese departamento</w:t>
      </w:r>
      <w:r>
        <w:t xml:space="preserve"> para fomentar que en esas áreas salieran plazas de cátedra ocupables por mujeres. Importante resaltar que esta puntuación adicional no garantizaba automáticamente plaza a una mujer individual, sino que </w:t>
      </w:r>
      <w:r>
        <w:rPr>
          <w:b/>
          <w:bCs/>
        </w:rPr>
        <w:t>operaba a nivel estructural</w:t>
      </w:r>
      <w:r>
        <w:t>: influía en qué departamentos conseguían dotación de plaza de cátedra en la fase de reparto, incentivando a aquellos con pocas mujeres.</w:t>
      </w:r>
    </w:p>
    <w:p w14:paraId="59F42665" w14:textId="4788AC73" w:rsidR="003A3011" w:rsidRDefault="00AD2146">
      <w:pPr>
        <w:pStyle w:val="Textoindependiente"/>
      </w:pPr>
      <w:r>
        <w:t>Un grupo de</w:t>
      </w:r>
      <w:r w:rsidR="00992E88">
        <w:t xml:space="preserve">l profesorado </w:t>
      </w:r>
      <w:r>
        <w:t xml:space="preserve">recurrió esta medida alegando que vulneraba la igualdad (arts. 14 y 23.2 CE) y los principios de mérito y capacidad en el acceso a función pública docente. El Juzgado de lo Contencioso nº12 de Madrid y, en apelación, el TSJ de Madrid inicialmente dieron la razón a los recurrentes, al considerar que la asignación de puntos extra </w:t>
      </w:r>
      <w:r>
        <w:rPr>
          <w:i/>
          <w:iCs/>
        </w:rPr>
        <w:t>solo por razón de género</w:t>
      </w:r>
      <w:r>
        <w:t xml:space="preserve"> y “desligada de méritos personales” era desproporcionada y no objetiva. Sin embargo, la Universidad recurrió en casación y el Tribunal Supremo </w:t>
      </w:r>
      <w:r>
        <w:rPr>
          <w:b/>
          <w:bCs/>
        </w:rPr>
        <w:t>avalaró finalmente la medida de acción positiva de la UAM</w:t>
      </w:r>
      <w:r>
        <w:t>, sentando jurisprudencia muy relevante.</w:t>
      </w:r>
    </w:p>
    <w:p w14:paraId="0671D6AC" w14:textId="22917B1B" w:rsidR="003A3011" w:rsidRDefault="00AD2146">
      <w:pPr>
        <w:pStyle w:val="Textoindependiente"/>
      </w:pPr>
      <w:r>
        <w:t xml:space="preserve">El </w:t>
      </w:r>
      <w:r>
        <w:rPr>
          <w:b/>
          <w:bCs/>
        </w:rPr>
        <w:t>Tribunal Supremo revocó</w:t>
      </w:r>
      <w:r>
        <w:t xml:space="preserve"> las sentencias previas y declaró </w:t>
      </w:r>
      <w:r>
        <w:rPr>
          <w:b/>
          <w:bCs/>
        </w:rPr>
        <w:t>ajustada a Derecho</w:t>
      </w:r>
      <w:r>
        <w:t xml:space="preserve"> la convocatoria de la UAM, basándose en dos motivos centrales:</w:t>
      </w:r>
    </w:p>
    <w:p w14:paraId="58454020" w14:textId="3EFCD29C" w:rsidR="003A3011" w:rsidRDefault="00AD2146">
      <w:pPr>
        <w:numPr>
          <w:ilvl w:val="0"/>
          <w:numId w:val="3"/>
        </w:numPr>
      </w:pPr>
      <w:r>
        <w:rPr>
          <w:b/>
          <w:bCs/>
        </w:rPr>
        <w:t>Autonomía organizativa y habilitación legal:</w:t>
      </w:r>
      <w:r>
        <w:t xml:space="preserve"> La UAM, en ejercicio de su autonomía universitaria (art. 27.10 CE) y dentro del marco legal (LO 6/2001 de Universidades y LO 3/2007 de Igualdad), </w:t>
      </w:r>
      <w:r>
        <w:rPr>
          <w:b/>
          <w:bCs/>
        </w:rPr>
        <w:t>estaba facultada para adoptar medidas de acción positiva</w:t>
      </w:r>
      <w:r>
        <w:t xml:space="preserve"> en la configuración de su plantilla docente. No se extralimitó en sus competencias al introducir una variable de género en el procedimiento de promoción, dado que la ley expresamente insta a los poderes públicos a corregir la desigualdad en el acceso y carrera de las mujeres (arts. 9.2 CE y 51 LOI)</w:t>
      </w:r>
      <w:hyperlink r:id="rId20" w:anchor=":~:text=Conviene%20tener%20en%20cuenta%20que,ley%2C%20entre%20los%20que%20se">
        <w:r>
          <w:rPr>
            <w:rStyle w:val="Hipervnculo"/>
          </w:rPr>
          <w:t>[3]</w:t>
        </w:r>
      </w:hyperlink>
      <w:r>
        <w:t>. Es decir, había cobertura normativa suficiente para la acción positiva propuesta.</w:t>
      </w:r>
    </w:p>
    <w:p w14:paraId="73B9FBF1" w14:textId="1F681EAC" w:rsidR="003A3011" w:rsidRDefault="00AD2146">
      <w:pPr>
        <w:numPr>
          <w:ilvl w:val="0"/>
          <w:numId w:val="3"/>
        </w:numPr>
      </w:pPr>
      <w:r>
        <w:rPr>
          <w:b/>
          <w:bCs/>
        </w:rPr>
        <w:t>Naturaleza estructural y no automática de la preferencia:</w:t>
      </w:r>
      <w:r>
        <w:t xml:space="preserve"> El Supremo valoró que </w:t>
      </w:r>
      <w:r>
        <w:rPr>
          <w:b/>
          <w:bCs/>
        </w:rPr>
        <w:t>la medida no consistía en una preferencia individual absoluta a favor de las mujeres sobre los hombres</w:t>
      </w:r>
      <w:r>
        <w:t xml:space="preserve">, sino en </w:t>
      </w:r>
      <w:r>
        <w:rPr>
          <w:b/>
          <w:bCs/>
        </w:rPr>
        <w:t>un sistema dirigido a departamentos infrarrepresentados</w:t>
      </w:r>
      <w:r>
        <w:t xml:space="preserve">. En palabras de la sentencia, </w:t>
      </w:r>
      <w:r>
        <w:rPr>
          <w:i/>
          <w:iCs/>
        </w:rPr>
        <w:t>“la introducción de la variable de género no se traduce en adjudicar las plazas a mujeres con preferencia sobre los hombres en general, sino en beneficiar a los departamentos en que las mujeres estén infrarrepresentadas”</w:t>
      </w:r>
      <w:r>
        <w:t xml:space="preserve">. Esto es crucial: la ventaja se otorgaba </w:t>
      </w:r>
      <w:r>
        <w:rPr>
          <w:b/>
          <w:bCs/>
        </w:rPr>
        <w:t>en la fase de dotación de plazas por áreas</w:t>
      </w:r>
      <w:r>
        <w:t xml:space="preserve">, no en la selección final entre candidatos concretos. Todos los candidatos (hombres y mujeres) concurrirían después en igualdad de condiciones a las plazas que salieran, simplemente la política de distribución de plazas había favorecido a las áreas con pocas mujeres para crear oportunidades allí. Gracias a este diseño, el TS entendió que </w:t>
      </w:r>
      <w:r>
        <w:rPr>
          <w:b/>
          <w:bCs/>
        </w:rPr>
        <w:t>no se vulneraba el mérito y capacidad</w:t>
      </w:r>
      <w:r>
        <w:t xml:space="preserve">, pues la puntuación adicional no evaluaba a las personas por su sexo </w:t>
      </w:r>
      <w:r>
        <w:rPr>
          <w:i/>
          <w:iCs/>
        </w:rPr>
        <w:t>dentro</w:t>
      </w:r>
      <w:r>
        <w:t xml:space="preserve"> de un mismo proceso competitivo, sino que actuaba </w:t>
      </w:r>
      <w:r>
        <w:rPr>
          <w:i/>
          <w:iCs/>
        </w:rPr>
        <w:t>antes</w:t>
      </w:r>
      <w:r>
        <w:t xml:space="preserve">, incentivando la convocatoria de la plaza en ciertos ámbitos. Además, la medida era </w:t>
      </w:r>
      <w:r>
        <w:rPr>
          <w:b/>
          <w:bCs/>
        </w:rPr>
        <w:t>gradual, limitada en alcance y temporal</w:t>
      </w:r>
      <w:r>
        <w:t xml:space="preserve">, ceñida al objetivo del 40%. El TS apreció una </w:t>
      </w:r>
      <w:r>
        <w:rPr>
          <w:b/>
          <w:bCs/>
        </w:rPr>
        <w:t>justificación objetiva y razonable</w:t>
      </w:r>
      <w:r>
        <w:t xml:space="preserve"> en corregir el desequilibrio histórico de mujeres catedráticas</w:t>
      </w:r>
      <w:hyperlink r:id="rId21" w:anchor=":~:text=es%20que%20en%20aquellos%20departamentos,ley%2C%20entre%20los%20que%20se">
        <w:r>
          <w:rPr>
            <w:rStyle w:val="Hipervnculo"/>
          </w:rPr>
          <w:t>[21]</w:t>
        </w:r>
      </w:hyperlink>
      <w:r>
        <w:t xml:space="preserve">, y consideró la medida </w:t>
      </w:r>
      <w:r>
        <w:rPr>
          <w:b/>
          <w:bCs/>
        </w:rPr>
        <w:t>proporcionada</w:t>
      </w:r>
      <w:r>
        <w:t xml:space="preserve"> al fin legítimo perseguido (fomentar la igualdad en la promoción académica).</w:t>
      </w:r>
    </w:p>
    <w:p w14:paraId="4103311B" w14:textId="3410F582" w:rsidR="003A3011" w:rsidRDefault="00AD2146">
      <w:pPr>
        <w:pStyle w:val="FirstParagraph"/>
      </w:pPr>
      <w:r>
        <w:t xml:space="preserve">En conclusión, el </w:t>
      </w:r>
      <w:r>
        <w:rPr>
          <w:b/>
          <w:bCs/>
        </w:rPr>
        <w:t>precedente UAM</w:t>
      </w:r>
      <w:r>
        <w:t xml:space="preserve"> demuestra que </w:t>
      </w:r>
      <w:r>
        <w:rPr>
          <w:b/>
          <w:bCs/>
        </w:rPr>
        <w:t>son viables jurídicamente acciones positivas estructurales</w:t>
      </w:r>
      <w:r>
        <w:t xml:space="preserve">, incluso otorgando ventajas cuantitativas a un sexo, siempre que se diseñen con </w:t>
      </w:r>
      <w:r w:rsidR="00AD76EE">
        <w:t>condiciones</w:t>
      </w:r>
      <w:r>
        <w:t xml:space="preserve">: acotadas al estricto necesario, orientadas a resultados de igualdad real, y sin implicar automatismos que </w:t>
      </w:r>
      <w:r w:rsidR="00AD76EE">
        <w:t xml:space="preserve">jurídicamente pueda considerarse que </w:t>
      </w:r>
      <w:r>
        <w:t xml:space="preserve">lesionen directamente derechos individuales. El TS declaró conforme a Derecho la medida de la UAM, validando que </w:t>
      </w:r>
      <w:r>
        <w:rPr>
          <w:b/>
          <w:bCs/>
        </w:rPr>
        <w:t>una puntuación extra a mujeres en departamentos con &lt;40% catedráticas cumple con la Constitución y la LOI</w:t>
      </w:r>
      <w:r>
        <w:t xml:space="preserve">, en tanto persigue acelerar la igualdad real sin apartarse de méritos sino corrigiendo un desequilibrio de partida. Este es un </w:t>
      </w:r>
      <w:r>
        <w:rPr>
          <w:b/>
          <w:bCs/>
        </w:rPr>
        <w:t>precedente altamente significativo</w:t>
      </w:r>
      <w:r>
        <w:t xml:space="preserve"> para otras organizaciones</w:t>
      </w:r>
      <w:r w:rsidR="00AD76EE">
        <w:t xml:space="preserve">, como el caso de </w:t>
      </w:r>
      <w:r>
        <w:t>CCASA que quieran alcanzar al menos un 40% de presencia femenina en puestos de responsabilidad.</w:t>
      </w:r>
    </w:p>
    <w:p w14:paraId="327FA9A8" w14:textId="77777777" w:rsidR="003A3011" w:rsidRDefault="00AD2146">
      <w:pPr>
        <w:pStyle w:val="Ttulo3"/>
      </w:pPr>
      <w:bookmarkStart w:id="9" w:name="otras-experiencias-y-jurisprudencia"/>
      <w:bookmarkEnd w:id="8"/>
      <w:r>
        <w:t>Otras experiencias y jurisprudencia</w:t>
      </w:r>
    </w:p>
    <w:p w14:paraId="40686110" w14:textId="77777777" w:rsidR="0012041A" w:rsidRDefault="0012041A" w:rsidP="0012041A">
      <w:pPr>
        <w:rPr>
          <w:lang w:val="es-ES"/>
        </w:rPr>
      </w:pPr>
      <w:r w:rsidRPr="0012041A">
        <w:rPr>
          <w:lang w:val="es-ES"/>
        </w:rPr>
        <w:t xml:space="preserve">En diversos cuerpos de policía y bomberos de Euskadi, Catalunya, Illes Balears y la </w:t>
      </w:r>
      <w:proofErr w:type="spellStart"/>
      <w:r w:rsidRPr="0012041A">
        <w:rPr>
          <w:lang w:val="es-ES"/>
        </w:rPr>
        <w:t>Comunitat</w:t>
      </w:r>
      <w:proofErr w:type="spellEnd"/>
      <w:r w:rsidRPr="0012041A">
        <w:rPr>
          <w:lang w:val="es-ES"/>
        </w:rPr>
        <w:t xml:space="preserve"> Valenciana se han aplicado </w:t>
      </w:r>
      <w:r w:rsidRPr="0012041A">
        <w:rPr>
          <w:b/>
          <w:bCs/>
          <w:lang w:val="es-ES"/>
        </w:rPr>
        <w:t>medidas de acción positiva</w:t>
      </w:r>
      <w:r w:rsidRPr="0012041A">
        <w:rPr>
          <w:lang w:val="es-ES"/>
        </w:rPr>
        <w:t xml:space="preserve"> </w:t>
      </w:r>
      <w:r>
        <w:rPr>
          <w:lang w:val="es-ES"/>
        </w:rPr>
        <w:t>basadas en la reserva de plazas</w:t>
      </w:r>
      <w:r w:rsidRPr="0012041A">
        <w:rPr>
          <w:lang w:val="es-ES"/>
        </w:rPr>
        <w:t xml:space="preserve">, con resultados desiguales en lo jurídico. En </w:t>
      </w:r>
      <w:r w:rsidRPr="0012041A">
        <w:rPr>
          <w:b/>
          <w:bCs/>
          <w:lang w:val="es-ES"/>
        </w:rPr>
        <w:t>Euskadi</w:t>
      </w:r>
      <w:r w:rsidRPr="0012041A">
        <w:rPr>
          <w:lang w:val="es-ES"/>
        </w:rPr>
        <w:t xml:space="preserve">, la Ley de Policía del País Vasco (modificada por Ley 7/2019) habilita planes para corregir la infrarrepresentación femenina, previendo </w:t>
      </w:r>
      <w:r w:rsidRPr="0012041A">
        <w:rPr>
          <w:b/>
          <w:bCs/>
          <w:lang w:val="es-ES"/>
        </w:rPr>
        <w:t>reservas de hasta un 40%</w:t>
      </w:r>
      <w:r w:rsidRPr="0012041A">
        <w:rPr>
          <w:lang w:val="es-ES"/>
        </w:rPr>
        <w:t xml:space="preserve"> de las plazas para mujeres en las nuevas convocatorias (con un mínimo del 25% cuando se oferten más de 3 plazas). Esta reforma vino a dar cobertura legal a medidas que </w:t>
      </w:r>
      <w:r w:rsidRPr="0012041A">
        <w:rPr>
          <w:b/>
          <w:bCs/>
          <w:lang w:val="es-ES"/>
        </w:rPr>
        <w:t>antes habían sido anuladas por falta de base normativa</w:t>
      </w:r>
      <w:r w:rsidRPr="0012041A">
        <w:rPr>
          <w:lang w:val="es-ES"/>
        </w:rPr>
        <w:t xml:space="preserve"> –así ocurrió en 2011, cuando el TSJ del País Vasco invalidó una convocatoria de la Ertzaintza que destinaba 70 de 140 plazas a mujeres</w:t>
      </w:r>
      <w:r>
        <w:rPr>
          <w:lang w:val="es-ES"/>
        </w:rPr>
        <w:t>,</w:t>
      </w:r>
      <w:r w:rsidRPr="0012041A">
        <w:rPr>
          <w:lang w:val="es-ES"/>
        </w:rPr>
        <w:t xml:space="preserve"> al no existir entonces una habilitación legal expresa</w:t>
      </w:r>
    </w:p>
    <w:p w14:paraId="6E7EAB5E" w14:textId="532ACA4E" w:rsidR="006D1840" w:rsidRDefault="0012041A" w:rsidP="0012041A">
      <w:pPr>
        <w:rPr>
          <w:lang w:val="es-ES"/>
        </w:rPr>
      </w:pPr>
      <w:r>
        <w:rPr>
          <w:lang w:val="es-ES"/>
        </w:rPr>
        <w:t>P</w:t>
      </w:r>
      <w:r w:rsidRPr="0012041A">
        <w:rPr>
          <w:lang w:val="es-ES"/>
        </w:rPr>
        <w:t xml:space="preserve">or su parte, en </w:t>
      </w:r>
      <w:r w:rsidRPr="0012041A">
        <w:rPr>
          <w:b/>
          <w:bCs/>
          <w:lang w:val="es-ES"/>
        </w:rPr>
        <w:t>Catalunya</w:t>
      </w:r>
      <w:r w:rsidRPr="0012041A">
        <w:rPr>
          <w:lang w:val="es-ES"/>
        </w:rPr>
        <w:t xml:space="preserve">, desde 2020 la normativa autonómica exige </w:t>
      </w:r>
      <w:r w:rsidRPr="0012041A">
        <w:rPr>
          <w:b/>
          <w:bCs/>
          <w:lang w:val="es-ES"/>
        </w:rPr>
        <w:t>reservar entre un 25% y un 40% de las plazas</w:t>
      </w:r>
      <w:r w:rsidRPr="0012041A">
        <w:rPr>
          <w:lang w:val="es-ES"/>
        </w:rPr>
        <w:t xml:space="preserve"> de nuevo ingreso en las policías locales para candidatas femeninas. Gracias a esta cuota, en la promoción de 2021 de agentes de la Guardia Urbana de Barcelona se alcanzó por primera vez cerca de un </w:t>
      </w:r>
      <w:r w:rsidRPr="0012041A">
        <w:rPr>
          <w:b/>
          <w:bCs/>
          <w:lang w:val="es-ES"/>
        </w:rPr>
        <w:t>40% de mujeres</w:t>
      </w:r>
      <w:r w:rsidRPr="0012041A">
        <w:rPr>
          <w:lang w:val="es-ES"/>
        </w:rPr>
        <w:t xml:space="preserve">, frente al ~28% de la promoción anterior. En dicho proceso, se impusieron </w:t>
      </w:r>
      <w:r w:rsidRPr="0012041A">
        <w:rPr>
          <w:b/>
          <w:bCs/>
          <w:lang w:val="es-ES"/>
        </w:rPr>
        <w:t>condiciones técnicas</w:t>
      </w:r>
      <w:r w:rsidRPr="0012041A">
        <w:rPr>
          <w:lang w:val="es-ES"/>
        </w:rPr>
        <w:t xml:space="preserve"> para garantizar la objetividad: las aspirantes seleccionadas por la reserva debían haber superado todas las pruebas y su puntuación </w:t>
      </w:r>
      <w:r w:rsidRPr="0012041A">
        <w:rPr>
          <w:b/>
          <w:bCs/>
          <w:lang w:val="es-ES"/>
        </w:rPr>
        <w:t>no podía ser inferior en más de un 15%</w:t>
      </w:r>
      <w:r w:rsidRPr="0012041A">
        <w:rPr>
          <w:lang w:val="es-ES"/>
        </w:rPr>
        <w:t xml:space="preserve"> a la de los varones desplazados, asegurando así un nivel de </w:t>
      </w:r>
      <w:r w:rsidRPr="0012041A">
        <w:rPr>
          <w:b/>
          <w:bCs/>
          <w:lang w:val="es-ES"/>
        </w:rPr>
        <w:t>méritos equivalente</w:t>
      </w:r>
      <w:r w:rsidRPr="0012041A">
        <w:rPr>
          <w:lang w:val="es-ES"/>
        </w:rPr>
        <w:t xml:space="preserve">. Asimismo, para el cuerpo de </w:t>
      </w:r>
      <w:proofErr w:type="spellStart"/>
      <w:r w:rsidRPr="0012041A">
        <w:rPr>
          <w:lang w:val="es-ES"/>
        </w:rPr>
        <w:t>Mossos</w:t>
      </w:r>
      <w:proofErr w:type="spellEnd"/>
      <w:r w:rsidRPr="0012041A">
        <w:rPr>
          <w:lang w:val="es-ES"/>
        </w:rPr>
        <w:t xml:space="preserve"> </w:t>
      </w:r>
      <w:proofErr w:type="spellStart"/>
      <w:r w:rsidRPr="0012041A">
        <w:rPr>
          <w:lang w:val="es-ES"/>
        </w:rPr>
        <w:t>d’Esquadra</w:t>
      </w:r>
      <w:proofErr w:type="spellEnd"/>
      <w:r w:rsidRPr="0012041A">
        <w:rPr>
          <w:lang w:val="es-ES"/>
        </w:rPr>
        <w:t xml:space="preserve">, Catalunya optó por una intervención más limitada, otorgando preferencia a la candidata mujer </w:t>
      </w:r>
      <w:r w:rsidRPr="0012041A">
        <w:rPr>
          <w:b/>
          <w:bCs/>
          <w:lang w:val="es-ES"/>
        </w:rPr>
        <w:t>solo en caso de empate</w:t>
      </w:r>
      <w:r w:rsidRPr="0012041A">
        <w:rPr>
          <w:lang w:val="es-ES"/>
        </w:rPr>
        <w:t xml:space="preserve"> en puntuación y si la presencia femenina en la categoría es inferior al 40% (discriminación positiva </w:t>
      </w:r>
      <w:r w:rsidRPr="0012041A">
        <w:rPr>
          <w:i/>
          <w:iCs/>
          <w:lang w:val="es-ES"/>
        </w:rPr>
        <w:t>ex lege</w:t>
      </w:r>
      <w:r w:rsidRPr="0012041A">
        <w:rPr>
          <w:lang w:val="es-ES"/>
        </w:rPr>
        <w:t xml:space="preserve"> de carácter condicionado al mérito igualitario). </w:t>
      </w:r>
    </w:p>
    <w:p w14:paraId="155F86CD" w14:textId="000F856F" w:rsidR="0012041A" w:rsidRPr="0012041A" w:rsidRDefault="0012041A" w:rsidP="0012041A">
      <w:pPr>
        <w:rPr>
          <w:lang w:val="es-ES"/>
        </w:rPr>
      </w:pPr>
      <w:r w:rsidRPr="0012041A">
        <w:rPr>
          <w:lang w:val="es-ES"/>
        </w:rPr>
        <w:t xml:space="preserve">En el ámbito de </w:t>
      </w:r>
      <w:r w:rsidRPr="0012041A">
        <w:rPr>
          <w:b/>
          <w:bCs/>
          <w:lang w:val="es-ES"/>
        </w:rPr>
        <w:t>bomberos</w:t>
      </w:r>
      <w:r w:rsidRPr="0012041A">
        <w:rPr>
          <w:lang w:val="es-ES"/>
        </w:rPr>
        <w:t xml:space="preserve">, cabe señalar que también se han ensayado acciones positivas no cupulares sino de </w:t>
      </w:r>
      <w:r w:rsidRPr="0012041A">
        <w:rPr>
          <w:b/>
          <w:bCs/>
          <w:lang w:val="es-ES"/>
        </w:rPr>
        <w:t>fomento y adaptación de pruebas</w:t>
      </w:r>
      <w:r w:rsidRPr="0012041A">
        <w:rPr>
          <w:lang w:val="es-ES"/>
        </w:rPr>
        <w:t xml:space="preserve">: por ejemplo, en el Cuerpo de Bomberos de Barcelona (que hasta 2007 no contaba con ninguna mujer), las últimas oposiciones introdujeron campañas de captación, programas de formación específicos para aspirantes femeninas y la revisión de las pruebas físicas, logrando que un </w:t>
      </w:r>
      <w:r w:rsidRPr="0012041A">
        <w:rPr>
          <w:b/>
          <w:bCs/>
          <w:lang w:val="es-ES"/>
        </w:rPr>
        <w:t>15% de las personas seleccionadas</w:t>
      </w:r>
      <w:r w:rsidRPr="0012041A">
        <w:rPr>
          <w:lang w:val="es-ES"/>
        </w:rPr>
        <w:t xml:space="preserve"> fueran mujeres (12 bomberas en total). Esta actuación, enmarcada en el II Plan de Igualdad del Ayuntamiento de Barcelona, aumentó significativamente la incorporación femenina sin necesidad de cuotas rígidas, mediante </w:t>
      </w:r>
      <w:r w:rsidRPr="0012041A">
        <w:rPr>
          <w:b/>
          <w:bCs/>
          <w:lang w:val="es-ES"/>
        </w:rPr>
        <w:t>ajustes técnicos y medidas de apoyo</w:t>
      </w:r>
      <w:r w:rsidRPr="0012041A">
        <w:rPr>
          <w:lang w:val="es-ES"/>
        </w:rPr>
        <w:t xml:space="preserve"> a las candidatas.</w:t>
      </w:r>
    </w:p>
    <w:p w14:paraId="5F232769" w14:textId="77777777" w:rsidR="006D1840" w:rsidRDefault="0012041A" w:rsidP="0012041A">
      <w:pPr>
        <w:rPr>
          <w:lang w:val="es-ES"/>
        </w:rPr>
      </w:pPr>
      <w:r w:rsidRPr="0012041A">
        <w:rPr>
          <w:lang w:val="es-ES"/>
        </w:rPr>
        <w:t xml:space="preserve">En </w:t>
      </w:r>
      <w:r w:rsidRPr="0012041A">
        <w:rPr>
          <w:b/>
          <w:bCs/>
          <w:lang w:val="es-ES"/>
        </w:rPr>
        <w:t>Illes Balears</w:t>
      </w:r>
      <w:r w:rsidRPr="0012041A">
        <w:rPr>
          <w:lang w:val="es-ES"/>
        </w:rPr>
        <w:t xml:space="preserve">, la Ley de Coordinación de Policías Locales (y los planes de igualdad municipales) prevén igualmente la </w:t>
      </w:r>
      <w:r w:rsidRPr="0012041A">
        <w:rPr>
          <w:b/>
          <w:bCs/>
          <w:lang w:val="es-ES"/>
        </w:rPr>
        <w:t>reserva de plazas para mujeres</w:t>
      </w:r>
      <w:r w:rsidRPr="0012041A">
        <w:rPr>
          <w:lang w:val="es-ES"/>
        </w:rPr>
        <w:t xml:space="preserve"> —hasta un 40% cuando su presencia esté por debajo de un tercio de la plantilla— como mecanismo de corrección. Dicha acción positiva ha sido </w:t>
      </w:r>
      <w:r w:rsidRPr="0012041A">
        <w:rPr>
          <w:b/>
          <w:bCs/>
          <w:lang w:val="es-ES"/>
        </w:rPr>
        <w:t>avalada por la jurisprudencia</w:t>
      </w:r>
      <w:r w:rsidRPr="0012041A">
        <w:rPr>
          <w:lang w:val="es-ES"/>
        </w:rPr>
        <w:t xml:space="preserve"> autonómica: el Tribunal Superior de Justicia de Illes Balears rechazó en 2025 el recurso de un aspirante contra una convocatoria del Ayuntamiento de Palma que aplicó este sistema, al apreciar que la medida tenía </w:t>
      </w:r>
      <w:r w:rsidRPr="0012041A">
        <w:rPr>
          <w:b/>
          <w:bCs/>
          <w:lang w:val="es-ES"/>
        </w:rPr>
        <w:t>suficiente respaldo legal</w:t>
      </w:r>
      <w:r w:rsidRPr="0012041A">
        <w:rPr>
          <w:lang w:val="es-ES"/>
        </w:rPr>
        <w:t xml:space="preserve"> y respetaba la proporcionalidad. El TSJIB subrayó que, tal y como estaba diseñada en Baleares, la reserva era </w:t>
      </w:r>
      <w:r w:rsidRPr="0012041A">
        <w:rPr>
          <w:b/>
          <w:bCs/>
          <w:lang w:val="es-ES"/>
        </w:rPr>
        <w:t>limitada</w:t>
      </w:r>
      <w:r w:rsidRPr="0012041A">
        <w:rPr>
          <w:lang w:val="es-ES"/>
        </w:rPr>
        <w:t xml:space="preserve"> y garantizaba que las mujeres finalmente admitidas tuviesen </w:t>
      </w:r>
      <w:r w:rsidRPr="0012041A">
        <w:rPr>
          <w:i/>
          <w:iCs/>
          <w:lang w:val="es-ES"/>
        </w:rPr>
        <w:t>“méritos equivalentes o sensiblemente equivalentes”</w:t>
      </w:r>
      <w:r w:rsidRPr="0012041A">
        <w:rPr>
          <w:lang w:val="es-ES"/>
        </w:rPr>
        <w:t xml:space="preserve"> a los de los hombres excluidos. Esto se lograba mediante </w:t>
      </w:r>
      <w:r w:rsidRPr="0012041A">
        <w:rPr>
          <w:b/>
          <w:bCs/>
          <w:lang w:val="es-ES"/>
        </w:rPr>
        <w:t>cláusulas de salvaguarda</w:t>
      </w:r>
      <w:r w:rsidRPr="0012041A">
        <w:rPr>
          <w:lang w:val="es-ES"/>
        </w:rPr>
        <w:t xml:space="preserve">, como la exigencia de que la puntuación de las candidatas beneficiarias no fuera más de un </w:t>
      </w:r>
      <w:r w:rsidRPr="0012041A">
        <w:rPr>
          <w:b/>
          <w:bCs/>
          <w:lang w:val="es-ES"/>
        </w:rPr>
        <w:t>15% inferior</w:t>
      </w:r>
      <w:r w:rsidRPr="0012041A">
        <w:rPr>
          <w:lang w:val="es-ES"/>
        </w:rPr>
        <w:t xml:space="preserve"> a la de los varones desplazados. Gracias a estos límites, la Sala entendió que la convocatoria cumplía los criterios fijados por el TJUE en materia de igualdad, que </w:t>
      </w:r>
      <w:r w:rsidRPr="0012041A">
        <w:rPr>
          <w:b/>
          <w:bCs/>
          <w:lang w:val="es-ES"/>
        </w:rPr>
        <w:t>prohíben preferencias automáticas e ilimitadas</w:t>
      </w:r>
      <w:r w:rsidRPr="0012041A">
        <w:rPr>
          <w:lang w:val="es-ES"/>
        </w:rPr>
        <w:t xml:space="preserve">, admitiendo solo medidas proporcionadas a la finalidad buscada. </w:t>
      </w:r>
    </w:p>
    <w:p w14:paraId="7222D4B3" w14:textId="77777777" w:rsidR="006D1840" w:rsidRDefault="006D1840" w:rsidP="0012041A">
      <w:pPr>
        <w:rPr>
          <w:lang w:val="es-ES"/>
        </w:rPr>
      </w:pPr>
    </w:p>
    <w:p w14:paraId="335C3331" w14:textId="62ABC148" w:rsidR="006D1840" w:rsidRDefault="0012041A" w:rsidP="0012041A">
      <w:pPr>
        <w:rPr>
          <w:lang w:val="es-ES"/>
        </w:rPr>
      </w:pPr>
      <w:r w:rsidRPr="0012041A">
        <w:rPr>
          <w:lang w:val="es-ES"/>
        </w:rPr>
        <w:t xml:space="preserve">Este ejemplo contrasta con otros casos en los que la ausencia de condicionantes o de justificación suficiente ha conllevado la </w:t>
      </w:r>
      <w:r w:rsidRPr="0012041A">
        <w:rPr>
          <w:b/>
          <w:bCs/>
          <w:lang w:val="es-ES"/>
        </w:rPr>
        <w:t>anulación judicial</w:t>
      </w:r>
      <w:r w:rsidRPr="0012041A">
        <w:rPr>
          <w:lang w:val="es-ES"/>
        </w:rPr>
        <w:t xml:space="preserve"> de medidas semejantes. </w:t>
      </w:r>
    </w:p>
    <w:p w14:paraId="0CC32617" w14:textId="2B9FFA90" w:rsidR="0012041A" w:rsidRPr="0012041A" w:rsidRDefault="0012041A" w:rsidP="0012041A">
      <w:pPr>
        <w:rPr>
          <w:lang w:val="es-ES"/>
        </w:rPr>
      </w:pPr>
      <w:r w:rsidRPr="0012041A">
        <w:rPr>
          <w:lang w:val="es-ES"/>
        </w:rPr>
        <w:t xml:space="preserve">Por ejemplo, en la </w:t>
      </w:r>
      <w:proofErr w:type="spellStart"/>
      <w:r w:rsidRPr="0012041A">
        <w:rPr>
          <w:b/>
          <w:bCs/>
          <w:lang w:val="es-ES"/>
        </w:rPr>
        <w:t>Comunitat</w:t>
      </w:r>
      <w:proofErr w:type="spellEnd"/>
      <w:r w:rsidRPr="0012041A">
        <w:rPr>
          <w:b/>
          <w:bCs/>
          <w:lang w:val="es-ES"/>
        </w:rPr>
        <w:t xml:space="preserve"> Valenciana</w:t>
      </w:r>
      <w:r w:rsidRPr="0012041A">
        <w:rPr>
          <w:lang w:val="es-ES"/>
        </w:rPr>
        <w:t xml:space="preserve">, la Ley 17/2017 de coordinación de policías locales inicialmente estableció una reserva absoluta del </w:t>
      </w:r>
      <w:r w:rsidRPr="0012041A">
        <w:rPr>
          <w:b/>
          <w:bCs/>
          <w:lang w:val="es-ES"/>
        </w:rPr>
        <w:t>30%</w:t>
      </w:r>
      <w:r w:rsidRPr="0012041A">
        <w:rPr>
          <w:lang w:val="es-ES"/>
        </w:rPr>
        <w:t xml:space="preserve"> de plazas para mujeres; tras un requerimiento de la Comisión Europea, en 2020 se suavizó dicho precepto disponiendo la adjudicación preferente a mujeres </w:t>
      </w:r>
      <w:r w:rsidRPr="0012041A">
        <w:rPr>
          <w:b/>
          <w:bCs/>
          <w:lang w:val="es-ES"/>
        </w:rPr>
        <w:t>siempre que su nota no fuera inferior en más de un 15%</w:t>
      </w:r>
      <w:r w:rsidRPr="0012041A">
        <w:rPr>
          <w:lang w:val="es-ES"/>
        </w:rPr>
        <w:t xml:space="preserve"> a la de sus competidores masculinos. Aun así, los tribunales han cuestionado esta regulación: en 2021, el Juzgado de lo Contencioso-</w:t>
      </w:r>
      <w:proofErr w:type="spellStart"/>
      <w:r w:rsidRPr="0012041A">
        <w:rPr>
          <w:lang w:val="es-ES"/>
        </w:rPr>
        <w:t>Adm</w:t>
      </w:r>
      <w:proofErr w:type="spellEnd"/>
      <w:r w:rsidRPr="0012041A">
        <w:rPr>
          <w:lang w:val="es-ES"/>
        </w:rPr>
        <w:t xml:space="preserve">. </w:t>
      </w:r>
      <w:proofErr w:type="spellStart"/>
      <w:r w:rsidRPr="0012041A">
        <w:rPr>
          <w:lang w:val="es-ES"/>
        </w:rPr>
        <w:t>nº</w:t>
      </w:r>
      <w:proofErr w:type="spellEnd"/>
      <w:r w:rsidRPr="0012041A">
        <w:rPr>
          <w:lang w:val="es-ES"/>
        </w:rPr>
        <w:t xml:space="preserve"> 7 de Valencia </w:t>
      </w:r>
      <w:r w:rsidRPr="0012041A">
        <w:rPr>
          <w:b/>
          <w:bCs/>
          <w:lang w:val="es-ES"/>
        </w:rPr>
        <w:t>anuló la convocatoria</w:t>
      </w:r>
      <w:r w:rsidRPr="0012041A">
        <w:rPr>
          <w:lang w:val="es-ES"/>
        </w:rPr>
        <w:t xml:space="preserve"> de 15 plazas (con 3 reservadas a mujeres) del Ayuntamiento de Torrent, por considerar que suponía una preferencia </w:t>
      </w:r>
      <w:r w:rsidRPr="0012041A">
        <w:rPr>
          <w:i/>
          <w:iCs/>
          <w:lang w:val="es-ES"/>
        </w:rPr>
        <w:t>“automática e incondicionada”</w:t>
      </w:r>
      <w:r w:rsidRPr="0012041A">
        <w:rPr>
          <w:lang w:val="es-ES"/>
        </w:rPr>
        <w:t xml:space="preserve"> a favor del sexo infrarrepresentado, incompatible con el principio de mérito y con la Directiva 76/207/CEE. De modo similar, en 2022 un juzgado de Barcelona estimó el recurso de un sindicato contra la reserva del 25% de vacantes para mujeres en un concurso interno de la Guardia Urbana, declarando </w:t>
      </w:r>
      <w:r w:rsidRPr="0012041A">
        <w:rPr>
          <w:b/>
          <w:bCs/>
          <w:lang w:val="es-ES"/>
        </w:rPr>
        <w:t>nula</w:t>
      </w:r>
      <w:r w:rsidRPr="0012041A">
        <w:rPr>
          <w:lang w:val="es-ES"/>
        </w:rPr>
        <w:t xml:space="preserve"> dicha cuota al exceder los límites de la igualdad de trato y vulnerar los principios de mérito y capacidad (se trataba de una reserva aplicada </w:t>
      </w:r>
      <w:r w:rsidRPr="0012041A">
        <w:rPr>
          <w:b/>
          <w:bCs/>
          <w:lang w:val="es-ES"/>
        </w:rPr>
        <w:t>automáticamente</w:t>
      </w:r>
      <w:r w:rsidRPr="0012041A">
        <w:rPr>
          <w:lang w:val="es-ES"/>
        </w:rPr>
        <w:t xml:space="preserve">, sin matices de puntuación). En contraste, allí donde las acciones positivas se han implementado de forma </w:t>
      </w:r>
      <w:r w:rsidRPr="0012041A">
        <w:rPr>
          <w:b/>
          <w:bCs/>
          <w:lang w:val="es-ES"/>
        </w:rPr>
        <w:t>gradual y condicionada</w:t>
      </w:r>
      <w:r w:rsidRPr="0012041A">
        <w:rPr>
          <w:lang w:val="es-ES"/>
        </w:rPr>
        <w:t xml:space="preserve"> (p. ej. mediante desempates o cupos sujetos a rendimiento equivalente), han logrado su objetivo sin ser impugnadas; buena muestra es la convocatoria de Almassora (C. Valenciana) en 2025, que </w:t>
      </w:r>
      <w:r w:rsidRPr="0012041A">
        <w:rPr>
          <w:b/>
          <w:bCs/>
          <w:lang w:val="es-ES"/>
        </w:rPr>
        <w:t>reservó 2 de 10 plazas</w:t>
      </w:r>
      <w:r w:rsidRPr="0012041A">
        <w:rPr>
          <w:lang w:val="es-ES"/>
        </w:rPr>
        <w:t xml:space="preserve"> de policía local a mujeres con el apoyo institucional y sin incidencia judicial, en línea con el objetivo estatal de alcanzar un 40% de aspirantes femeninas en las fuerzas de seguridad.</w:t>
      </w:r>
    </w:p>
    <w:p w14:paraId="30DED62A" w14:textId="77777777" w:rsidR="00D55EEC" w:rsidRDefault="0012041A" w:rsidP="0012041A">
      <w:pPr>
        <w:rPr>
          <w:lang w:val="es-ES"/>
        </w:rPr>
      </w:pPr>
      <w:r w:rsidRPr="0012041A">
        <w:rPr>
          <w:lang w:val="es-ES"/>
        </w:rPr>
        <w:t xml:space="preserve">En síntesis, la </w:t>
      </w:r>
      <w:r w:rsidRPr="0012041A">
        <w:rPr>
          <w:b/>
          <w:bCs/>
          <w:lang w:val="es-ES"/>
        </w:rPr>
        <w:t>validez jurídica</w:t>
      </w:r>
      <w:r w:rsidRPr="0012041A">
        <w:rPr>
          <w:lang w:val="es-ES"/>
        </w:rPr>
        <w:t xml:space="preserve"> de este tipo de medidas es </w:t>
      </w:r>
      <w:r w:rsidRPr="0012041A">
        <w:rPr>
          <w:b/>
          <w:bCs/>
          <w:lang w:val="es-ES"/>
        </w:rPr>
        <w:t>controvertida y dependiente del caso concreto</w:t>
      </w:r>
      <w:r w:rsidRPr="0012041A">
        <w:rPr>
          <w:lang w:val="es-ES"/>
        </w:rPr>
        <w:t xml:space="preserve">, dado que su ajuste a derecho </w:t>
      </w:r>
      <w:r w:rsidRPr="0012041A">
        <w:rPr>
          <w:b/>
          <w:bCs/>
          <w:lang w:val="es-ES"/>
        </w:rPr>
        <w:t>depende del diseño técnico, de la robustez de la justificación y del respeto a los principios de mérito y proporcionalidad</w:t>
      </w:r>
      <w:r w:rsidRPr="0012041A">
        <w:rPr>
          <w:lang w:val="es-ES"/>
        </w:rPr>
        <w:t xml:space="preserve">. Las </w:t>
      </w:r>
      <w:r w:rsidRPr="0012041A">
        <w:rPr>
          <w:b/>
          <w:bCs/>
          <w:lang w:val="es-ES"/>
        </w:rPr>
        <w:t xml:space="preserve">acciones positivas </w:t>
      </w:r>
      <w:r w:rsidR="00D55EEC">
        <w:rPr>
          <w:b/>
          <w:bCs/>
          <w:lang w:val="es-ES"/>
        </w:rPr>
        <w:t xml:space="preserve">son </w:t>
      </w:r>
      <w:proofErr w:type="gramStart"/>
      <w:r w:rsidR="00D55EEC">
        <w:rPr>
          <w:b/>
          <w:bCs/>
          <w:lang w:val="es-ES"/>
        </w:rPr>
        <w:t xml:space="preserve">legales </w:t>
      </w:r>
      <w:r w:rsidRPr="0012041A">
        <w:rPr>
          <w:lang w:val="es-ES"/>
        </w:rPr>
        <w:t xml:space="preserve"> –</w:t>
      </w:r>
      <w:proofErr w:type="gramEnd"/>
      <w:r w:rsidRPr="0012041A">
        <w:rPr>
          <w:lang w:val="es-ES"/>
        </w:rPr>
        <w:t xml:space="preserve">el propio marco normativo las contempla con carácter excepcional (art. 11 LO 3/2007, Dir. 2006/54/CE)–, pero su legalidad se analiza </w:t>
      </w:r>
      <w:r w:rsidRPr="0012041A">
        <w:rPr>
          <w:b/>
          <w:bCs/>
          <w:lang w:val="es-ES"/>
        </w:rPr>
        <w:t>caso por caso</w:t>
      </w:r>
      <w:r w:rsidRPr="0012041A">
        <w:rPr>
          <w:lang w:val="es-ES"/>
        </w:rPr>
        <w:t xml:space="preserve">, verificando en cada supuesto que concurran una finalidad legítima y urgente (p. ej. corregir una infrarrepresentación femenina marcada), y que la medida adoptada sea </w:t>
      </w:r>
      <w:r w:rsidRPr="0012041A">
        <w:rPr>
          <w:b/>
          <w:bCs/>
          <w:lang w:val="es-ES"/>
        </w:rPr>
        <w:t>necesaria y proporcionada</w:t>
      </w:r>
      <w:r w:rsidRPr="0012041A">
        <w:rPr>
          <w:lang w:val="es-ES"/>
        </w:rPr>
        <w:t xml:space="preserve"> a tal fin. </w:t>
      </w:r>
    </w:p>
    <w:p w14:paraId="5A3EC099" w14:textId="77777777" w:rsidR="00D55EEC" w:rsidRDefault="0012041A" w:rsidP="0012041A">
      <w:pPr>
        <w:rPr>
          <w:lang w:val="es-ES"/>
        </w:rPr>
      </w:pPr>
      <w:r w:rsidRPr="0012041A">
        <w:rPr>
          <w:lang w:val="es-ES"/>
        </w:rPr>
        <w:t xml:space="preserve">La jurisprudencia reciente refleja esta ponderación: se han avalado actuaciones donde la preferencia a la mujer está </w:t>
      </w:r>
      <w:r w:rsidRPr="0012041A">
        <w:rPr>
          <w:b/>
          <w:bCs/>
          <w:lang w:val="es-ES"/>
        </w:rPr>
        <w:t>condicionada</w:t>
      </w:r>
      <w:r w:rsidRPr="0012041A">
        <w:rPr>
          <w:lang w:val="es-ES"/>
        </w:rPr>
        <w:t xml:space="preserve"> a méritos </w:t>
      </w:r>
      <w:r w:rsidR="00D55EEC">
        <w:rPr>
          <w:lang w:val="es-ES"/>
        </w:rPr>
        <w:t>equivalentes</w:t>
      </w:r>
      <w:r w:rsidRPr="0012041A">
        <w:rPr>
          <w:lang w:val="es-ES"/>
        </w:rPr>
        <w:t xml:space="preserve"> (v.gr. la STS de 21/07/2016, relativa a un nombramiento en la carrera judicial, que admitió la preferencia femenina </w:t>
      </w:r>
      <w:r w:rsidRPr="0012041A">
        <w:rPr>
          <w:b/>
          <w:bCs/>
          <w:lang w:val="es-ES"/>
        </w:rPr>
        <w:t>solo en igualdad estricta de capacidades</w:t>
      </w:r>
      <w:r w:rsidRPr="0012041A">
        <w:rPr>
          <w:lang w:val="es-ES"/>
        </w:rPr>
        <w:t xml:space="preserve">), mientras que se han invalidado aquellas disposiciones que otorgaban ventajas </w:t>
      </w:r>
      <w:r w:rsidRPr="0012041A">
        <w:rPr>
          <w:b/>
          <w:bCs/>
          <w:lang w:val="es-ES"/>
        </w:rPr>
        <w:t>automáticas</w:t>
      </w:r>
      <w:r w:rsidRPr="0012041A">
        <w:rPr>
          <w:lang w:val="es-ES"/>
        </w:rPr>
        <w:t xml:space="preserve"> o absolutas al sexo infrarrepresentado. En otras palabras, el factor decisivo es </w:t>
      </w:r>
      <w:r w:rsidRPr="0012041A">
        <w:rPr>
          <w:b/>
          <w:bCs/>
          <w:lang w:val="es-ES"/>
        </w:rPr>
        <w:t>cómo</w:t>
      </w:r>
      <w:r w:rsidRPr="0012041A">
        <w:rPr>
          <w:lang w:val="es-ES"/>
        </w:rPr>
        <w:t xml:space="preserve"> se articula la acción positiva: si actúa como un </w:t>
      </w:r>
      <w:r w:rsidRPr="0012041A">
        <w:rPr>
          <w:b/>
          <w:bCs/>
          <w:lang w:val="es-ES"/>
        </w:rPr>
        <w:t>criterio de desempate o prioridad limitada</w:t>
      </w:r>
      <w:r w:rsidRPr="0012041A">
        <w:rPr>
          <w:lang w:val="es-ES"/>
        </w:rPr>
        <w:t xml:space="preserve"> (respetando el mérito individual y con un alcance equilibrado), tiende a considerarse conforme a derecho; por el contrario, una cuota rígida o </w:t>
      </w:r>
      <w:r w:rsidRPr="0012041A">
        <w:rPr>
          <w:b/>
          <w:bCs/>
          <w:lang w:val="es-ES"/>
        </w:rPr>
        <w:t>preferencia automática</w:t>
      </w:r>
      <w:r w:rsidRPr="0012041A">
        <w:rPr>
          <w:lang w:val="es-ES"/>
        </w:rPr>
        <w:t xml:space="preserve"> que ignore diferencias sustanciales de mérito vulnera los principios constitucionales de igualdad, mérito y capacidad. </w:t>
      </w:r>
    </w:p>
    <w:p w14:paraId="35604F45" w14:textId="22618A05" w:rsidR="00D55EEC" w:rsidRDefault="00D55EEC" w:rsidP="0012041A">
      <w:pPr>
        <w:rPr>
          <w:lang w:val="es-ES"/>
        </w:rPr>
      </w:pPr>
      <w:r>
        <w:rPr>
          <w:lang w:val="es-ES"/>
        </w:rPr>
        <w:t xml:space="preserve">La existencia de medidas aprobadas y consensuadas previamente por la institución en la que se aplica es también </w:t>
      </w:r>
      <w:proofErr w:type="gramStart"/>
      <w:r>
        <w:rPr>
          <w:lang w:val="es-ES"/>
        </w:rPr>
        <w:t>un criterio importante a considerar</w:t>
      </w:r>
      <w:proofErr w:type="gramEnd"/>
      <w:r>
        <w:rPr>
          <w:lang w:val="es-ES"/>
        </w:rPr>
        <w:t xml:space="preserve">. </w:t>
      </w:r>
    </w:p>
    <w:p w14:paraId="3598FC00" w14:textId="15209D24" w:rsidR="0012041A" w:rsidRPr="0012041A" w:rsidRDefault="0012041A" w:rsidP="0012041A">
      <w:pPr>
        <w:rPr>
          <w:lang w:val="es-ES"/>
        </w:rPr>
      </w:pPr>
      <w:r w:rsidRPr="0012041A">
        <w:rPr>
          <w:lang w:val="es-ES"/>
        </w:rPr>
        <w:t xml:space="preserve">Por ello, resulta complejo trazar una regla universal: cada medida debe evaluarse en función de sus </w:t>
      </w:r>
      <w:r w:rsidRPr="0012041A">
        <w:rPr>
          <w:b/>
          <w:bCs/>
          <w:lang w:val="es-ES"/>
        </w:rPr>
        <w:t>circunstancias y garantías</w:t>
      </w:r>
      <w:r w:rsidRPr="0012041A">
        <w:rPr>
          <w:lang w:val="es-ES"/>
        </w:rPr>
        <w:t>, debiendo la entidad proponente justificar con datos objetivos la brecha de género a corregir</w:t>
      </w:r>
      <w:r w:rsidR="00D55EEC">
        <w:rPr>
          <w:lang w:val="es-ES"/>
        </w:rPr>
        <w:t xml:space="preserve">, identificar que esa brecha de género es consecuencia de </w:t>
      </w:r>
      <w:r w:rsidR="00D170D4">
        <w:rPr>
          <w:lang w:val="es-ES"/>
        </w:rPr>
        <w:t xml:space="preserve">una discriminación, es decir que se trata de una desigualdad estructural, acordar las medidas a nivel </w:t>
      </w:r>
      <w:proofErr w:type="gramStart"/>
      <w:r w:rsidR="00D170D4">
        <w:rPr>
          <w:lang w:val="es-ES"/>
        </w:rPr>
        <w:t xml:space="preserve">interno, </w:t>
      </w:r>
      <w:r w:rsidRPr="0012041A">
        <w:rPr>
          <w:lang w:val="es-ES"/>
        </w:rPr>
        <w:t xml:space="preserve"> y</w:t>
      </w:r>
      <w:proofErr w:type="gramEnd"/>
      <w:r w:rsidRPr="0012041A">
        <w:rPr>
          <w:lang w:val="es-ES"/>
        </w:rPr>
        <w:t xml:space="preserve"> diseñar la acción de manera </w:t>
      </w:r>
      <w:proofErr w:type="spellStart"/>
      <w:r w:rsidRPr="0012041A">
        <w:rPr>
          <w:b/>
          <w:bCs/>
          <w:lang w:val="es-ES"/>
        </w:rPr>
        <w:t>tecnicamente</w:t>
      </w:r>
      <w:proofErr w:type="spellEnd"/>
      <w:r w:rsidRPr="0012041A">
        <w:rPr>
          <w:b/>
          <w:bCs/>
          <w:lang w:val="es-ES"/>
        </w:rPr>
        <w:t xml:space="preserve"> ajustada</w:t>
      </w:r>
      <w:r w:rsidRPr="0012041A">
        <w:rPr>
          <w:lang w:val="es-ES"/>
        </w:rPr>
        <w:t xml:space="preserve"> a los criterios jurisprudenciales. </w:t>
      </w:r>
    </w:p>
    <w:p w14:paraId="5D5F0558" w14:textId="77777777" w:rsidR="0012041A" w:rsidRPr="0012041A" w:rsidRDefault="0012041A" w:rsidP="0012041A"/>
    <w:p w14:paraId="1149D083" w14:textId="77777777" w:rsidR="003A3011" w:rsidRDefault="00AD2146">
      <w:pPr>
        <w:pStyle w:val="Ttulo2"/>
      </w:pPr>
      <w:bookmarkStart w:id="10" w:name="X0b0255cabd732929d5fda137541918602057074"/>
      <w:bookmarkEnd w:id="6"/>
      <w:bookmarkEnd w:id="9"/>
      <w:r>
        <w:t>Impugnación del comité de empresa contra la aplicación literal de la medida 2.2.1</w:t>
      </w:r>
    </w:p>
    <w:p w14:paraId="57D0FDF1" w14:textId="0F8DB0FC" w:rsidR="003A3011" w:rsidRDefault="00AD2146">
      <w:pPr>
        <w:pStyle w:val="FirstParagraph"/>
      </w:pPr>
      <w:r>
        <w:t xml:space="preserve">En el caso concreto de CCASA, el </w:t>
      </w:r>
      <w:r>
        <w:rPr>
          <w:b/>
          <w:bCs/>
        </w:rPr>
        <w:t>comité de empresa</w:t>
      </w:r>
      <w:r>
        <w:t xml:space="preserve"> ha impugnado la aplicación literal de la medida 2.2.1 en un proceso selectivo reciente. </w:t>
      </w:r>
      <w:r w:rsidR="00242730">
        <w:t>D</w:t>
      </w:r>
      <w:r>
        <w:t xml:space="preserve">icha convocatoria incluyó la medida 2.2.1 como </w:t>
      </w:r>
      <w:r w:rsidRPr="00242730">
        <w:t>criterio automático de adjudicación</w:t>
      </w:r>
      <w:r>
        <w:t xml:space="preserve">: es decir, se estableció que, habiendo candidaturas de ambos sexos, se adjudicaría la vacante a la persona del sexo menos representado (la mujer, en este contexto), </w:t>
      </w:r>
      <w:r>
        <w:rPr>
          <w:i/>
          <w:iCs/>
        </w:rPr>
        <w:t>independientemente de la diferencia de puntuación</w:t>
      </w:r>
      <w:r>
        <w:t xml:space="preserve">. En el proceso impugnado, concurrían un hombre y una mujer, y </w:t>
      </w:r>
      <w:r>
        <w:rPr>
          <w:b/>
          <w:bCs/>
        </w:rPr>
        <w:t xml:space="preserve">existía </w:t>
      </w:r>
      <w:r w:rsidR="00600080">
        <w:rPr>
          <w:b/>
          <w:bCs/>
        </w:rPr>
        <w:t xml:space="preserve">o existe potencialmente, </w:t>
      </w:r>
      <w:r>
        <w:rPr>
          <w:b/>
          <w:bCs/>
        </w:rPr>
        <w:t>una diferencia relevante de puntuación a favor del candidato masculino</w:t>
      </w:r>
      <w:r>
        <w:t>.</w:t>
      </w:r>
    </w:p>
    <w:p w14:paraId="07AAE3EA" w14:textId="44B2410B" w:rsidR="003A3011" w:rsidRDefault="00AD2146">
      <w:pPr>
        <w:pStyle w:val="Textoindependiente"/>
      </w:pPr>
      <w:r>
        <w:t xml:space="preserve">A la luz del análisis jurídico anterior, es </w:t>
      </w:r>
      <w:r>
        <w:rPr>
          <w:b/>
          <w:bCs/>
        </w:rPr>
        <w:t>probable que la impugnación del comité de empresa tenga fundamento jurídico sólido</w:t>
      </w:r>
      <w:r>
        <w:t xml:space="preserve">. Seleccionar a una mujer frente a un hombre notablemente mejor puntuado constituye, prima facie, una discriminación por razón de sexo contraria al art. 14 CE y al art. 17 ET, </w:t>
      </w:r>
      <w:r>
        <w:rPr>
          <w:b/>
          <w:bCs/>
        </w:rPr>
        <w:t>si no concurre la condición esencial de méritos equiparables</w:t>
      </w:r>
      <w:r>
        <w:t xml:space="preserve">. En este caso, por lo descrito, </w:t>
      </w:r>
      <w:r w:rsidR="00CE56F2">
        <w:rPr>
          <w:b/>
          <w:bCs/>
        </w:rPr>
        <w:t>si no hay</w:t>
      </w:r>
      <w:r>
        <w:rPr>
          <w:b/>
          <w:bCs/>
        </w:rPr>
        <w:t xml:space="preserve"> equivalencia sustancial de méritos</w:t>
      </w:r>
      <w:r>
        <w:t xml:space="preserve"> entre las candidaturas</w:t>
      </w:r>
      <w:r w:rsidR="0033003A">
        <w:t xml:space="preserve"> la aplicación automática de la acción ignora</w:t>
      </w:r>
      <w:r>
        <w:t xml:space="preserve"> el principio de mérito y capacidad, situando al candidato masculino en desventaja únicamente por su sexo. Esta práctica encaja en lo que la jurisprudencia denomina </w:t>
      </w:r>
      <w:r>
        <w:rPr>
          <w:i/>
          <w:iCs/>
        </w:rPr>
        <w:t>discriminación inversa no tolerada</w:t>
      </w:r>
      <w:r>
        <w:t xml:space="preserve">, pues falta la proporcionalidad: </w:t>
      </w:r>
      <w:r>
        <w:rPr>
          <w:b/>
          <w:bCs/>
        </w:rPr>
        <w:t>no se puede sacrificar un mérito claramente superior en nombre de la igualdad</w:t>
      </w:r>
      <w:r>
        <w:t>.</w:t>
      </w:r>
      <w:r w:rsidR="0033003A">
        <w:t xml:space="preserve"> El debate aquí está en qué m</w:t>
      </w:r>
      <w:r w:rsidR="00305B33">
        <w:t>é</w:t>
      </w:r>
      <w:r w:rsidR="0033003A">
        <w:t>ritos</w:t>
      </w:r>
      <w:r w:rsidR="00305B33">
        <w:t xml:space="preserve"> se valoran. </w:t>
      </w:r>
    </w:p>
    <w:p w14:paraId="41F647EC" w14:textId="3938F04E" w:rsidR="003A3011" w:rsidRDefault="00AD2146">
      <w:pPr>
        <w:pStyle w:val="Textoindependiente"/>
      </w:pPr>
      <w:r>
        <w:t xml:space="preserve">Además, hay un elemento procedimental importante: el Plan de Igualdad de CCASA </w:t>
      </w:r>
      <w:r>
        <w:rPr>
          <w:b/>
          <w:bCs/>
        </w:rPr>
        <w:t>aún no est</w:t>
      </w:r>
      <w:r w:rsidR="00305B33">
        <w:rPr>
          <w:b/>
          <w:bCs/>
        </w:rPr>
        <w:t>á</w:t>
      </w:r>
      <w:r>
        <w:rPr>
          <w:b/>
          <w:bCs/>
        </w:rPr>
        <w:t xml:space="preserve"> formalmente aprobado</w:t>
      </w:r>
      <w:r>
        <w:t xml:space="preserve"> al momento de la convocatoria. En consecuencia, la medida 2.2.1 </w:t>
      </w:r>
      <w:proofErr w:type="gramStart"/>
      <w:r w:rsidR="00600080">
        <w:t>carece</w:t>
      </w:r>
      <w:r>
        <w:t xml:space="preserve">  de</w:t>
      </w:r>
      <w:proofErr w:type="gramEnd"/>
      <w:r>
        <w:t xml:space="preserve"> vigencia normativa interna, estando todavía en negociación o pendiente de adopción. Aplicarla </w:t>
      </w:r>
      <w:r>
        <w:rPr>
          <w:i/>
          <w:iCs/>
        </w:rPr>
        <w:t>como si estuviera en vigor</w:t>
      </w:r>
      <w:r>
        <w:t xml:space="preserve"> podría suponer una </w:t>
      </w:r>
      <w:r>
        <w:rPr>
          <w:b/>
          <w:bCs/>
        </w:rPr>
        <w:t>irregularidad</w:t>
      </w:r>
      <w:r>
        <w:t>, ya que las bases de un proceso selectivo solo deben regirse por normas efectivamente vigentes y publicadas. El comité podría alegar también esta cuestión formal: la medida no consensuada ni aprobada no podía utilizarse para adjudicar un puesto, máxime cuando altera criterios de selección.</w:t>
      </w:r>
    </w:p>
    <w:p w14:paraId="20320041" w14:textId="70DECFE3" w:rsidR="003A3011" w:rsidRDefault="00AD2146">
      <w:pPr>
        <w:pStyle w:val="Textoindependiente"/>
      </w:pPr>
      <w:r>
        <w:t xml:space="preserve">Es relevante subrayar que incluso si el Plan hubiera estado ya aprobado, </w:t>
      </w:r>
      <w:r>
        <w:rPr>
          <w:b/>
          <w:bCs/>
        </w:rPr>
        <w:t xml:space="preserve">la forma literal en que se aplicó la medida 2.2.1 </w:t>
      </w:r>
      <w:r w:rsidR="00F471A6">
        <w:rPr>
          <w:b/>
          <w:bCs/>
        </w:rPr>
        <w:t>podría contravenir</w:t>
      </w:r>
      <w:r>
        <w:rPr>
          <w:b/>
          <w:bCs/>
        </w:rPr>
        <w:t xml:space="preserve"> la interpretación conforme a Derecho</w:t>
      </w:r>
      <w:r>
        <w:t xml:space="preserve"> que exige introducir condiciones (igualdad de mérito) a la preferencia. La medida, tal como se utilizó (preferencia automática al sexo infrarrepresentado sin más), es prácticamente </w:t>
      </w:r>
      <w:r>
        <w:rPr>
          <w:b/>
          <w:bCs/>
        </w:rPr>
        <w:t>idéntica a la que el TJUE y el TS han censurado</w:t>
      </w:r>
      <w:r>
        <w:t xml:space="preserve"> en casos previos: una preferencia </w:t>
      </w:r>
      <w:r>
        <w:rPr>
          <w:b/>
          <w:bCs/>
        </w:rPr>
        <w:t>absoluta e incondicional</w:t>
      </w:r>
      <w:r>
        <w:t xml:space="preserve"> a favor de las mujeres, que no admite consideración del caso individual ni de la diferencia de méritos. En la terminología de la jurisprudencia europea, le faltaría la “cláusula de salvaguardia” que permita no aplicar la preferencia cuando el candidato del otro sexo esté mejor cualificado. Al carecer de tal salvaguarda, la medida 2.2.1, en su aplicación literal, deviene ilegal.</w:t>
      </w:r>
    </w:p>
    <w:p w14:paraId="39407716" w14:textId="1461956A" w:rsidR="003A3011" w:rsidRDefault="00AD2146">
      <w:pPr>
        <w:pStyle w:val="Textoindependiente"/>
      </w:pPr>
      <w:r>
        <w:t xml:space="preserve">Por todo ello, jurídicamente </w:t>
      </w:r>
      <w:r>
        <w:rPr>
          <w:b/>
          <w:bCs/>
        </w:rPr>
        <w:t xml:space="preserve">procede </w:t>
      </w:r>
      <w:r w:rsidR="00F471A6">
        <w:rPr>
          <w:b/>
          <w:bCs/>
        </w:rPr>
        <w:t>considerar</w:t>
      </w:r>
      <w:r>
        <w:rPr>
          <w:b/>
          <w:bCs/>
        </w:rPr>
        <w:t xml:space="preserve"> la impugnación</w:t>
      </w:r>
      <w:r>
        <w:t xml:space="preserve">. Es muy importante recalcar que </w:t>
      </w:r>
      <w:r>
        <w:rPr>
          <w:b/>
          <w:bCs/>
        </w:rPr>
        <w:t>la acción positiva no queda invalidada en sí misma</w:t>
      </w:r>
      <w:r>
        <w:t xml:space="preserve">, pero debe reconfigurarse su forma de aplicación. </w:t>
      </w:r>
      <w:r w:rsidR="00F471A6">
        <w:t>CCASA</w:t>
      </w:r>
      <w:r>
        <w:t xml:space="preserve"> podría todavía adjudicar la plaza a una mujer </w:t>
      </w:r>
      <w:r>
        <w:rPr>
          <w:b/>
          <w:bCs/>
        </w:rPr>
        <w:t>solo si consigue justificar que la diferencia de mérito no era significativa</w:t>
      </w:r>
      <w:r>
        <w:t xml:space="preserve"> o que ambas candidaturas estaban en un </w:t>
      </w:r>
      <w:r>
        <w:rPr>
          <w:i/>
          <w:iCs/>
        </w:rPr>
        <w:t>mismo tramo de excelencia</w:t>
      </w:r>
      <w:r>
        <w:t xml:space="preserve">, pero los datos señalan lo contrario (se habla expresamente de “diferencia relevante de puntuación”). </w:t>
      </w:r>
    </w:p>
    <w:p w14:paraId="792546AE" w14:textId="77777777" w:rsidR="003A3011" w:rsidRDefault="00AD2146">
      <w:pPr>
        <w:pStyle w:val="Ttulo2"/>
      </w:pPr>
      <w:bookmarkStart w:id="11" w:name="Xc1cb5293eed9d66572fa80a0eb3a707dc24c2b2"/>
      <w:bookmarkEnd w:id="10"/>
      <w:r>
        <w:t>Situación actual en CCASA: Plan de Igualdad y propuesta alternativa del comité</w:t>
      </w:r>
    </w:p>
    <w:p w14:paraId="26156A30" w14:textId="77777777" w:rsidR="003A3011" w:rsidRDefault="00AD2146">
      <w:pPr>
        <w:pStyle w:val="FirstParagraph"/>
      </w:pPr>
      <w:r>
        <w:t>A fecha de hoy, la situación en CCASA relacionada con esta medida es la siguiente:</w:t>
      </w:r>
    </w:p>
    <w:p w14:paraId="1E977959" w14:textId="7B547B3D" w:rsidR="003A3011" w:rsidRDefault="00AD2146">
      <w:pPr>
        <w:numPr>
          <w:ilvl w:val="0"/>
          <w:numId w:val="4"/>
        </w:numPr>
      </w:pPr>
      <w:r>
        <w:rPr>
          <w:b/>
          <w:bCs/>
        </w:rPr>
        <w:t>Plan de Igualdad no aprobado:</w:t>
      </w:r>
      <w:r>
        <w:t xml:space="preserve"> El Plan de Igualdad de CCASA (que contiene la medida 2.2.1) aún no ha sido formalmente aprobado ni registrado. Se encuentra en fase de negociación</w:t>
      </w:r>
      <w:r w:rsidR="00825521">
        <w:t xml:space="preserve">, </w:t>
      </w:r>
      <w:r>
        <w:t>pendiente de ratificación por las partes, por lo que sus medidas no tienen plena eficacia jurídica interna todavía.</w:t>
      </w:r>
    </w:p>
    <w:p w14:paraId="341710DE" w14:textId="7308C1D4" w:rsidR="003A3011" w:rsidRDefault="00AD2146">
      <w:pPr>
        <w:numPr>
          <w:ilvl w:val="0"/>
          <w:numId w:val="4"/>
        </w:numPr>
      </w:pPr>
      <w:r>
        <w:rPr>
          <w:b/>
          <w:bCs/>
        </w:rPr>
        <w:t>Proceso selectivo paralizado:</w:t>
      </w:r>
      <w:r>
        <w:t xml:space="preserve"> El proceso selectivo en el que se aplicó la preferencia de la medida 2.2.1 se ha paralizado como consecuencia de la impugnación. La adjudicación de la vacante quedó en suspenso hasta resolver el conflicto. En la práctica, la plaza no ha sido cubierta y permanece vacante a la espera de una solución consensuada.</w:t>
      </w:r>
    </w:p>
    <w:p w14:paraId="73EEDDB3" w14:textId="76A8FEBA" w:rsidR="003A3011" w:rsidRDefault="00AD2146">
      <w:pPr>
        <w:numPr>
          <w:ilvl w:val="0"/>
          <w:numId w:val="4"/>
        </w:numPr>
      </w:pPr>
      <w:r>
        <w:rPr>
          <w:b/>
          <w:bCs/>
        </w:rPr>
        <w:t>Impugnación en curso:</w:t>
      </w:r>
      <w:r>
        <w:t xml:space="preserve"> El comité de empresa ha presentado una impugnación formal (presumiblemente ante la propia </w:t>
      </w:r>
      <w:proofErr w:type="gramStart"/>
      <w:r>
        <w:t xml:space="preserve">empresa </w:t>
      </w:r>
      <w:r w:rsidR="00825521">
        <w:t>)</w:t>
      </w:r>
      <w:proofErr w:type="gramEnd"/>
      <w:r w:rsidR="00825521">
        <w:t xml:space="preserve"> </w:t>
      </w:r>
      <w:r>
        <w:rPr>
          <w:b/>
          <w:bCs/>
        </w:rPr>
        <w:t>contra la aplicación literal de la medida 2.2.1</w:t>
      </w:r>
      <w:r>
        <w:t xml:space="preserve"> en dicho proceso. Esta impugnación sostiene que el criterio de selección empleado fue contrario a derecho y pide su anulación.</w:t>
      </w:r>
    </w:p>
    <w:p w14:paraId="2DBC200D" w14:textId="77777777" w:rsidR="003A3011" w:rsidRDefault="00AD2146">
      <w:pPr>
        <w:numPr>
          <w:ilvl w:val="0"/>
          <w:numId w:val="4"/>
        </w:numPr>
      </w:pPr>
      <w:r>
        <w:rPr>
          <w:b/>
          <w:bCs/>
        </w:rPr>
        <w:t>Propuesta alternativa del comité:</w:t>
      </w:r>
      <w:r>
        <w:t xml:space="preserve"> Como vía de solución, el comité de empresa ha planteado </w:t>
      </w:r>
      <w:r>
        <w:rPr>
          <w:b/>
          <w:bCs/>
        </w:rPr>
        <w:t>una propuesta alternativa</w:t>
      </w:r>
      <w:r>
        <w:t xml:space="preserve"> para implementar la acción positiva de forma más ajustada a legalidad. En concreto, el comité sugiere que </w:t>
      </w:r>
      <w:r>
        <w:rPr>
          <w:b/>
          <w:bCs/>
        </w:rPr>
        <w:t xml:space="preserve">solo se otorgue automáticamente la plaza a la mujer cuando las dos candidaturas (masculina y femenina) se hallen dentro de un mismo </w:t>
      </w:r>
      <w:r>
        <w:rPr>
          <w:b/>
          <w:bCs/>
          <w:i/>
          <w:iCs/>
        </w:rPr>
        <w:t>tramo de puntuación</w:t>
      </w:r>
      <w:r>
        <w:t>. Es decir, definir rangos de puntuación (por ejemplo, de 10 en 10 puntos) de modo que, si ambos candidatos caen dentro del mismo intervalo, puedan considerarse de mérito equiparable y entonces sí aplicar la preferencia por la mujer. En el ejemplo dado, si una candidata obtiene 85 puntos y un candidato 78, ambos estarían en el “tramo de los 80” (70–80 o 80–90 según cómo se definan), permitiendo desempatar a favor de ella; mientras que si el hombre tiene 95 y la mujer 80 (tramos muy distintos), no se aplicaría la preferencia automática. El comité propone negociar la amplitud de estos tramos para asegurar que realmente reflejen casos de equivalencia sustancial de méritos.</w:t>
      </w:r>
    </w:p>
    <w:p w14:paraId="25266EA9" w14:textId="2E7B6671" w:rsidR="003A3011" w:rsidRDefault="00AD2146">
      <w:pPr>
        <w:pStyle w:val="FirstParagraph"/>
      </w:pPr>
      <w:r>
        <w:t xml:space="preserve">La paralización del proceso selectivo y la falta de aprobación del Plan ofrecen la oportunidad de </w:t>
      </w:r>
      <w:r>
        <w:rPr>
          <w:b/>
          <w:bCs/>
        </w:rPr>
        <w:t>reformular la medida 2.2.1</w:t>
      </w:r>
      <w:r>
        <w:t xml:space="preserve"> antes de su implementación definitiva, evitando futuros conflictos.</w:t>
      </w:r>
    </w:p>
    <w:p w14:paraId="4E701E5D" w14:textId="1B06BC1C" w:rsidR="003A3011" w:rsidRDefault="00AD2146">
      <w:pPr>
        <w:pStyle w:val="Ttulo2"/>
      </w:pPr>
      <w:bookmarkStart w:id="12" w:name="recomendaciones-jurídicas"/>
      <w:bookmarkEnd w:id="11"/>
      <w:r>
        <w:t xml:space="preserve">Recomendaciones </w:t>
      </w:r>
    </w:p>
    <w:p w14:paraId="3E49AEE0" w14:textId="62B9FBF6" w:rsidR="003A3011" w:rsidRDefault="00AD2146">
      <w:pPr>
        <w:pStyle w:val="FirstParagraph"/>
      </w:pPr>
      <w:r>
        <w:t xml:space="preserve">En virtud de todo lo anterior, se </w:t>
      </w:r>
      <w:r w:rsidR="00196EDC">
        <w:t xml:space="preserve">las </w:t>
      </w:r>
      <w:r w:rsidR="00D170D4">
        <w:t>opciones</w:t>
      </w:r>
      <w:r w:rsidR="00196EDC">
        <w:t xml:space="preserve"> son las siguientes</w:t>
      </w:r>
      <w:r>
        <w:t xml:space="preserve">, con el fin de garantizar la igualdad efectiva de mujeres y hombres </w:t>
      </w:r>
      <w:r w:rsidRPr="0086396F">
        <w:t>dentro del marco legal</w:t>
      </w:r>
      <w:r>
        <w:t>, evitando prácticas discriminatorias y dotando de seguridad jurídica al Plan de Igualdad:</w:t>
      </w:r>
    </w:p>
    <w:p w14:paraId="2BC6A017" w14:textId="21BB6A26" w:rsidR="003A3011" w:rsidRDefault="00AD2146">
      <w:pPr>
        <w:numPr>
          <w:ilvl w:val="0"/>
          <w:numId w:val="5"/>
        </w:numPr>
      </w:pPr>
      <w:r>
        <w:rPr>
          <w:b/>
          <w:bCs/>
        </w:rPr>
        <w:t>Adoptar la propuesta del comité con tramos de puntuación equivalentes, con la debida cautela:</w:t>
      </w:r>
      <w:r>
        <w:t xml:space="preserve"> La sugerencia del comité de establecer </w:t>
      </w:r>
      <w:r>
        <w:rPr>
          <w:b/>
          <w:bCs/>
        </w:rPr>
        <w:t>tramos de puntuación</w:t>
      </w:r>
      <w:r>
        <w:t xml:space="preserve"> para definir cuándo dos candidaturas pueden considerarse de méritos equivalentes es una </w:t>
      </w:r>
      <w:r>
        <w:rPr>
          <w:b/>
          <w:bCs/>
        </w:rPr>
        <w:t>opción jurídicamente viable</w:t>
      </w:r>
      <w:r>
        <w:t xml:space="preserve">, siempre que dichos tramos se calibren razonablemente. Incluir en la norma interna que la preferencia por la candidatura femenina </w:t>
      </w:r>
      <w:r>
        <w:rPr>
          <w:i/>
          <w:iCs/>
        </w:rPr>
        <w:t>solo</w:t>
      </w:r>
      <w:r>
        <w:t xml:space="preserve"> operará cuando la diferencia de puntuación entre el hombre y la mujer no exceda cierto umbral (p. ej. </w:t>
      </w:r>
      <w:r w:rsidR="00196EDC">
        <w:t>10</w:t>
      </w:r>
      <w:r>
        <w:t xml:space="preserve">% de la puntuación total, o 10 puntos sobre 100, etc.) introduce el elemento de proporcionalidad necesario. De este modo, se </w:t>
      </w:r>
      <w:r>
        <w:rPr>
          <w:b/>
          <w:bCs/>
        </w:rPr>
        <w:t>garantiza que no se desplace a un candidato claramente más calificado</w:t>
      </w:r>
      <w:r>
        <w:t xml:space="preserve">. Se recomienda negociar y definir objetivamente esos intervalos o margen de diferencia permitido, apoyándose en criterios técnicos (por ejemplo, error estadístico de evaluación, baremos cualitativos, etc.) que sustenten que dentro de ese margen las candidaturas son equiparables. Esta medida convertiría la acción positiva en un </w:t>
      </w:r>
      <w:r>
        <w:rPr>
          <w:b/>
          <w:bCs/>
        </w:rPr>
        <w:t>auténtico mecanismo de desempate</w:t>
      </w:r>
      <w:r>
        <w:t>, acorde con la jurisprudencia, y no en un automatismo. En la implementación práctica, ante una diferencia de puntuación mayor al tramo acordado, deberá respetarse estrictamente el orden de prelación por mérito, sin excepción de género.</w:t>
      </w:r>
    </w:p>
    <w:p w14:paraId="7DF86E97" w14:textId="789F2704" w:rsidR="003A3011" w:rsidRDefault="00AD2146">
      <w:pPr>
        <w:numPr>
          <w:ilvl w:val="0"/>
          <w:numId w:val="5"/>
        </w:numPr>
      </w:pPr>
      <w:r>
        <w:rPr>
          <w:b/>
          <w:bCs/>
        </w:rPr>
        <w:t>Inspirarse en el precedente UAM: medidas estructurales y correctores proporcionales en lugar de automatismos finales:</w:t>
      </w:r>
      <w:r>
        <w:t xml:space="preserve"> En vez de utilizar la preferencia de género en la </w:t>
      </w:r>
      <w:r>
        <w:rPr>
          <w:b/>
          <w:bCs/>
        </w:rPr>
        <w:t>última fase</w:t>
      </w:r>
      <w:r>
        <w:t xml:space="preserve"> de adjudicación (lo que genera tensión directa con el mérito individual), CCASA podría optar por </w:t>
      </w:r>
      <w:r>
        <w:rPr>
          <w:b/>
          <w:bCs/>
        </w:rPr>
        <w:t>medidas de acción positiva en fases previas o de manera estructural</w:t>
      </w:r>
      <w:r>
        <w:t xml:space="preserve">. Por ejemplo, </w:t>
      </w:r>
      <w:r>
        <w:rPr>
          <w:b/>
          <w:bCs/>
        </w:rPr>
        <w:t>priorizar la creación o convocatoria de puestos de responsabilidad en aquellas áreas o departamentos donde las mujeres estén más infrarrepresentadas</w:t>
      </w:r>
      <w:r>
        <w:t xml:space="preserve">. Si CCASA tiene flexibilidad para decidir qué vacantes o ascensos activar primero, podría dar preferencia a abrir posiciones en unidades con menor presencia femenina, ayudando a corregir el desequilibrio sin forzar la elección individual. Otra alternativa es introducir </w:t>
      </w:r>
      <w:r>
        <w:rPr>
          <w:b/>
          <w:bCs/>
        </w:rPr>
        <w:t>factores de corrección proporcionales en la valoración</w:t>
      </w:r>
      <w:r>
        <w:t xml:space="preserve">: por ejemplo, adicionar una pequeña puntuación extra (razonable) a candidatas mujeres en ámbitos donde el porcentaje de mujeres sea muy bajo, siguiendo un esquema similar al de la UAM (mayor infrarrepresentación -&gt; mayor factor corrector, pero moderado). Este plus sería </w:t>
      </w:r>
      <w:r>
        <w:rPr>
          <w:b/>
          <w:bCs/>
        </w:rPr>
        <w:t>relativo y justificado</w:t>
      </w:r>
      <w:r>
        <w:t xml:space="preserve"> por la necesidad de alcanzar el 40%, y </w:t>
      </w:r>
      <w:r>
        <w:rPr>
          <w:b/>
          <w:bCs/>
        </w:rPr>
        <w:t>nunca tan alto que suponga eclipsar diferencias importantes de competencia</w:t>
      </w:r>
      <w:r>
        <w:t xml:space="preserve">. Se trataría de un incentivo que podría inclinar la balanza solo en casos disputados, pero no otorgar la plaza a alguien no apto. Cualquier sistema de puntos debe ser calibrado para respetar la proporcionalidad: por ejemplo, 0.5 puntos sobre 100 por cada 10% por debajo del equilibrio podría ser una referencia, u otras fórmulas técnicas. La clave es que el corrector </w:t>
      </w:r>
      <w:r>
        <w:rPr>
          <w:b/>
          <w:bCs/>
        </w:rPr>
        <w:t>no esté “desligado de los méritos personales” ni sea excesivo</w:t>
      </w:r>
      <w:r>
        <w:t xml:space="preserve">, siguiendo la advertencia del TS. CCASA también puede reforzar acciones positivas </w:t>
      </w:r>
      <w:r>
        <w:rPr>
          <w:b/>
          <w:bCs/>
        </w:rPr>
        <w:t>en el punto de partida</w:t>
      </w:r>
      <w:r>
        <w:t xml:space="preserve">: programas </w:t>
      </w:r>
      <w:r w:rsidR="000C3FDC">
        <w:t xml:space="preserve">de formación que luego sean requisito y que CCASA solo financie o imparta a mujeres (o en general ir dotando a las mujeres del currículo que luego se vaya a exigir. </w:t>
      </w:r>
      <w:r>
        <w:t xml:space="preserve"> Estas acciones no generan controversia legal y abordan la raíz de la infrarrepresentación.</w:t>
      </w:r>
    </w:p>
    <w:p w14:paraId="3EB787B3" w14:textId="77777777" w:rsidR="003A3011" w:rsidRDefault="00AD2146">
      <w:pPr>
        <w:numPr>
          <w:ilvl w:val="0"/>
          <w:numId w:val="5"/>
        </w:numPr>
      </w:pPr>
      <w:r>
        <w:rPr>
          <w:b/>
          <w:bCs/>
        </w:rPr>
        <w:t>Reformular la medida 2.2.1 para eliminar automatismos contrarios a derecho:</w:t>
      </w:r>
      <w:r>
        <w:t xml:space="preserve"> Es fundamental </w:t>
      </w:r>
      <w:r>
        <w:rPr>
          <w:b/>
          <w:bCs/>
        </w:rPr>
        <w:t>redactar de nuevo la medida 2.2.1</w:t>
      </w:r>
      <w:r>
        <w:t xml:space="preserve"> del Plan de Igualdad, precisando los condicionantes y evitando términos absolutos. La redacción actual (“...seleccionando al sexo menos representado...”) debe matizarse. Se propone una </w:t>
      </w:r>
      <w:r>
        <w:rPr>
          <w:b/>
          <w:bCs/>
        </w:rPr>
        <w:t>redacción alternativa</w:t>
      </w:r>
      <w:r>
        <w:t xml:space="preserve"> como:</w:t>
      </w:r>
    </w:p>
    <w:p w14:paraId="21DDA6C9" w14:textId="77777777" w:rsidR="003A3011" w:rsidRDefault="00AD2146">
      <w:pPr>
        <w:pStyle w:val="FirstParagraph"/>
      </w:pPr>
      <w:r>
        <w:rPr>
          <w:i/>
          <w:iCs/>
        </w:rPr>
        <w:t>“En las nuevas vacantes de puestos de responsabilidad, y con el objetivo de alcanzar al menos un 40% de presencia de mujeres y hombres en todos los niveles de CCASA, se adoptarán</w:t>
      </w:r>
      <w:r>
        <w:t xml:space="preserve"> </w:t>
      </w:r>
      <w:r>
        <w:rPr>
          <w:i/>
          <w:iCs/>
        </w:rPr>
        <w:t>medidas de acción positiva</w:t>
      </w:r>
      <w:r>
        <w:t xml:space="preserve"> </w:t>
      </w:r>
      <w:r>
        <w:rPr>
          <w:i/>
          <w:iCs/>
        </w:rPr>
        <w:t>que favorezcan al sexo infrarrepresentado. En particular,</w:t>
      </w:r>
      <w:r>
        <w:t xml:space="preserve"> </w:t>
      </w:r>
      <w:r>
        <w:rPr>
          <w:i/>
          <w:iCs/>
        </w:rPr>
        <w:t>cuando dos personas candidatas de distinto sexo acrediten méritos y competencias de nivel equivalente, se otorgará preferencia en la selección a la candidatura del sexo menos representado en el nivel correspondiente. Estas medidas se aplicarán</w:t>
      </w:r>
      <w:r>
        <w:t xml:space="preserve"> </w:t>
      </w:r>
      <w:r>
        <w:rPr>
          <w:i/>
          <w:iCs/>
        </w:rPr>
        <w:t>mientras subsista</w:t>
      </w:r>
      <w:r>
        <w:t xml:space="preserve"> </w:t>
      </w:r>
      <w:r>
        <w:rPr>
          <w:i/>
          <w:iCs/>
        </w:rPr>
        <w:t>la infrarrepresentación y</w:t>
      </w:r>
      <w:r>
        <w:t xml:space="preserve"> </w:t>
      </w:r>
      <w:r>
        <w:rPr>
          <w:i/>
          <w:iCs/>
        </w:rPr>
        <w:t>se llevarán a cabo de forma proporcionada, de modo que en ningún caso impliquen la contratación o promoción de una persona con méritos sustancialmente inferiores a otra.</w:t>
      </w:r>
      <w:r>
        <w:t>”</w:t>
      </w:r>
    </w:p>
    <w:p w14:paraId="4F542ECE" w14:textId="777138CD" w:rsidR="003A3011" w:rsidRDefault="00AD2146">
      <w:pPr>
        <w:pStyle w:val="Textoindependiente"/>
      </w:pPr>
      <w:r>
        <w:t xml:space="preserve">Con esta formulación, la medida 2.2.1 cumpliría con el </w:t>
      </w:r>
      <w:r>
        <w:rPr>
          <w:b/>
          <w:bCs/>
        </w:rPr>
        <w:t>mandato del art. 11 LOI</w:t>
      </w:r>
      <w:r>
        <w:t xml:space="preserve"> (acciones positivas temporales para alcanzar igualdad real) pero a la vez acata los límites jurisprudenciales: se condiciona expresamente a igualdad de méritos, se menciona la proporcionalidad y se evita cualquier impresión de preferencia automática por razón de sexo. Adicionalmente, podría añadirse en la medida alguna de las acciones estructurales sugeridas (por ejemplo, “</w:t>
      </w:r>
      <w:r>
        <w:rPr>
          <w:b/>
          <w:bCs/>
        </w:rPr>
        <w:t>…Asimismo, se priorizará, en igualdad de condiciones objetivas, la convocatoria de vacantes</w:t>
      </w:r>
      <w:r w:rsidR="000C3FDC">
        <w:rPr>
          <w:b/>
          <w:bCs/>
        </w:rPr>
        <w:t xml:space="preserve"> o la creación de puestos</w:t>
      </w:r>
      <w:r>
        <w:rPr>
          <w:b/>
          <w:bCs/>
        </w:rPr>
        <w:t xml:space="preserve"> en aquellas áreas o departamentos en que uno de los sexos se halle por debajo del 40%, hasta alcanzar la composición equilibrada</w:t>
      </w:r>
      <w:r>
        <w:t>”). De ese modo, el compromiso con la paridad se puede cumplir a través de múltiples vías lícitas (desempates, priorización de vacantes, incentivos a candidaturas), y no únicamente mediante la decisión final de cada concurso.</w:t>
      </w:r>
    </w:p>
    <w:p w14:paraId="6B94811B" w14:textId="791DF79D" w:rsidR="003A3011" w:rsidRDefault="00B404AE">
      <w:pPr>
        <w:pStyle w:val="Compact"/>
        <w:numPr>
          <w:ilvl w:val="0"/>
          <w:numId w:val="6"/>
        </w:numPr>
      </w:pPr>
      <w:r>
        <w:rPr>
          <w:b/>
          <w:bCs/>
        </w:rPr>
        <w:t>Evaluación de impacto de género f</w:t>
      </w:r>
      <w:r w:rsidR="00AD2146">
        <w:rPr>
          <w:b/>
          <w:bCs/>
        </w:rPr>
        <w:t>ormación y transparencia en los procesos:</w:t>
      </w:r>
      <w:r w:rsidR="00AD2146">
        <w:t xml:space="preserve"> Como recomendación complementaria, </w:t>
      </w:r>
      <w:r w:rsidR="00A01B70">
        <w:t xml:space="preserve">la elaboración de informe de Impacto de género puede actuar como un justificante </w:t>
      </w:r>
      <w:r>
        <w:t>legal de la necesidad de aplicar medidas. Igualmente</w:t>
      </w:r>
      <w:r w:rsidR="0086396F">
        <w:t xml:space="preserve"> </w:t>
      </w:r>
      <w:r w:rsidR="00AD2146">
        <w:t>CCASA debería asegurar que los</w:t>
      </w:r>
      <w:r w:rsidR="0086396F">
        <w:t xml:space="preserve"> y las</w:t>
      </w:r>
      <w:r w:rsidR="00AD2146">
        <w:t xml:space="preserve"> responsables de selección tengan </w:t>
      </w:r>
      <w:r w:rsidR="00AD2146">
        <w:rPr>
          <w:b/>
          <w:bCs/>
        </w:rPr>
        <w:t>claras las reglas actualizadas</w:t>
      </w:r>
      <w:r w:rsidR="00AD2146">
        <w:t xml:space="preserve"> </w:t>
      </w:r>
      <w:r w:rsidR="00814CC5">
        <w:t>a través de ese informe y de las reuniones de</w:t>
      </w:r>
      <w:r w:rsidR="00FD2186">
        <w:t xml:space="preserve">l grupo de trabajo, previsto en la acción </w:t>
      </w:r>
      <w:proofErr w:type="gramStart"/>
      <w:r w:rsidR="00FD2186">
        <w:t>2.3</w:t>
      </w:r>
      <w:r w:rsidR="005600BC">
        <w:t>.2</w:t>
      </w:r>
      <w:r w:rsidR="00814CC5">
        <w:t xml:space="preserve"> </w:t>
      </w:r>
      <w:r w:rsidR="00AD2146">
        <w:t>.</w:t>
      </w:r>
      <w:proofErr w:type="gramEnd"/>
      <w:r w:rsidR="00AD2146">
        <w:t xml:space="preserve"> Cualquier aplicación de la acción positiva ha de quedar </w:t>
      </w:r>
      <w:r w:rsidR="00AD2146">
        <w:rPr>
          <w:b/>
          <w:bCs/>
        </w:rPr>
        <w:t>motivada por escrito</w:t>
      </w:r>
      <w:r w:rsidR="00AD2146">
        <w:t xml:space="preserve"> en el acta del proceso selectivo, dejando constancia de que se daban las condiciones (p.ej., empate técnico) para activarla. La transparencia en la motivación protegerá a la empresa frente a impugnaciones, mostrando que el criterio se aplicó con respeto a la legalidad y no de forma arbitraria o discriminatoria.</w:t>
      </w:r>
    </w:p>
    <w:p w14:paraId="3B29D4B5" w14:textId="0FCBE2AC" w:rsidR="003A3011" w:rsidRDefault="00AD2146">
      <w:pPr>
        <w:pStyle w:val="FirstParagraph"/>
      </w:pPr>
      <w:r>
        <w:t xml:space="preserve">En conclusión, </w:t>
      </w:r>
      <w:r>
        <w:rPr>
          <w:b/>
          <w:bCs/>
        </w:rPr>
        <w:t>sí es posible avanzar hacia la meta del 40% de mujeres en todos los niveles de responsabilidad de CCASA dentro del marco jurídico español</w:t>
      </w:r>
      <w:r w:rsidR="00457E43">
        <w:rPr>
          <w:b/>
          <w:bCs/>
        </w:rPr>
        <w:t xml:space="preserve"> y vasco</w:t>
      </w:r>
      <w:r>
        <w:t xml:space="preserve">, pero </w:t>
      </w:r>
      <w:r w:rsidR="00FA2984">
        <w:rPr>
          <w:b/>
          <w:bCs/>
        </w:rPr>
        <w:t xml:space="preserve">cuidando el procedimiento, de ahí que se </w:t>
      </w:r>
      <w:r w:rsidR="00457E43">
        <w:rPr>
          <w:b/>
          <w:bCs/>
        </w:rPr>
        <w:t>propusiera</w:t>
      </w:r>
      <w:r w:rsidR="00FA2984">
        <w:rPr>
          <w:b/>
          <w:bCs/>
        </w:rPr>
        <w:t xml:space="preserve"> en el Plan de Igualdad la creación de una Comisión previa a la realización de procesos de acceso y promoción. </w:t>
      </w:r>
      <w:r w:rsidR="00FA2984" w:rsidRPr="00FA2984">
        <w:t>Actualmente</w:t>
      </w:r>
      <w:r w:rsidR="00FA2984">
        <w:rPr>
          <w:b/>
          <w:bCs/>
        </w:rPr>
        <w:t>,</w:t>
      </w:r>
      <w:r>
        <w:t xml:space="preserve"> La recomendación es ajustar la medida 2.2.1 para que funcione como una acción positiva </w:t>
      </w:r>
      <w:r>
        <w:rPr>
          <w:b/>
          <w:bCs/>
        </w:rPr>
        <w:t>respetuosa del mérito</w:t>
      </w:r>
      <w:r>
        <w:t>, aplicable solo en supuestos de igualdad sustancial, complementándola con otras estrategias proactivas menos controvertidas</w:t>
      </w:r>
      <w:r w:rsidR="00FA2984">
        <w:t>, incluyendo un análisis de méritos previos</w:t>
      </w:r>
      <w:r>
        <w:t xml:space="preserve">. Implementando la propuesta del comité (preferencia condicionada a tramos de puntuación) u otras similares inspiradas en la jurisprudencia (caso UAM), CCASA podrá promover a las mujeres en puestos directivos </w:t>
      </w:r>
      <w:r>
        <w:rPr>
          <w:b/>
          <w:bCs/>
        </w:rPr>
        <w:t>de forma eficaz y segura</w:t>
      </w:r>
      <w:r>
        <w:t xml:space="preserve">. De esta forma, el Plan de Igualdad cumplirá su finalidad legítima </w:t>
      </w:r>
      <w:r>
        <w:rPr>
          <w:b/>
          <w:bCs/>
        </w:rPr>
        <w:t xml:space="preserve">sin incurrir en </w:t>
      </w:r>
      <w:r w:rsidR="0012041A">
        <w:rPr>
          <w:b/>
          <w:bCs/>
        </w:rPr>
        <w:t>problemas</w:t>
      </w:r>
      <w:r>
        <w:rPr>
          <w:b/>
          <w:bCs/>
        </w:rPr>
        <w:t xml:space="preserve"> de legalidad</w:t>
      </w:r>
      <w:r>
        <w:t>, convirtiéndose en una herramienta efectiva para corregir la infrarrepresentación femenina conforme a la Constitución y la ley.</w:t>
      </w:r>
    </w:p>
    <w:bookmarkEnd w:id="1"/>
    <w:bookmarkEnd w:id="2"/>
    <w:bookmarkEnd w:id="12"/>
    <w:p w14:paraId="66769EDC" w14:textId="3DA3F153" w:rsidR="003A3011" w:rsidRDefault="003A3011"/>
    <w:p w14:paraId="0FF10094" w14:textId="77777777" w:rsidR="00AC7FED" w:rsidRPr="00E6052F" w:rsidRDefault="00AC7FED" w:rsidP="00AC7FED">
      <w:pPr>
        <w:spacing w:line="276" w:lineRule="auto"/>
      </w:pPr>
      <w:bookmarkStart w:id="13" w:name="citations"/>
      <w:r w:rsidRPr="00E6052F">
        <w:rPr>
          <w:b/>
          <w:bCs/>
        </w:rPr>
        <w:t>Fuentes consultadas:</w:t>
      </w:r>
    </w:p>
    <w:p w14:paraId="2BAFF420" w14:textId="77777777" w:rsidR="00AC7FED" w:rsidRPr="00E6052F" w:rsidRDefault="00AC7FED" w:rsidP="00AC7FED">
      <w:pPr>
        <w:numPr>
          <w:ilvl w:val="0"/>
          <w:numId w:val="7"/>
        </w:numPr>
        <w:spacing w:line="276" w:lineRule="auto"/>
      </w:pPr>
      <w:r w:rsidRPr="00E6052F">
        <w:t>Constitución Española (arts. 1.1, 9.2, 14, 23.2).</w:t>
      </w:r>
    </w:p>
    <w:p w14:paraId="1835389C" w14:textId="77777777" w:rsidR="00AC7FED" w:rsidRPr="00E6052F" w:rsidRDefault="00AC7FED" w:rsidP="00AC7FED">
      <w:pPr>
        <w:numPr>
          <w:ilvl w:val="0"/>
          <w:numId w:val="7"/>
        </w:numPr>
        <w:spacing w:line="276" w:lineRule="auto"/>
      </w:pPr>
      <w:r w:rsidRPr="00E6052F">
        <w:t>Estatuto de los Trabajadores, art. 17.4 (redacción dada por RDL 6/2019).</w:t>
      </w:r>
    </w:p>
    <w:p w14:paraId="4CC96900" w14:textId="77777777" w:rsidR="00AC7FED" w:rsidRPr="00E6052F" w:rsidRDefault="00AC7FED" w:rsidP="00AC7FED">
      <w:pPr>
        <w:numPr>
          <w:ilvl w:val="0"/>
          <w:numId w:val="7"/>
        </w:numPr>
        <w:spacing w:line="276" w:lineRule="auto"/>
      </w:pPr>
      <w:r w:rsidRPr="00E6052F">
        <w:t>Ley Orgánica 3/2007, de 22 de marzo, para la igualdad efectiva de mujeres y hombres (arts. 11, 43, 52).</w:t>
      </w:r>
    </w:p>
    <w:p w14:paraId="65CE04E8" w14:textId="77777777" w:rsidR="00AC7FED" w:rsidRPr="00E6052F" w:rsidRDefault="00AC7FED" w:rsidP="00AC7FED">
      <w:pPr>
        <w:numPr>
          <w:ilvl w:val="0"/>
          <w:numId w:val="7"/>
        </w:numPr>
        <w:spacing w:line="276" w:lineRule="auto"/>
      </w:pPr>
      <w:r w:rsidRPr="00E6052F">
        <w:t>Estatuto Básico del Empleado Público, art. 61.1.</w:t>
      </w:r>
    </w:p>
    <w:p w14:paraId="2B9F254E" w14:textId="77777777" w:rsidR="00AC7FED" w:rsidRPr="00E6052F" w:rsidRDefault="00AC7FED" w:rsidP="00AC7FED">
      <w:pPr>
        <w:numPr>
          <w:ilvl w:val="0"/>
          <w:numId w:val="7"/>
        </w:numPr>
        <w:spacing w:line="276" w:lineRule="auto"/>
      </w:pPr>
      <w:r w:rsidRPr="00E6052F">
        <w:t>STS Sala 3ª 1033/2016, de 10 de mayo (promoción en Carrera Judicial).</w:t>
      </w:r>
    </w:p>
    <w:p w14:paraId="1366DFD4" w14:textId="77777777" w:rsidR="00AC7FED" w:rsidRPr="00E6052F" w:rsidRDefault="00AC7FED" w:rsidP="00AC7FED">
      <w:pPr>
        <w:numPr>
          <w:ilvl w:val="0"/>
          <w:numId w:val="7"/>
        </w:numPr>
        <w:spacing w:line="276" w:lineRule="auto"/>
      </w:pPr>
      <w:r w:rsidRPr="00E6052F">
        <w:t>STS Sala 3ª 383/2019, de 16 de octubre (UAM – acción positiva en cátedras).</w:t>
      </w:r>
    </w:p>
    <w:p w14:paraId="6CA58E39" w14:textId="77777777" w:rsidR="00AC7FED" w:rsidRPr="00E6052F" w:rsidRDefault="00AC7FED" w:rsidP="00AC7FED">
      <w:pPr>
        <w:numPr>
          <w:ilvl w:val="0"/>
          <w:numId w:val="7"/>
        </w:numPr>
        <w:spacing w:line="276" w:lineRule="auto"/>
      </w:pPr>
      <w:r w:rsidRPr="00E6052F">
        <w:t>JJCC Valencia, 2021 (sentencias Cont.-</w:t>
      </w:r>
      <w:proofErr w:type="spellStart"/>
      <w:r w:rsidRPr="00E6052F">
        <w:t>Adm</w:t>
      </w:r>
      <w:proofErr w:type="spellEnd"/>
      <w:r w:rsidRPr="00E6052F">
        <w:t>. sobre cuotas 30% Policía Local).</w:t>
      </w:r>
    </w:p>
    <w:p w14:paraId="264E021E" w14:textId="77777777" w:rsidR="00AC7FED" w:rsidRPr="00E6052F" w:rsidRDefault="00AC7FED" w:rsidP="00AC7FED">
      <w:pPr>
        <w:numPr>
          <w:ilvl w:val="0"/>
          <w:numId w:val="7"/>
        </w:numPr>
        <w:spacing w:line="276" w:lineRule="auto"/>
      </w:pPr>
      <w:r w:rsidRPr="00E6052F">
        <w:t>SPPLB (Sindicato Policía Local) – nota informativa sobre sentencias de 2021.</w:t>
      </w:r>
    </w:p>
    <w:p w14:paraId="19B3F179" w14:textId="77777777" w:rsidR="00AC7FED" w:rsidRPr="00E6052F" w:rsidRDefault="00AC7FED" w:rsidP="00AC7FED">
      <w:pPr>
        <w:numPr>
          <w:ilvl w:val="0"/>
          <w:numId w:val="7"/>
        </w:numPr>
        <w:spacing w:line="276" w:lineRule="auto"/>
      </w:pPr>
      <w:r w:rsidRPr="00E6052F">
        <w:t xml:space="preserve">Directiva 2006/54/CE y art. 157 TFUE. Jurisprudencia TJUE: Caso </w:t>
      </w:r>
      <w:proofErr w:type="spellStart"/>
      <w:r w:rsidRPr="00E6052F">
        <w:t>Kalanke</w:t>
      </w:r>
      <w:proofErr w:type="spellEnd"/>
      <w:r w:rsidRPr="00E6052F">
        <w:t xml:space="preserve"> 1995, Marschall 1997, </w:t>
      </w:r>
      <w:proofErr w:type="spellStart"/>
      <w:r w:rsidRPr="00E6052F">
        <w:t>Badeck</w:t>
      </w:r>
      <w:proofErr w:type="spellEnd"/>
      <w:r w:rsidRPr="00E6052F">
        <w:t xml:space="preserve"> 2000, Abrahamsson 2000.</w:t>
      </w:r>
    </w:p>
    <w:p w14:paraId="274367C1" w14:textId="77777777" w:rsidR="00AC7FED" w:rsidRPr="00E6052F" w:rsidRDefault="00AC7FED" w:rsidP="00AC7FED">
      <w:pPr>
        <w:numPr>
          <w:ilvl w:val="0"/>
          <w:numId w:val="7"/>
        </w:numPr>
        <w:spacing w:line="276" w:lineRule="auto"/>
      </w:pPr>
      <w:proofErr w:type="spellStart"/>
      <w:r w:rsidRPr="00E6052F">
        <w:t>Wikigualdad</w:t>
      </w:r>
      <w:proofErr w:type="spellEnd"/>
      <w:r w:rsidRPr="00E6052F">
        <w:t xml:space="preserve"> – “Políticas de igualdad y acción positiva” (recopilación normativa y doctrinal).</w:t>
      </w:r>
    </w:p>
    <w:p w14:paraId="5FF024D0" w14:textId="77777777" w:rsidR="00AC7FED" w:rsidRPr="00E6052F" w:rsidRDefault="00AC7FED" w:rsidP="00AC7FED">
      <w:pPr>
        <w:numPr>
          <w:ilvl w:val="0"/>
          <w:numId w:val="7"/>
        </w:numPr>
        <w:spacing w:line="276" w:lineRule="auto"/>
      </w:pPr>
      <w:r w:rsidRPr="00E6052F">
        <w:t>La Administración al Día (INAP) – análisis sentencia TS 2016 (igualdad en nombramientos).</w:t>
      </w:r>
    </w:p>
    <w:p w14:paraId="1AC12744" w14:textId="77777777" w:rsidR="00AC7FED" w:rsidRPr="00E6052F" w:rsidRDefault="00AC7FED" w:rsidP="00AC7FED">
      <w:pPr>
        <w:numPr>
          <w:ilvl w:val="0"/>
          <w:numId w:val="7"/>
        </w:numPr>
        <w:spacing w:line="276" w:lineRule="auto"/>
      </w:pPr>
      <w:r w:rsidRPr="00E6052F">
        <w:t>BOE Anuario Jurídico: M. E. Casas Baamonde y M. Quiroga (2019), comentario a STS 2019 UAM.</w:t>
      </w:r>
    </w:p>
    <w:p w14:paraId="7F0C1E29" w14:textId="77777777" w:rsidR="00AC7FED" w:rsidRPr="00E6052F" w:rsidRDefault="00AC7FED" w:rsidP="00AC7FED">
      <w:pPr>
        <w:numPr>
          <w:ilvl w:val="0"/>
          <w:numId w:val="7"/>
        </w:numPr>
        <w:spacing w:line="276" w:lineRule="auto"/>
      </w:pPr>
      <w:r w:rsidRPr="00E6052F">
        <w:t>Diario Constitucional (Chile) – artículo sobre jurisprudencia española en acciones positivas.</w:t>
      </w:r>
    </w:p>
    <w:p w14:paraId="0EEE0F85" w14:textId="77777777" w:rsidR="00AC7FED" w:rsidRPr="00E6052F" w:rsidRDefault="00AC7FED" w:rsidP="00AC7FED">
      <w:r w:rsidRPr="00E6052F">
        <w:t xml:space="preserve">TSJ Madrid, sentencia 14/12/2023 (Programa </w:t>
      </w:r>
      <w:proofErr w:type="spellStart"/>
      <w:r w:rsidRPr="00E6052F">
        <w:t>Talentia</w:t>
      </w:r>
      <w:proofErr w:type="spellEnd"/>
      <w:r w:rsidRPr="00E6052F">
        <w:t xml:space="preserve"> 360 solo para mujeres).</w:t>
      </w:r>
      <w:bookmarkEnd w:id="13"/>
    </w:p>
    <w:sectPr w:rsidR="00AC7FED" w:rsidRPr="00E6052F" w:rsidSect="00AC7FED">
      <w:footerReference w:type="default" r:id="rId22"/>
      <w:footnotePr>
        <w:numRestart w:val="eachSect"/>
      </w:footnotePr>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DA60" w14:textId="77777777" w:rsidR="001F48D4" w:rsidRDefault="001F48D4" w:rsidP="00AC7FED">
      <w:pPr>
        <w:spacing w:before="0" w:after="0" w:line="240" w:lineRule="auto"/>
      </w:pPr>
      <w:r>
        <w:separator/>
      </w:r>
    </w:p>
  </w:endnote>
  <w:endnote w:type="continuationSeparator" w:id="0">
    <w:p w14:paraId="3125D2AD" w14:textId="77777777" w:rsidR="001F48D4" w:rsidRDefault="001F48D4" w:rsidP="00AC7F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53367"/>
      <w:docPartObj>
        <w:docPartGallery w:val="Page Numbers (Bottom of Page)"/>
        <w:docPartUnique/>
      </w:docPartObj>
    </w:sdtPr>
    <w:sdtContent>
      <w:p w14:paraId="42C7C6EF" w14:textId="150BB7B3" w:rsidR="00AC7FED" w:rsidRDefault="00AC7FED">
        <w:pPr>
          <w:pStyle w:val="Piedepgina"/>
          <w:jc w:val="center"/>
        </w:pPr>
        <w:r>
          <w:fldChar w:fldCharType="begin"/>
        </w:r>
        <w:r>
          <w:instrText>PAGE   \* MERGEFORMAT</w:instrText>
        </w:r>
        <w:r>
          <w:fldChar w:fldCharType="separate"/>
        </w:r>
        <w:r>
          <w:rPr>
            <w:lang w:val="es-ES"/>
          </w:rPr>
          <w:t>2</w:t>
        </w:r>
        <w:r>
          <w:fldChar w:fldCharType="end"/>
        </w:r>
      </w:p>
    </w:sdtContent>
  </w:sdt>
  <w:p w14:paraId="1C7B1BFC" w14:textId="77777777" w:rsidR="00AC7FED" w:rsidRDefault="00AC7F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1710" w14:textId="77777777" w:rsidR="001F48D4" w:rsidRDefault="001F48D4" w:rsidP="00AC7FED">
      <w:pPr>
        <w:spacing w:before="0" w:after="0" w:line="240" w:lineRule="auto"/>
      </w:pPr>
      <w:r>
        <w:separator/>
      </w:r>
    </w:p>
  </w:footnote>
  <w:footnote w:type="continuationSeparator" w:id="0">
    <w:p w14:paraId="2FFCDF17" w14:textId="77777777" w:rsidR="001F48D4" w:rsidRDefault="001F48D4" w:rsidP="00AC7FE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EC42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BEAB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5EE1EFA"/>
    <w:multiLevelType w:val="multilevel"/>
    <w:tmpl w:val="0AF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935C8B"/>
    <w:multiLevelType w:val="multilevel"/>
    <w:tmpl w:val="2482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6C777E"/>
    <w:multiLevelType w:val="multilevel"/>
    <w:tmpl w:val="F6023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301DE"/>
    <w:multiLevelType w:val="multilevel"/>
    <w:tmpl w:val="C5EA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300332">
    <w:abstractNumId w:val="0"/>
  </w:num>
  <w:num w:numId="2" w16cid:durableId="2141997698">
    <w:abstractNumId w:val="1"/>
  </w:num>
  <w:num w:numId="3" w16cid:durableId="275019316">
    <w:abstractNumId w:val="1"/>
  </w:num>
  <w:num w:numId="4" w16cid:durableId="318384160">
    <w:abstractNumId w:val="1"/>
  </w:num>
  <w:num w:numId="5" w16cid:durableId="342325020">
    <w:abstractNumId w:val="1"/>
  </w:num>
  <w:num w:numId="6" w16cid:durableId="1102721817">
    <w:abstractNumId w:val="1"/>
  </w:num>
  <w:num w:numId="7" w16cid:durableId="1541628127">
    <w:abstractNumId w:val="2"/>
  </w:num>
  <w:num w:numId="8" w16cid:durableId="858855514">
    <w:abstractNumId w:val="3"/>
  </w:num>
  <w:num w:numId="9" w16cid:durableId="1266498154">
    <w:abstractNumId w:val="4"/>
  </w:num>
  <w:num w:numId="10" w16cid:durableId="832334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A3011"/>
    <w:rsid w:val="00050AB3"/>
    <w:rsid w:val="000C3FDC"/>
    <w:rsid w:val="0012041A"/>
    <w:rsid w:val="00196EDC"/>
    <w:rsid w:val="001F48D4"/>
    <w:rsid w:val="00242730"/>
    <w:rsid w:val="00305B33"/>
    <w:rsid w:val="0033003A"/>
    <w:rsid w:val="00360D73"/>
    <w:rsid w:val="003A183B"/>
    <w:rsid w:val="003A3011"/>
    <w:rsid w:val="003D3AA4"/>
    <w:rsid w:val="003E15F0"/>
    <w:rsid w:val="0042454A"/>
    <w:rsid w:val="00457E43"/>
    <w:rsid w:val="004A7898"/>
    <w:rsid w:val="005600BC"/>
    <w:rsid w:val="00600080"/>
    <w:rsid w:val="006D1840"/>
    <w:rsid w:val="00814CC5"/>
    <w:rsid w:val="00825521"/>
    <w:rsid w:val="0086396F"/>
    <w:rsid w:val="00987521"/>
    <w:rsid w:val="00992E88"/>
    <w:rsid w:val="00A01B70"/>
    <w:rsid w:val="00A5617C"/>
    <w:rsid w:val="00A65C44"/>
    <w:rsid w:val="00A8471E"/>
    <w:rsid w:val="00AC7FED"/>
    <w:rsid w:val="00AD2146"/>
    <w:rsid w:val="00AD76EE"/>
    <w:rsid w:val="00B06706"/>
    <w:rsid w:val="00B404AE"/>
    <w:rsid w:val="00C632D9"/>
    <w:rsid w:val="00C948EE"/>
    <w:rsid w:val="00CE56F2"/>
    <w:rsid w:val="00D170D4"/>
    <w:rsid w:val="00D55EEC"/>
    <w:rsid w:val="00E32914"/>
    <w:rsid w:val="00F156BA"/>
    <w:rsid w:val="00F471A6"/>
    <w:rsid w:val="00FA2984"/>
    <w:rsid w:val="00FD2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1A3F2"/>
  <w15:docId w15:val="{74CF5F29-5A7F-47EB-BA12-936AD7C01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7FED"/>
    <w:pPr>
      <w:spacing w:line="360" w:lineRule="auto"/>
      <w:jc w:val="both"/>
    </w:pPr>
  </w:style>
  <w:style w:type="paragraph" w:styleId="Ttulo1">
    <w:name w:val="heading 1"/>
    <w:basedOn w:val="Normal"/>
    <w:next w:val="Normal"/>
    <w:link w:val="Ttulo1Car"/>
    <w:uiPriority w:val="9"/>
    <w:qFormat/>
    <w:rsid w:val="00AC7FED"/>
    <w:pPr>
      <w:pBdr>
        <w:top w:val="single" w:sz="24" w:space="0" w:color="C40062" w:themeColor="accent1"/>
        <w:left w:val="single" w:sz="24" w:space="0" w:color="C40062" w:themeColor="accent1"/>
        <w:bottom w:val="single" w:sz="24" w:space="0" w:color="C40062" w:themeColor="accent1"/>
        <w:right w:val="single" w:sz="24" w:space="0" w:color="C40062" w:themeColor="accent1"/>
      </w:pBdr>
      <w:shd w:val="clear" w:color="auto" w:fill="C4006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AC7FED"/>
    <w:pPr>
      <w:pBdr>
        <w:top w:val="single" w:sz="24" w:space="0" w:color="FFC0DF" w:themeColor="accent1" w:themeTint="33"/>
        <w:left w:val="single" w:sz="24" w:space="0" w:color="FFC0DF" w:themeColor="accent1" w:themeTint="33"/>
        <w:bottom w:val="single" w:sz="24" w:space="0" w:color="FFC0DF" w:themeColor="accent1" w:themeTint="33"/>
        <w:right w:val="single" w:sz="24" w:space="0" w:color="FFC0DF" w:themeColor="accent1" w:themeTint="33"/>
      </w:pBdr>
      <w:shd w:val="clear" w:color="auto" w:fill="FFC0DF"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AC7FED"/>
    <w:pPr>
      <w:pBdr>
        <w:top w:val="single" w:sz="6" w:space="2" w:color="C40062" w:themeColor="accent1"/>
      </w:pBdr>
      <w:spacing w:before="300" w:after="0"/>
      <w:outlineLvl w:val="2"/>
    </w:pPr>
    <w:rPr>
      <w:caps/>
      <w:color w:val="610030" w:themeColor="accent1" w:themeShade="7F"/>
      <w:spacing w:val="15"/>
    </w:rPr>
  </w:style>
  <w:style w:type="paragraph" w:styleId="Ttulo4">
    <w:name w:val="heading 4"/>
    <w:basedOn w:val="Normal"/>
    <w:next w:val="Normal"/>
    <w:link w:val="Ttulo4Car"/>
    <w:uiPriority w:val="9"/>
    <w:semiHidden/>
    <w:unhideWhenUsed/>
    <w:qFormat/>
    <w:rsid w:val="00AC7FED"/>
    <w:pPr>
      <w:pBdr>
        <w:top w:val="dotted" w:sz="6" w:space="2" w:color="C40062" w:themeColor="accent1"/>
      </w:pBdr>
      <w:spacing w:before="200" w:after="0"/>
      <w:outlineLvl w:val="3"/>
    </w:pPr>
    <w:rPr>
      <w:caps/>
      <w:color w:val="920049" w:themeColor="accent1" w:themeShade="BF"/>
      <w:spacing w:val="10"/>
    </w:rPr>
  </w:style>
  <w:style w:type="paragraph" w:styleId="Ttulo5">
    <w:name w:val="heading 5"/>
    <w:basedOn w:val="Normal"/>
    <w:next w:val="Normal"/>
    <w:link w:val="Ttulo5Car"/>
    <w:uiPriority w:val="9"/>
    <w:semiHidden/>
    <w:unhideWhenUsed/>
    <w:qFormat/>
    <w:rsid w:val="00AC7FED"/>
    <w:pPr>
      <w:pBdr>
        <w:bottom w:val="single" w:sz="6" w:space="1" w:color="C40062" w:themeColor="accent1"/>
      </w:pBdr>
      <w:spacing w:before="200" w:after="0"/>
      <w:outlineLvl w:val="4"/>
    </w:pPr>
    <w:rPr>
      <w:caps/>
      <w:color w:val="920049" w:themeColor="accent1" w:themeShade="BF"/>
      <w:spacing w:val="10"/>
    </w:rPr>
  </w:style>
  <w:style w:type="paragraph" w:styleId="Ttulo6">
    <w:name w:val="heading 6"/>
    <w:basedOn w:val="Normal"/>
    <w:next w:val="Normal"/>
    <w:link w:val="Ttulo6Car"/>
    <w:uiPriority w:val="9"/>
    <w:semiHidden/>
    <w:unhideWhenUsed/>
    <w:qFormat/>
    <w:rsid w:val="00AC7FED"/>
    <w:pPr>
      <w:pBdr>
        <w:bottom w:val="dotted" w:sz="6" w:space="1" w:color="C40062" w:themeColor="accent1"/>
      </w:pBdr>
      <w:spacing w:before="200" w:after="0"/>
      <w:outlineLvl w:val="5"/>
    </w:pPr>
    <w:rPr>
      <w:caps/>
      <w:color w:val="920049" w:themeColor="accent1" w:themeShade="BF"/>
      <w:spacing w:val="10"/>
    </w:rPr>
  </w:style>
  <w:style w:type="paragraph" w:styleId="Ttulo7">
    <w:name w:val="heading 7"/>
    <w:basedOn w:val="Normal"/>
    <w:next w:val="Normal"/>
    <w:link w:val="Ttulo7Car"/>
    <w:uiPriority w:val="9"/>
    <w:semiHidden/>
    <w:unhideWhenUsed/>
    <w:qFormat/>
    <w:rsid w:val="00AC7FED"/>
    <w:pPr>
      <w:spacing w:before="200" w:after="0"/>
      <w:outlineLvl w:val="6"/>
    </w:pPr>
    <w:rPr>
      <w:caps/>
      <w:color w:val="920049" w:themeColor="accent1" w:themeShade="BF"/>
      <w:spacing w:val="10"/>
    </w:rPr>
  </w:style>
  <w:style w:type="paragraph" w:styleId="Ttulo8">
    <w:name w:val="heading 8"/>
    <w:basedOn w:val="Normal"/>
    <w:next w:val="Normal"/>
    <w:link w:val="Ttulo8Car"/>
    <w:uiPriority w:val="9"/>
    <w:semiHidden/>
    <w:unhideWhenUsed/>
    <w:qFormat/>
    <w:rsid w:val="00AC7FED"/>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AC7FED"/>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spacing w:before="180" w:after="180"/>
    </w:pPr>
  </w:style>
  <w:style w:type="paragraph" w:customStyle="1" w:styleId="FirstParagraph">
    <w:name w:val="First Paragraph"/>
    <w:basedOn w:val="Textoindependiente"/>
    <w:next w:val="Textoindependiente"/>
  </w:style>
  <w:style w:type="paragraph" w:customStyle="1" w:styleId="Compact">
    <w:name w:val="Compact"/>
    <w:basedOn w:val="Textoindependiente"/>
    <w:pPr>
      <w:spacing w:before="36" w:after="36"/>
    </w:pPr>
  </w:style>
  <w:style w:type="paragraph" w:styleId="Ttulo">
    <w:name w:val="Title"/>
    <w:basedOn w:val="Normal"/>
    <w:next w:val="Normal"/>
    <w:link w:val="TtuloCar"/>
    <w:uiPriority w:val="10"/>
    <w:qFormat/>
    <w:rsid w:val="00AC7FED"/>
    <w:pPr>
      <w:spacing w:before="0" w:after="0"/>
    </w:pPr>
    <w:rPr>
      <w:rFonts w:asciiTheme="majorHAnsi" w:eastAsiaTheme="majorEastAsia" w:hAnsiTheme="majorHAnsi" w:cstheme="majorBidi"/>
      <w:caps/>
      <w:color w:val="C40062" w:themeColor="accent1"/>
      <w:spacing w:val="10"/>
      <w:sz w:val="52"/>
      <w:szCs w:val="52"/>
    </w:rPr>
  </w:style>
  <w:style w:type="character" w:customStyle="1" w:styleId="TtuloCar">
    <w:name w:val="Título Car"/>
    <w:basedOn w:val="Fuentedeprrafopredeter"/>
    <w:link w:val="Ttulo"/>
    <w:uiPriority w:val="10"/>
    <w:rsid w:val="00AC7FED"/>
    <w:rPr>
      <w:rFonts w:asciiTheme="majorHAnsi" w:eastAsiaTheme="majorEastAsia" w:hAnsiTheme="majorHAnsi" w:cstheme="majorBidi"/>
      <w:caps/>
      <w:color w:val="C40062" w:themeColor="accent1"/>
      <w:spacing w:val="10"/>
      <w:sz w:val="52"/>
      <w:szCs w:val="52"/>
    </w:rPr>
  </w:style>
  <w:style w:type="paragraph" w:styleId="Subttulo">
    <w:name w:val="Subtitle"/>
    <w:basedOn w:val="Normal"/>
    <w:next w:val="Normal"/>
    <w:link w:val="SubttuloCar"/>
    <w:uiPriority w:val="11"/>
    <w:qFormat/>
    <w:rsid w:val="00AC7FED"/>
    <w:pPr>
      <w:spacing w:before="0" w:after="500" w:line="240" w:lineRule="auto"/>
    </w:pPr>
    <w:rPr>
      <w:caps/>
      <w:color w:val="717171" w:themeColor="text1" w:themeTint="A6"/>
      <w:spacing w:val="10"/>
      <w:sz w:val="21"/>
      <w:szCs w:val="21"/>
    </w:rPr>
  </w:style>
  <w:style w:type="character" w:customStyle="1" w:styleId="SubttuloCar">
    <w:name w:val="Subtítulo Car"/>
    <w:basedOn w:val="Fuentedeprrafopredeter"/>
    <w:link w:val="Subttulo"/>
    <w:uiPriority w:val="11"/>
    <w:rsid w:val="00AC7FED"/>
    <w:rPr>
      <w:caps/>
      <w:color w:val="717171" w:themeColor="text1" w:themeTint="A6"/>
      <w:spacing w:val="10"/>
      <w:sz w:val="21"/>
      <w:szCs w:val="21"/>
    </w:rPr>
  </w:style>
  <w:style w:type="paragraph" w:customStyle="1" w:styleId="Author">
    <w:name w:val="Author"/>
    <w:next w:val="Textoindependiente"/>
    <w:pPr>
      <w:keepNext/>
      <w:keepLines/>
      <w:jc w:val="center"/>
    </w:pPr>
  </w:style>
  <w:style w:type="paragraph" w:styleId="Fecha">
    <w:name w:val="Date"/>
    <w:next w:val="Textoindependiente"/>
    <w:pPr>
      <w:keepNext/>
      <w:keepLines/>
      <w:jc w:val="center"/>
    </w:p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Textoindependiente"/>
    <w:pPr>
      <w:keepNext/>
      <w:keepLines/>
      <w:spacing w:after="300"/>
    </w:pPr>
  </w:style>
  <w:style w:type="paragraph" w:styleId="Bibliografa">
    <w:name w:val="Bibliography"/>
    <w:basedOn w:val="Normal"/>
  </w:style>
  <w:style w:type="character" w:customStyle="1" w:styleId="Ttulo1Car">
    <w:name w:val="Título 1 Car"/>
    <w:basedOn w:val="Fuentedeprrafopredeter"/>
    <w:link w:val="Ttulo1"/>
    <w:uiPriority w:val="9"/>
    <w:rsid w:val="00AC7FED"/>
    <w:rPr>
      <w:caps/>
      <w:color w:val="FFFFFF" w:themeColor="background1"/>
      <w:spacing w:val="15"/>
      <w:sz w:val="22"/>
      <w:szCs w:val="22"/>
      <w:shd w:val="clear" w:color="auto" w:fill="C40062" w:themeFill="accent1"/>
    </w:rPr>
  </w:style>
  <w:style w:type="character" w:customStyle="1" w:styleId="Ttulo2Car">
    <w:name w:val="Título 2 Car"/>
    <w:basedOn w:val="Fuentedeprrafopredeter"/>
    <w:link w:val="Ttulo2"/>
    <w:uiPriority w:val="9"/>
    <w:semiHidden/>
    <w:rsid w:val="00AC7FED"/>
    <w:rPr>
      <w:caps/>
      <w:spacing w:val="15"/>
      <w:shd w:val="clear" w:color="auto" w:fill="FFC0DF" w:themeFill="accent1" w:themeFillTint="33"/>
    </w:rPr>
  </w:style>
  <w:style w:type="character" w:customStyle="1" w:styleId="Ttulo3Car">
    <w:name w:val="Título 3 Car"/>
    <w:basedOn w:val="Fuentedeprrafopredeter"/>
    <w:link w:val="Ttulo3"/>
    <w:uiPriority w:val="9"/>
    <w:semiHidden/>
    <w:rsid w:val="00AC7FED"/>
    <w:rPr>
      <w:caps/>
      <w:color w:val="610030" w:themeColor="accent1" w:themeShade="7F"/>
      <w:spacing w:val="15"/>
    </w:rPr>
  </w:style>
  <w:style w:type="character" w:customStyle="1" w:styleId="Ttulo4Car">
    <w:name w:val="Título 4 Car"/>
    <w:basedOn w:val="Fuentedeprrafopredeter"/>
    <w:link w:val="Ttulo4"/>
    <w:uiPriority w:val="9"/>
    <w:semiHidden/>
    <w:rsid w:val="00AC7FED"/>
    <w:rPr>
      <w:caps/>
      <w:color w:val="920049" w:themeColor="accent1" w:themeShade="BF"/>
      <w:spacing w:val="10"/>
    </w:rPr>
  </w:style>
  <w:style w:type="character" w:customStyle="1" w:styleId="Ttulo5Car">
    <w:name w:val="Título 5 Car"/>
    <w:basedOn w:val="Fuentedeprrafopredeter"/>
    <w:link w:val="Ttulo5"/>
    <w:uiPriority w:val="9"/>
    <w:semiHidden/>
    <w:rsid w:val="00AC7FED"/>
    <w:rPr>
      <w:caps/>
      <w:color w:val="920049" w:themeColor="accent1" w:themeShade="BF"/>
      <w:spacing w:val="10"/>
    </w:rPr>
  </w:style>
  <w:style w:type="character" w:customStyle="1" w:styleId="Ttulo6Car">
    <w:name w:val="Título 6 Car"/>
    <w:basedOn w:val="Fuentedeprrafopredeter"/>
    <w:link w:val="Ttulo6"/>
    <w:uiPriority w:val="9"/>
    <w:semiHidden/>
    <w:rsid w:val="00AC7FED"/>
    <w:rPr>
      <w:caps/>
      <w:color w:val="920049" w:themeColor="accent1" w:themeShade="BF"/>
      <w:spacing w:val="10"/>
    </w:rPr>
  </w:style>
  <w:style w:type="character" w:customStyle="1" w:styleId="Ttulo7Car">
    <w:name w:val="Título 7 Car"/>
    <w:basedOn w:val="Fuentedeprrafopredeter"/>
    <w:link w:val="Ttulo7"/>
    <w:uiPriority w:val="9"/>
    <w:semiHidden/>
    <w:rsid w:val="00AC7FED"/>
    <w:rPr>
      <w:caps/>
      <w:color w:val="920049" w:themeColor="accent1" w:themeShade="BF"/>
      <w:spacing w:val="10"/>
    </w:rPr>
  </w:style>
  <w:style w:type="character" w:customStyle="1" w:styleId="Ttulo8Car">
    <w:name w:val="Título 8 Car"/>
    <w:basedOn w:val="Fuentedeprrafopredeter"/>
    <w:link w:val="Ttulo8"/>
    <w:uiPriority w:val="9"/>
    <w:semiHidden/>
    <w:rsid w:val="00AC7FED"/>
    <w:rPr>
      <w:caps/>
      <w:spacing w:val="10"/>
      <w:sz w:val="18"/>
      <w:szCs w:val="18"/>
    </w:rPr>
  </w:style>
  <w:style w:type="character" w:customStyle="1" w:styleId="Ttulo9Car">
    <w:name w:val="Título 9 Car"/>
    <w:basedOn w:val="Fuentedeprrafopredeter"/>
    <w:link w:val="Ttulo9"/>
    <w:uiPriority w:val="9"/>
    <w:semiHidden/>
    <w:rsid w:val="00AC7FED"/>
    <w:rPr>
      <w:i/>
      <w:iCs/>
      <w:caps/>
      <w:spacing w:val="10"/>
      <w:sz w:val="18"/>
      <w:szCs w:val="18"/>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AC7FED"/>
    <w:rPr>
      <w:b/>
      <w:bCs/>
      <w:color w:val="920049" w:themeColor="accent1" w:themeShade="BF"/>
      <w:sz w:val="16"/>
      <w:szCs w:val="16"/>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uiPriority w:val="35"/>
    <w:rPr>
      <w:b/>
      <w:bCs/>
      <w:color w:val="920049" w:themeColor="accent1" w:themeShade="BF"/>
      <w:sz w:val="16"/>
      <w:szCs w:val="16"/>
    </w:rPr>
  </w:style>
  <w:style w:type="character" w:customStyle="1" w:styleId="VerbatimChar">
    <w:name w:val="Verbatim Char"/>
    <w:basedOn w:val="DescripcinCar"/>
    <w:link w:val="SourceCode"/>
    <w:rPr>
      <w:rFonts w:ascii="Consolas" w:hAnsi="Consolas"/>
      <w:b/>
      <w:bCs/>
      <w:color w:val="920049" w:themeColor="accent1" w:themeShade="BF"/>
      <w:sz w:val="22"/>
      <w:szCs w:val="16"/>
    </w:rPr>
  </w:style>
  <w:style w:type="character" w:customStyle="1" w:styleId="SectionNumber">
    <w:name w:val="Section Number"/>
    <w:basedOn w:val="DescripcinCar"/>
    <w:rPr>
      <w:b/>
      <w:bCs/>
      <w:color w:val="920049" w:themeColor="accent1" w:themeShade="BF"/>
      <w:sz w:val="16"/>
      <w:szCs w:val="16"/>
    </w:rPr>
  </w:style>
  <w:style w:type="character" w:styleId="Refdenotaalpie">
    <w:name w:val="footnote reference"/>
    <w:basedOn w:val="DescripcinCar"/>
    <w:rPr>
      <w:b/>
      <w:bCs/>
      <w:color w:val="920049" w:themeColor="accent1" w:themeShade="BF"/>
      <w:sz w:val="16"/>
      <w:szCs w:val="16"/>
      <w:vertAlign w:val="superscript"/>
    </w:rPr>
  </w:style>
  <w:style w:type="character" w:styleId="Hipervnculo">
    <w:name w:val="Hyperlink"/>
    <w:basedOn w:val="DescripcinCar"/>
    <w:rPr>
      <w:b/>
      <w:bCs/>
      <w:color w:val="C40062" w:themeColor="accent1"/>
      <w:sz w:val="16"/>
      <w:szCs w:val="16"/>
    </w:rPr>
  </w:style>
  <w:style w:type="paragraph" w:styleId="TtuloTDC">
    <w:name w:val="TOC Heading"/>
    <w:basedOn w:val="Ttulo1"/>
    <w:next w:val="Normal"/>
    <w:uiPriority w:val="39"/>
    <w:unhideWhenUsed/>
    <w:qFormat/>
    <w:rsid w:val="00AC7FED"/>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920049"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920049"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920049" w:themeColor="accent1" w:themeShade="BF"/>
      <w:sz w:val="22"/>
      <w:szCs w:val="16"/>
    </w:rPr>
  </w:style>
  <w:style w:type="paragraph" w:styleId="Encabezado">
    <w:name w:val="header"/>
    <w:basedOn w:val="Normal"/>
    <w:link w:val="EncabezadoCar"/>
    <w:rsid w:val="00AC7FED"/>
    <w:pPr>
      <w:tabs>
        <w:tab w:val="center" w:pos="4252"/>
        <w:tab w:val="right" w:pos="8504"/>
      </w:tabs>
      <w:spacing w:after="0"/>
    </w:pPr>
  </w:style>
  <w:style w:type="character" w:customStyle="1" w:styleId="EncabezadoCar">
    <w:name w:val="Encabezado Car"/>
    <w:basedOn w:val="Fuentedeprrafopredeter"/>
    <w:link w:val="Encabezado"/>
    <w:rsid w:val="00AC7FED"/>
  </w:style>
  <w:style w:type="paragraph" w:styleId="Piedepgina">
    <w:name w:val="footer"/>
    <w:basedOn w:val="Normal"/>
    <w:link w:val="PiedepginaCar"/>
    <w:uiPriority w:val="99"/>
    <w:rsid w:val="00AC7FED"/>
    <w:pPr>
      <w:tabs>
        <w:tab w:val="center" w:pos="4252"/>
        <w:tab w:val="right" w:pos="8504"/>
      </w:tabs>
      <w:spacing w:after="0"/>
    </w:pPr>
  </w:style>
  <w:style w:type="character" w:customStyle="1" w:styleId="PiedepginaCar">
    <w:name w:val="Pie de página Car"/>
    <w:basedOn w:val="Fuentedeprrafopredeter"/>
    <w:link w:val="Piedepgina"/>
    <w:uiPriority w:val="99"/>
    <w:rsid w:val="00AC7FED"/>
  </w:style>
  <w:style w:type="character" w:styleId="Fuerte">
    <w:name w:val="Strong"/>
    <w:uiPriority w:val="22"/>
    <w:qFormat/>
    <w:rsid w:val="00AC7FED"/>
    <w:rPr>
      <w:b/>
      <w:bCs/>
    </w:rPr>
  </w:style>
  <w:style w:type="character" w:styleId="nfasis">
    <w:name w:val="Emphasis"/>
    <w:uiPriority w:val="20"/>
    <w:qFormat/>
    <w:rsid w:val="00AC7FED"/>
    <w:rPr>
      <w:caps/>
      <w:color w:val="610030" w:themeColor="accent1" w:themeShade="7F"/>
      <w:spacing w:val="5"/>
    </w:rPr>
  </w:style>
  <w:style w:type="paragraph" w:styleId="Sinespaciado">
    <w:name w:val="No Spacing"/>
    <w:uiPriority w:val="1"/>
    <w:qFormat/>
    <w:rsid w:val="00AC7FED"/>
    <w:pPr>
      <w:spacing w:after="0" w:line="240" w:lineRule="auto"/>
    </w:pPr>
  </w:style>
  <w:style w:type="paragraph" w:styleId="Cita">
    <w:name w:val="Quote"/>
    <w:basedOn w:val="Normal"/>
    <w:next w:val="Normal"/>
    <w:link w:val="CitaCar"/>
    <w:uiPriority w:val="29"/>
    <w:qFormat/>
    <w:rsid w:val="00AC7FED"/>
    <w:rPr>
      <w:i/>
      <w:iCs/>
      <w:sz w:val="24"/>
      <w:szCs w:val="24"/>
    </w:rPr>
  </w:style>
  <w:style w:type="character" w:customStyle="1" w:styleId="CitaCar">
    <w:name w:val="Cita Car"/>
    <w:basedOn w:val="Fuentedeprrafopredeter"/>
    <w:link w:val="Cita"/>
    <w:uiPriority w:val="29"/>
    <w:rsid w:val="00AC7FED"/>
    <w:rPr>
      <w:i/>
      <w:iCs/>
      <w:sz w:val="24"/>
      <w:szCs w:val="24"/>
    </w:rPr>
  </w:style>
  <w:style w:type="paragraph" w:styleId="Citadestacada">
    <w:name w:val="Intense Quote"/>
    <w:basedOn w:val="Normal"/>
    <w:next w:val="Normal"/>
    <w:link w:val="CitadestacadaCar"/>
    <w:uiPriority w:val="30"/>
    <w:qFormat/>
    <w:rsid w:val="00AC7FED"/>
    <w:pPr>
      <w:spacing w:before="240" w:after="240" w:line="240" w:lineRule="auto"/>
      <w:ind w:left="1080" w:right="1080"/>
      <w:jc w:val="center"/>
    </w:pPr>
    <w:rPr>
      <w:color w:val="C40062" w:themeColor="accent1"/>
      <w:sz w:val="24"/>
      <w:szCs w:val="24"/>
    </w:rPr>
  </w:style>
  <w:style w:type="character" w:customStyle="1" w:styleId="CitadestacadaCar">
    <w:name w:val="Cita destacada Car"/>
    <w:basedOn w:val="Fuentedeprrafopredeter"/>
    <w:link w:val="Citadestacada"/>
    <w:uiPriority w:val="30"/>
    <w:rsid w:val="00AC7FED"/>
    <w:rPr>
      <w:color w:val="C40062" w:themeColor="accent1"/>
      <w:sz w:val="24"/>
      <w:szCs w:val="24"/>
    </w:rPr>
  </w:style>
  <w:style w:type="character" w:styleId="nfasissutil">
    <w:name w:val="Subtle Emphasis"/>
    <w:uiPriority w:val="19"/>
    <w:qFormat/>
    <w:rsid w:val="00AC7FED"/>
    <w:rPr>
      <w:i/>
      <w:iCs/>
      <w:color w:val="610030" w:themeColor="accent1" w:themeShade="7F"/>
    </w:rPr>
  </w:style>
  <w:style w:type="character" w:styleId="nfasisintenso">
    <w:name w:val="Intense Emphasis"/>
    <w:uiPriority w:val="21"/>
    <w:qFormat/>
    <w:rsid w:val="00AC7FED"/>
    <w:rPr>
      <w:b/>
      <w:bCs/>
      <w:caps/>
      <w:color w:val="610030" w:themeColor="accent1" w:themeShade="7F"/>
      <w:spacing w:val="10"/>
    </w:rPr>
  </w:style>
  <w:style w:type="character" w:styleId="Referenciasutil">
    <w:name w:val="Subtle Reference"/>
    <w:uiPriority w:val="31"/>
    <w:qFormat/>
    <w:rsid w:val="00AC7FED"/>
    <w:rPr>
      <w:b/>
      <w:bCs/>
      <w:color w:val="C40062" w:themeColor="accent1"/>
    </w:rPr>
  </w:style>
  <w:style w:type="character" w:styleId="Referenciaintensa">
    <w:name w:val="Intense Reference"/>
    <w:uiPriority w:val="32"/>
    <w:qFormat/>
    <w:rsid w:val="00AC7FED"/>
    <w:rPr>
      <w:b/>
      <w:bCs/>
      <w:i/>
      <w:iCs/>
      <w:caps/>
      <w:color w:val="C40062" w:themeColor="accent1"/>
    </w:rPr>
  </w:style>
  <w:style w:type="character" w:styleId="Ttulodellibro">
    <w:name w:val="Book Title"/>
    <w:uiPriority w:val="33"/>
    <w:qFormat/>
    <w:rsid w:val="00AC7FED"/>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ciondatos-lopd.com/empresas/acciones-positivas/" TargetMode="External"/><Relationship Id="rId13" Type="http://schemas.openxmlformats.org/officeDocument/2006/relationships/hyperlink" Target="https://vlex.es/vid/640680153" TargetMode="External"/><Relationship Id="rId18" Type="http://schemas.openxmlformats.org/officeDocument/2006/relationships/hyperlink" Target="https://www.boe.es/biblioteca_juridica/anuarios_derecho/articulo.php?id=ANU-L-2019-00000000649" TargetMode="External"/><Relationship Id="rId3" Type="http://schemas.openxmlformats.org/officeDocument/2006/relationships/settings" Target="settings.xml"/><Relationship Id="rId21" Type="http://schemas.openxmlformats.org/officeDocument/2006/relationships/hyperlink" Target="https://www.crue.org/Boletin_SG/2019/Boletin%20232/sentencia%20supremos.pdf" TargetMode="External"/><Relationship Id="rId7" Type="http://schemas.openxmlformats.org/officeDocument/2006/relationships/hyperlink" Target="https://www.crue.org/Boletin_SG/2019/Boletin%20232/sentencia%20supremos.pdf" TargetMode="External"/><Relationship Id="rId12" Type="http://schemas.openxmlformats.org/officeDocument/2006/relationships/hyperlink" Target="https://laadministracionaldia.inap.es/noticia.asp?id=1514822" TargetMode="External"/><Relationship Id="rId17" Type="http://schemas.openxmlformats.org/officeDocument/2006/relationships/hyperlink" Target="https://vlex.es/vid/640680153" TargetMode="External"/><Relationship Id="rId2" Type="http://schemas.openxmlformats.org/officeDocument/2006/relationships/styles" Target="styles.xml"/><Relationship Id="rId16" Type="http://schemas.openxmlformats.org/officeDocument/2006/relationships/hyperlink" Target="https://vlex.es/vid/640680153" TargetMode="External"/><Relationship Id="rId20" Type="http://schemas.openxmlformats.org/officeDocument/2006/relationships/hyperlink" Target="https://www.crue.org/Boletin_SG/2019/Boletin%20232/sentencia%20supremo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administracionaldia.inap.es/noticia.asp?id=151482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vlex.es/vid/640680153" TargetMode="External"/><Relationship Id="rId23" Type="http://schemas.openxmlformats.org/officeDocument/2006/relationships/fontTable" Target="fontTable.xml"/><Relationship Id="rId10" Type="http://schemas.openxmlformats.org/officeDocument/2006/relationships/hyperlink" Target="https://www.crue.org/Boletin_SG/2019/Boletin%20232/sentencia%20supremos.pdf" TargetMode="External"/><Relationship Id="rId19" Type="http://schemas.openxmlformats.org/officeDocument/2006/relationships/hyperlink" Target="https://www.boe.es/biblioteca_juridica/anuarios_derecho/articulo.php?id=ANU-L-2019-00000000649" TargetMode="External"/><Relationship Id="rId4" Type="http://schemas.openxmlformats.org/officeDocument/2006/relationships/webSettings" Target="webSettings.xml"/><Relationship Id="rId9" Type="http://schemas.openxmlformats.org/officeDocument/2006/relationships/hyperlink" Target="https://protecciondatos-lopd.com/empresas/acciones-positivas/" TargetMode="External"/><Relationship Id="rId14" Type="http://schemas.openxmlformats.org/officeDocument/2006/relationships/hyperlink" Target="https://vlex.es/vid/640680153"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Personalizado 9">
      <a:dk1>
        <a:srgbClr val="262626"/>
      </a:dk1>
      <a:lt1>
        <a:sysClr val="window" lastClr="FFFFFF"/>
      </a:lt1>
      <a:dk2>
        <a:srgbClr val="454551"/>
      </a:dk2>
      <a:lt2>
        <a:srgbClr val="F2F2F2"/>
      </a:lt2>
      <a:accent1>
        <a:srgbClr val="C40062"/>
      </a:accent1>
      <a:accent2>
        <a:srgbClr val="660066"/>
      </a:accent2>
      <a:accent3>
        <a:srgbClr val="FF66CC"/>
      </a:accent3>
      <a:accent4>
        <a:srgbClr val="FF0066"/>
      </a:accent4>
      <a:accent5>
        <a:srgbClr val="5F5F5F"/>
      </a:accent5>
      <a:accent6>
        <a:srgbClr val="CD37D1"/>
      </a:accent6>
      <a:hlink>
        <a:srgbClr val="000000"/>
      </a:hlink>
      <a:folHlink>
        <a:srgbClr val="BFBFBF"/>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7360</Words>
  <Characters>40486</Characters>
  <Application>Microsoft Office Word</Application>
  <DocSecurity>0</DocSecurity>
  <Lines>337</Lines>
  <Paragraphs>95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Ortiz De Lejarazu</dc:creator>
  <cp:keywords/>
  <cp:lastModifiedBy>Elena Ortiz De Lejarazu</cp:lastModifiedBy>
  <cp:revision>5</cp:revision>
  <dcterms:created xsi:type="dcterms:W3CDTF">2026-01-15T10:38:00Z</dcterms:created>
  <dcterms:modified xsi:type="dcterms:W3CDTF">2026-04-14T10:43:00Z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