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1C1C" w14:textId="77777777" w:rsidR="00233F51" w:rsidRDefault="00BE018E">
      <w:pPr>
        <w:pStyle w:val="Ttulo"/>
        <w:spacing w:before="120" w:after="80"/>
      </w:pPr>
      <w:r>
        <w:rPr>
          <w:rFonts w:ascii="Comfortaa" w:eastAsia="Comfortaa" w:hAnsi="Comfortaa" w:cs="Comfortaa"/>
          <w:b/>
          <w:color w:val="7B2D8E"/>
          <w:sz w:val="40"/>
        </w:rPr>
        <w:t>Informe de trazabilidad: del protocolo de 2022 al protocolo de 2026</w:t>
      </w:r>
    </w:p>
    <w:p w14:paraId="6AE83EFA" w14:textId="77777777" w:rsidR="00233F51" w:rsidRDefault="00BE018E">
      <w:pPr>
        <w:spacing w:after="240"/>
      </w:pPr>
      <w:r>
        <w:rPr>
          <w:color w:val="555555"/>
          <w:sz w:val="22"/>
        </w:rPr>
        <w:t>Análisis comparativo de cambios · Centro de Cálculo de Álava (CCASA) · Red Kuorum · 2026</w:t>
      </w:r>
    </w:p>
    <w:p w14:paraId="6AC4F0BB" w14:textId="77777777" w:rsidR="00233F51" w:rsidRDefault="00BE018E">
      <w:r>
        <w:t>El presente informe documenta, con fines de trazabilidad y transparencia, la relación entre el protocolo frente al acoso sexual y por razón de sexo de CCASA aprobado en enero de 2022, las recomendaciones formuladas por Red Kuorum en el informe técnico de diagnóstico, y el nuevo protocolo de 2026. El análisis persigue tres objetivos: verificar que no se ha suprimido ningún contenido del protocolo de 2022 (y que, cuando algo se ha reformulado, ha sido para sustituirlo por una versión mejorada); identificar qu</w:t>
      </w:r>
      <w:r>
        <w:t>é se ha añadido y en respuesta a qué recomendación; y comprobar que todas las decisiones acordadas se han incorporado efectivamente al nuevo texto.</w:t>
      </w:r>
    </w:p>
    <w:p w14:paraId="20543623" w14:textId="77777777" w:rsidR="00233F51" w:rsidRDefault="00BE018E">
      <w:pPr>
        <w:pStyle w:val="Ttulo1"/>
      </w:pPr>
      <w:r>
        <w:t>1. Verificación de continuidad: nada se ha suprimido</w:t>
      </w:r>
    </w:p>
    <w:p w14:paraId="59ADAE76" w14:textId="77777777" w:rsidR="00233F51" w:rsidRDefault="00BE018E">
      <w:r>
        <w:t>Todos los contenidos del protocolo de 2022 se conservan en el de 2026. En los casos en que un apartado se ha reformulado, la modificación ha consistido siempre en ampliar o mejorar el contenido, nunca en eliminarlo. La correspondencia apartado a apartado es la siguiente:</w:t>
      </w:r>
    </w:p>
    <w:p w14:paraId="770AC539" w14:textId="77777777" w:rsidR="00233F51" w:rsidRDefault="00BE018E">
      <w:r>
        <w:rPr>
          <w:b/>
          <w:color w:val="7B2D8E"/>
        </w:rPr>
        <w:t xml:space="preserve">Objeto (2022, ap. 1.1) </w:t>
      </w:r>
      <w:r>
        <w:t xml:space="preserve"> → se conserva en el apartado 1.2 del nuevo protocolo, ampliado con las referencias a la LO 10/2022 y al Decreto Legislativo 1/2023.</w:t>
      </w:r>
    </w:p>
    <w:p w14:paraId="733D0C2C" w14:textId="77777777" w:rsidR="00233F51" w:rsidRDefault="00BE018E">
      <w:r>
        <w:rPr>
          <w:b/>
          <w:color w:val="7B2D8E"/>
        </w:rPr>
        <w:t xml:space="preserve">Objetivos (2022, ap. 1.2) </w:t>
      </w:r>
      <w:r>
        <w:t xml:space="preserve"> → se conservan en el apartado 1.3, ampliados con los objetivos de prevención, reparación e integración con la prevención de riesgos laborales.</w:t>
      </w:r>
    </w:p>
    <w:p w14:paraId="0808E68E" w14:textId="77777777" w:rsidR="00233F51" w:rsidRDefault="00BE018E">
      <w:r>
        <w:rPr>
          <w:b/>
          <w:color w:val="7B2D8E"/>
        </w:rPr>
        <w:t xml:space="preserve">Alcance (2022, ap. 1.3) </w:t>
      </w:r>
      <w:r>
        <w:t xml:space="preserve"> → se conserva y se desarrolla en el apartado 2 (Ámbito de aplicación), ahora dividido en ámbito personal y ámbito espacial.</w:t>
      </w:r>
    </w:p>
    <w:p w14:paraId="58817EB8" w14:textId="77777777" w:rsidR="00233F51" w:rsidRDefault="00BE018E">
      <w:r>
        <w:rPr>
          <w:b/>
          <w:color w:val="7B2D8E"/>
        </w:rPr>
        <w:t xml:space="preserve">Garantías (2022, ap. 1.4) </w:t>
      </w:r>
      <w:r>
        <w:t xml:space="preserve"> → se conservan íntegramente en el apartado 4, donde se mantienen todas las del 2022 (celeridad, confidencialidad, imparcialidad, presunción de inocencia, intimidad, indemnidad, no revictimización, reparación, colaboración, medidas frente a denuncias fraudulentas, voluntariedad de la vía informal, tiempo de trabajo efectivo) y se añaden tres nuevas.</w:t>
      </w:r>
    </w:p>
    <w:p w14:paraId="7AE74E54" w14:textId="77777777" w:rsidR="00233F51" w:rsidRDefault="00BE018E">
      <w:r>
        <w:rPr>
          <w:b/>
          <w:color w:val="7B2D8E"/>
        </w:rPr>
        <w:t xml:space="preserve">Definiciones (2022, ap. 2) </w:t>
      </w:r>
      <w:r>
        <w:t xml:space="preserve"> → se conservan las definiciones de acoso sexual y acoso por razón de sexo con todos sus ejemplos en el apartado 3, al que se añaden nuevas categorías y un marco conceptual.</w:t>
      </w:r>
    </w:p>
    <w:p w14:paraId="16B4E587" w14:textId="77777777" w:rsidR="00233F51" w:rsidRDefault="00BE018E">
      <w:r>
        <w:rPr>
          <w:b/>
          <w:color w:val="7B2D8E"/>
        </w:rPr>
        <w:t xml:space="preserve">Formación (2022, ap. 3) </w:t>
      </w:r>
      <w:r>
        <w:t xml:space="preserve"> → se conserva en el apartado 5, con los mismos contenidos mínimos, reforzando su carácter obligatorio.</w:t>
      </w:r>
    </w:p>
    <w:p w14:paraId="34D62D02" w14:textId="77777777" w:rsidR="00233F51" w:rsidRDefault="00BE018E">
      <w:r>
        <w:rPr>
          <w:b/>
          <w:color w:val="7B2D8E"/>
        </w:rPr>
        <w:lastRenderedPageBreak/>
        <w:t xml:space="preserve">Divulgación (2022, ap. 4) </w:t>
      </w:r>
      <w:r>
        <w:t xml:space="preserve"> → se conserva en el apartado 6, con la incorporación del acceso visible y directo y la información a las víctimas sobre recursos.</w:t>
      </w:r>
    </w:p>
    <w:p w14:paraId="17896BB6" w14:textId="77777777" w:rsidR="00233F51" w:rsidRDefault="00BE018E">
      <w:r>
        <w:rPr>
          <w:b/>
          <w:color w:val="7B2D8E"/>
        </w:rPr>
        <w:t xml:space="preserve">Exclusiones (2022, ap. 5) </w:t>
      </w:r>
      <w:r>
        <w:t xml:space="preserve"> → se conservan en el apartado 7, manteniendo la derivación a los protocolos de gestión de conflictos y de acoso laboral.</w:t>
      </w:r>
    </w:p>
    <w:p w14:paraId="0DF5F19F" w14:textId="77777777" w:rsidR="00233F51" w:rsidRDefault="00BE018E">
      <w:r>
        <w:rPr>
          <w:b/>
          <w:color w:val="7B2D8E"/>
        </w:rPr>
        <w:t xml:space="preserve">Funciones y responsabilidades (2022, ap. 6) </w:t>
      </w:r>
      <w:r>
        <w:t xml:space="preserve"> → se conservan en el apartado 8, ampliadas con nuevos sujetos responsables.</w:t>
      </w:r>
    </w:p>
    <w:p w14:paraId="2F4325B2" w14:textId="77777777" w:rsidR="00233F51" w:rsidRDefault="00BE018E">
      <w:r>
        <w:rPr>
          <w:b/>
          <w:color w:val="7B2D8E"/>
        </w:rPr>
        <w:t xml:space="preserve">Declaración de principios (2022, ap. 7) </w:t>
      </w:r>
      <w:r>
        <w:t xml:space="preserve"> → se conserva en el apartado 9, con la incorporación de la doble responsabilidad de CCASA como empresa pública.</w:t>
      </w:r>
    </w:p>
    <w:p w14:paraId="3E09FBB3" w14:textId="77777777" w:rsidR="00233F51" w:rsidRDefault="00BE018E">
      <w:r>
        <w:rPr>
          <w:b/>
          <w:color w:val="7B2D8E"/>
        </w:rPr>
        <w:t xml:space="preserve">Asesoría confidencial (2022, ap. 8) </w:t>
      </w:r>
      <w:r>
        <w:t xml:space="preserve"> → se conserva en el apartado 10, manteniendo su composición y la elección por la persona denunciante, con mejoras en formación, abstención y asesoramiento.</w:t>
      </w:r>
    </w:p>
    <w:p w14:paraId="2009DA4C" w14:textId="77777777" w:rsidR="00233F51" w:rsidRDefault="00BE018E">
      <w:r>
        <w:rPr>
          <w:b/>
          <w:color w:val="7B2D8E"/>
        </w:rPr>
        <w:t xml:space="preserve">Procedimiento (2022, ap. 9) </w:t>
      </w:r>
      <w:r>
        <w:t xml:space="preserve"> → se conserva en el apartado 11, manteniendo la doble vía (informal y formal) y los plazos de la fase informal e investigación, con mejoras en la admisión de denuncias y las medidas cautelares.</w:t>
      </w:r>
    </w:p>
    <w:p w14:paraId="3508480A" w14:textId="77777777" w:rsidR="00233F51" w:rsidRDefault="00BE018E">
      <w:r>
        <w:rPr>
          <w:b/>
          <w:color w:val="7B2D8E"/>
        </w:rPr>
        <w:t xml:space="preserve">Tipificación de faltas y sanciones (2022, ap. 10) </w:t>
      </w:r>
      <w:r>
        <w:t xml:space="preserve"> → se conserva íntegramente en el apartado 13, manteniendo la escala de faltas, las once circunstancias agravantes, las atenuantes y las sanciones, con la incorporación de las conductas contra la libertad sexual.</w:t>
      </w:r>
    </w:p>
    <w:p w14:paraId="19C0647A" w14:textId="77777777" w:rsidR="00233F51" w:rsidRDefault="00BE018E">
      <w:r>
        <w:rPr>
          <w:b/>
          <w:color w:val="7B2D8E"/>
        </w:rPr>
        <w:t xml:space="preserve">Evaluación y seguimiento (2022, ap. 11) </w:t>
      </w:r>
      <w:r>
        <w:t xml:space="preserve"> → se conserva en el apartado 14, manteniendo el informe anual y los cuatro órganos destinatarios, con una formulación simplificada y proporcionada para el escenario habitual de ausencia de casos.</w:t>
      </w:r>
    </w:p>
    <w:p w14:paraId="04DB62AF" w14:textId="77777777" w:rsidR="00233F51" w:rsidRDefault="00BE018E">
      <w:r>
        <w:rPr>
          <w:b/>
          <w:color w:val="7B2D8E"/>
        </w:rPr>
        <w:t xml:space="preserve">Bibliografía (2022, ap. 12) </w:t>
      </w:r>
      <w:r>
        <w:t xml:space="preserve"> → se conserva y se actualiza en el apartado de Bibliografía y normativa de referencia.</w:t>
      </w:r>
    </w:p>
    <w:p w14:paraId="6F657630" w14:textId="77777777" w:rsidR="00233F51" w:rsidRDefault="00BE018E">
      <w:r>
        <w:rPr>
          <w:b/>
          <w:color w:val="7B2D8E"/>
        </w:rPr>
        <w:t xml:space="preserve">Anexo - Plantilla de denuncia (2022) </w:t>
      </w:r>
      <w:r>
        <w:t xml:space="preserve"> → se conserva en el Anexo I, ahora en formato formulario y con las nuevas categorías de conducta.</w:t>
      </w:r>
    </w:p>
    <w:p w14:paraId="22740C7F" w14:textId="77777777" w:rsidR="00233F51" w:rsidRDefault="00BE018E">
      <w:pPr>
        <w:pStyle w:val="Ttulo1"/>
      </w:pPr>
      <w:r>
        <w:t>2. Elementos añadidos y recomendaciones a las que responden</w:t>
      </w:r>
    </w:p>
    <w:p w14:paraId="59101DC1" w14:textId="77777777" w:rsidR="00233F51" w:rsidRDefault="00BE018E">
      <w:r>
        <w:t>El nuevo protocolo incorpora los siguientes elementos, que no existían en el de 2022. Cada uno responde a una recomendación concreta del informe de diagnóstico:</w:t>
      </w:r>
    </w:p>
    <w:p w14:paraId="5A52691A" w14:textId="77777777" w:rsidR="00233F51" w:rsidRDefault="00BE018E">
      <w:r>
        <w:rPr>
          <w:b/>
          <w:color w:val="7B2D8E"/>
        </w:rPr>
        <w:t xml:space="preserve">Título ampliado </w:t>
      </w:r>
      <w:r>
        <w:t xml:space="preserve"> (incorpora las conductas contra la libertad sexual y la integridad moral). Responde a la decisión 10 (denominación) y a la decisión 1 (alcance conceptual).</w:t>
      </w:r>
    </w:p>
    <w:p w14:paraId="2696EB2E" w14:textId="77777777" w:rsidR="00233F51" w:rsidRDefault="00BE018E">
      <w:r>
        <w:rPr>
          <w:b/>
          <w:color w:val="7B2D8E"/>
        </w:rPr>
        <w:t xml:space="preserve">Antecedentes (ap. 1.1) </w:t>
      </w:r>
      <w:r>
        <w:t xml:space="preserve"> nuevo apartado que sitúa el protocolo de 2022 como punto de partida y justifica la revisión. Responde a la petición de documentar la continuidad.</w:t>
      </w:r>
    </w:p>
    <w:p w14:paraId="06C90A4C" w14:textId="77777777" w:rsidR="00233F51" w:rsidRDefault="00BE018E">
      <w:r>
        <w:rPr>
          <w:b/>
          <w:color w:val="7B2D8E"/>
        </w:rPr>
        <w:t xml:space="preserve">Marco normativo actualizado </w:t>
      </w:r>
      <w:r>
        <w:t xml:space="preserve"> (LO 10/2022, Decreto Legislativo 1/2023, Convenio 190 OIT, Directiva UE 2024/1385, RD 901/2020). Responde a la decisión sobre actualización normativa (dimensión 12 del diagnóstico).</w:t>
      </w:r>
    </w:p>
    <w:p w14:paraId="699CBD21" w14:textId="77777777" w:rsidR="00233F51" w:rsidRDefault="00BE018E">
      <w:r>
        <w:rPr>
          <w:b/>
          <w:color w:val="7B2D8E"/>
        </w:rPr>
        <w:t xml:space="preserve">Ámbito personal ampliado </w:t>
      </w:r>
      <w:r>
        <w:t xml:space="preserve"> (personal becario y cláusula de cobertura futura; coordinación con empresas externas). Responde a la decisión 2 (alcance personal).</w:t>
      </w:r>
    </w:p>
    <w:p w14:paraId="3D108BAE" w14:textId="77777777" w:rsidR="00233F51" w:rsidRDefault="00BE018E">
      <w:r>
        <w:rPr>
          <w:b/>
          <w:color w:val="7B2D8E"/>
        </w:rPr>
        <w:t xml:space="preserve">Ámbito espacial (ap. 2.2) </w:t>
      </w:r>
      <w:r>
        <w:t xml:space="preserve"> nuevo apartado conforme al Convenio 190 de la OIT (teletrabajo, comunicaciones digitales, desplazamientos, trayectos). Responde a la decisión 3.</w:t>
      </w:r>
    </w:p>
    <w:p w14:paraId="3ECB733E" w14:textId="77777777" w:rsidR="00233F51" w:rsidRDefault="00BE018E">
      <w:r>
        <w:rPr>
          <w:b/>
          <w:color w:val="7B2D8E"/>
        </w:rPr>
        <w:t xml:space="preserve">Marco conceptual (ap. 3.1) </w:t>
      </w:r>
      <w:r>
        <w:t xml:space="preserve"> nuevo apartado que fundamenta las conductas como manifestación de la desigualdad estructural y como riesgo psicosocial. Responde a la mejora del marco teórico acordada.</w:t>
      </w:r>
    </w:p>
    <w:p w14:paraId="1E10F3FB" w14:textId="77777777" w:rsidR="00233F51" w:rsidRDefault="00BE018E">
      <w:r>
        <w:rPr>
          <w:b/>
          <w:color w:val="7B2D8E"/>
        </w:rPr>
        <w:t xml:space="preserve">Distinción chantaje sexual / acoso ambiental (ap. 3.2) </w:t>
      </w:r>
      <w:r>
        <w:t xml:space="preserve"> precisión técnica añadida a la definición de acoso sexual. Responde a la mejora del marco conceptual.</w:t>
      </w:r>
    </w:p>
    <w:p w14:paraId="0B6CB197" w14:textId="77777777" w:rsidR="00233F51" w:rsidRDefault="00BE018E">
      <w:r>
        <w:rPr>
          <w:b/>
          <w:color w:val="7B2D8E"/>
        </w:rPr>
        <w:t xml:space="preserve">Conductas contra la libertad sexual (ap. 3.4) </w:t>
      </w:r>
      <w:r>
        <w:t xml:space="preserve"> nueva categoría con ejemplos, conforme a la LO 10/2022. Responde a la decisión 1.</w:t>
      </w:r>
    </w:p>
    <w:p w14:paraId="63E59351" w14:textId="77777777" w:rsidR="00233F51" w:rsidRDefault="00BE018E">
      <w:r>
        <w:rPr>
          <w:b/>
          <w:color w:val="7B2D8E"/>
        </w:rPr>
        <w:t xml:space="preserve">Acoso digital (ap. 3.5) </w:t>
      </w:r>
      <w:r>
        <w:t xml:space="preserve"> nueva categoría con ejemplos. Responde a la decisión 4.</w:t>
      </w:r>
    </w:p>
    <w:p w14:paraId="795183BB" w14:textId="77777777" w:rsidR="00233F51" w:rsidRDefault="00BE018E">
      <w:r>
        <w:rPr>
          <w:b/>
          <w:color w:val="7B2D8E"/>
        </w:rPr>
        <w:t xml:space="preserve">Garantías nuevas (ap. 4) </w:t>
      </w:r>
      <w:r>
        <w:t xml:space="preserve"> credibilidad y presunción de veracidad; separación de la persona acosadora y no de la víctima; mantenimiento de la indemnidad aun cuando la denuncia no se pruebe. Responden a las dimensiones de garantías y atención a la víctima del diagnóstico.</w:t>
      </w:r>
    </w:p>
    <w:p w14:paraId="4737A00F" w14:textId="77777777" w:rsidR="00233F51" w:rsidRDefault="00BE018E">
      <w:r>
        <w:rPr>
          <w:b/>
          <w:color w:val="7B2D8E"/>
        </w:rPr>
        <w:t xml:space="preserve">Formación obligatoria (ap. 5 y 10.2) </w:t>
      </w:r>
      <w:r>
        <w:t xml:space="preserve"> la formación de la asesoría confidencial pasa de recomendable a obligatoria, con actualización cada dos años y cuando se considere pertinente. Responde a la decisión 5.</w:t>
      </w:r>
    </w:p>
    <w:p w14:paraId="3C04347E" w14:textId="77777777" w:rsidR="00233F51" w:rsidRDefault="00BE018E">
      <w:r>
        <w:rPr>
          <w:b/>
          <w:color w:val="7B2D8E"/>
        </w:rPr>
        <w:t xml:space="preserve">Doble responsabilidad de CCASA (ap. 9) </w:t>
      </w:r>
      <w:r>
        <w:t xml:space="preserve"> añadida a la declaración de principios. Responde al marco de la responsabilidad dual interna y externa.</w:t>
      </w:r>
    </w:p>
    <w:p w14:paraId="085EA5D6" w14:textId="77777777" w:rsidR="00233F51" w:rsidRDefault="00BE018E">
      <w:r>
        <w:rPr>
          <w:b/>
          <w:color w:val="7B2D8E"/>
        </w:rPr>
        <w:t xml:space="preserve">Asistencia técnica externa en igualdad (ap. 8 y 10) </w:t>
      </w:r>
      <w:r>
        <w:t xml:space="preserve"> formalizada como recurso de asesoramiento de la asesoría confidencial. Responde a la decisión 5.</w:t>
      </w:r>
    </w:p>
    <w:p w14:paraId="320CB0F9" w14:textId="77777777" w:rsidR="00233F51" w:rsidRDefault="00BE018E">
      <w:r>
        <w:rPr>
          <w:b/>
          <w:color w:val="7B2D8E"/>
        </w:rPr>
        <w:t xml:space="preserve">Requisito de perspectiva de género para el servicio de prevención (ap. 8, 10 y 15) </w:t>
      </w:r>
      <w:r>
        <w:t xml:space="preserve"> responde a la decisión 6 y proporciona base para el pliego del nuevo servicio.</w:t>
      </w:r>
    </w:p>
    <w:p w14:paraId="2BEE1D12" w14:textId="77777777" w:rsidR="00233F51" w:rsidRDefault="00BE018E">
      <w:r>
        <w:rPr>
          <w:b/>
          <w:color w:val="7B2D8E"/>
        </w:rPr>
        <w:t xml:space="preserve">Causas de abstención y recusación (ap. 10.3) </w:t>
      </w:r>
      <w:r>
        <w:t xml:space="preserve"> nuevo apartado. Responde a la decisión 5.</w:t>
      </w:r>
    </w:p>
    <w:p w14:paraId="68DE027E" w14:textId="77777777" w:rsidR="00233F51" w:rsidRDefault="00BE018E">
      <w:r>
        <w:rPr>
          <w:b/>
          <w:color w:val="7B2D8E"/>
        </w:rPr>
        <w:t xml:space="preserve">Admisión de denuncia verbal y telemática (ap. 11) </w:t>
      </w:r>
      <w:r>
        <w:t xml:space="preserve"> ampliación de las vías de presentación. Responde a la dimensión de arquitectura del procedimiento.</w:t>
      </w:r>
    </w:p>
    <w:p w14:paraId="28129C81" w14:textId="77777777" w:rsidR="00233F51" w:rsidRDefault="00BE018E">
      <w:r>
        <w:rPr>
          <w:b/>
          <w:color w:val="7B2D8E"/>
        </w:rPr>
        <w:t xml:space="preserve">Plazo de resolución (ap. 11.2.3) </w:t>
      </w:r>
      <w:r>
        <w:t xml:space="preserve"> se fija en diez días laborables, descartando el plazo inviable de tres días. Responde a la decisión 8.</w:t>
      </w:r>
    </w:p>
    <w:p w14:paraId="6D0AB696" w14:textId="77777777" w:rsidR="00233F51" w:rsidRDefault="00BE018E">
      <w:r>
        <w:rPr>
          <w:b/>
          <w:color w:val="7B2D8E"/>
        </w:rPr>
        <w:t xml:space="preserve">Medidas de reparación integral (ap. 12) </w:t>
      </w:r>
      <w:r>
        <w:t xml:space="preserve"> nuevo apartado completo. Responde a la decisión 9.</w:t>
      </w:r>
    </w:p>
    <w:p w14:paraId="4F0B7B66" w14:textId="77777777" w:rsidR="00233F51" w:rsidRDefault="00BE018E">
      <w:r>
        <w:rPr>
          <w:b/>
          <w:color w:val="7B2D8E"/>
        </w:rPr>
        <w:t xml:space="preserve">Coordinación con prevención de riesgos laborales (ap. 15) </w:t>
      </w:r>
      <w:r>
        <w:t xml:space="preserve"> nuevo apartado. Responde a la decisión 6.</w:t>
      </w:r>
    </w:p>
    <w:p w14:paraId="0689C8E8" w14:textId="77777777" w:rsidR="00233F51" w:rsidRDefault="00BE018E">
      <w:r>
        <w:rPr>
          <w:b/>
          <w:color w:val="7B2D8E"/>
        </w:rPr>
        <w:t xml:space="preserve">Anexo II. Modelo de consentimiento informado </w:t>
      </w:r>
      <w:r>
        <w:t xml:space="preserve"> nuevo anexo. Responde a la mejora de garantías y protección de datos.</w:t>
      </w:r>
    </w:p>
    <w:p w14:paraId="6EED1F61" w14:textId="77777777" w:rsidR="00233F51" w:rsidRDefault="00BE018E">
      <w:pPr>
        <w:pStyle w:val="Ttulo1"/>
      </w:pPr>
      <w:r>
        <w:t>3. Verificación del cumplimiento de las decisiones acordadas</w:t>
      </w:r>
    </w:p>
    <w:p w14:paraId="19D9C7CC" w14:textId="77777777" w:rsidR="00233F51" w:rsidRDefault="00BE018E">
      <w:r>
        <w:t>Se comprueba que las diez decisiones de la batería acordada en el informe de diagnóstico se han incorporado al nuevo protocolo:</w:t>
      </w:r>
    </w:p>
    <w:p w14:paraId="52D2A4D1" w14:textId="77777777" w:rsidR="00233F51" w:rsidRDefault="00BE018E">
      <w:r>
        <w:rPr>
          <w:b/>
          <w:color w:val="7B2D8E"/>
        </w:rPr>
        <w:t xml:space="preserve">Decisión 1 (alcance conceptual: conductas contra la libertad sexual). </w:t>
      </w:r>
      <w:r>
        <w:t xml:space="preserve"> Incorporada en el título, en el apartado 1.2 y en el apartado 3.4.</w:t>
      </w:r>
    </w:p>
    <w:p w14:paraId="7609B93E" w14:textId="77777777" w:rsidR="00233F51" w:rsidRDefault="00BE018E">
      <w:r>
        <w:rPr>
          <w:b/>
          <w:color w:val="7B2D8E"/>
        </w:rPr>
        <w:t xml:space="preserve">Decisión 2 (alcance personal: cláusula futura y empresas externas). </w:t>
      </w:r>
      <w:r>
        <w:t xml:space="preserve"> Incorporada en el apartado 2.1, incluyendo el personal becario.</w:t>
      </w:r>
    </w:p>
    <w:p w14:paraId="6E147F20" w14:textId="77777777" w:rsidR="00233F51" w:rsidRDefault="00BE018E">
      <w:r>
        <w:rPr>
          <w:b/>
          <w:color w:val="7B2D8E"/>
        </w:rPr>
        <w:t xml:space="preserve">Decisión 3 (ámbito espacial: Convenio 190 OIT). </w:t>
      </w:r>
      <w:r>
        <w:t xml:space="preserve"> Incorporada en el apartado 2.2.</w:t>
      </w:r>
    </w:p>
    <w:p w14:paraId="235DD55B" w14:textId="77777777" w:rsidR="00233F51" w:rsidRDefault="00BE018E">
      <w:r>
        <w:rPr>
          <w:b/>
          <w:color w:val="7B2D8E"/>
        </w:rPr>
        <w:t xml:space="preserve">Decisión 4 (acoso digital: mención expresa). </w:t>
      </w:r>
      <w:r>
        <w:t xml:space="preserve"> Incorporada en el apartado 3.5 y en el ámbito espacial.</w:t>
      </w:r>
    </w:p>
    <w:p w14:paraId="61CEB8BB" w14:textId="77777777" w:rsidR="00233F51" w:rsidRDefault="00BE018E">
      <w:r>
        <w:rPr>
          <w:b/>
          <w:color w:val="7B2D8E"/>
        </w:rPr>
        <w:t xml:space="preserve">Decisión 5 (asesoría confidencial: formación obligatoria, asistencia técnica en igualdad, abstención y recusación). </w:t>
      </w:r>
      <w:r>
        <w:t xml:space="preserve"> Incorporada en los apartados 10.1, 10.2 y 10.3.</w:t>
      </w:r>
    </w:p>
    <w:p w14:paraId="5291D25F" w14:textId="77777777" w:rsidR="00233F51" w:rsidRDefault="00BE018E">
      <w:r>
        <w:rPr>
          <w:b/>
          <w:color w:val="7B2D8E"/>
        </w:rPr>
        <w:t xml:space="preserve">Decisión 6 (integración con PRL y perspectiva de género del servicio de prevención). </w:t>
      </w:r>
      <w:r>
        <w:t xml:space="preserve"> Incorporada en los apartados 8, 10.1 y 15.</w:t>
      </w:r>
    </w:p>
    <w:p w14:paraId="3F406AB1" w14:textId="77777777" w:rsidR="00233F51" w:rsidRDefault="00BE018E">
      <w:r>
        <w:rPr>
          <w:b/>
          <w:color w:val="7B2D8E"/>
        </w:rPr>
        <w:t xml:space="preserve">Decisión 7 (indicadores de seguimiento e informe anual). </w:t>
      </w:r>
      <w:r>
        <w:t xml:space="preserve"> Incorporada en el apartado 14, con la formulación simplificada acordada para el escenario de ausencia de casos.</w:t>
      </w:r>
    </w:p>
    <w:p w14:paraId="2549DC86" w14:textId="77777777" w:rsidR="00233F51" w:rsidRDefault="00BE018E">
      <w:r>
        <w:rPr>
          <w:b/>
          <w:color w:val="7B2D8E"/>
        </w:rPr>
        <w:t xml:space="preserve">Decisión 8 (plazos de resolución y seguimiento). </w:t>
      </w:r>
      <w:r>
        <w:t xml:space="preserve"> Incorporada en el apartado 11.2.3 (resolución en diez días laborables).</w:t>
      </w:r>
    </w:p>
    <w:p w14:paraId="1D9DBA74" w14:textId="77777777" w:rsidR="00233F51" w:rsidRDefault="00BE018E">
      <w:r>
        <w:rPr>
          <w:b/>
          <w:color w:val="7B2D8E"/>
        </w:rPr>
        <w:t xml:space="preserve">Decisión 9 (reparación integral). </w:t>
      </w:r>
      <w:r>
        <w:t xml:space="preserve"> Incorporada en el apartado 12.</w:t>
      </w:r>
    </w:p>
    <w:p w14:paraId="4706A957" w14:textId="77777777" w:rsidR="00233F51" w:rsidRDefault="00BE018E">
      <w:r>
        <w:rPr>
          <w:b/>
          <w:color w:val="7B2D8E"/>
        </w:rPr>
        <w:t xml:space="preserve">Decisión 10 (denominación del protocolo). </w:t>
      </w:r>
      <w:r>
        <w:t xml:space="preserve"> Incorporada en el título del nuevo protocolo.</w:t>
      </w:r>
    </w:p>
    <w:p w14:paraId="659B4718" w14:textId="77777777" w:rsidR="00233F51" w:rsidRDefault="00BE018E">
      <w:pPr>
        <w:pStyle w:val="Ttulo1"/>
      </w:pPr>
      <w:r>
        <w:t>4. Conclusión</w:t>
      </w:r>
    </w:p>
    <w:p w14:paraId="1103516B" w14:textId="77777777" w:rsidR="00233F51" w:rsidRDefault="00BE018E">
      <w:r>
        <w:t>El nuevo protocolo de 2026 conserva la totalidad de los contenidos del protocolo de 2022, reformulando algunos de ellos únicamente para mejorarlos, y los completa con los elementos derivados de las diez decisiones acordadas y de las mejores prácticas identificadas en el diagnóstico. No se ha suprimido ningún contenido sin sustituirlo por una versión ampliada o mejorada, y todas las decisiones acordadas se han incorporado de forma efectiva. El resultado es un instrumento que mantiene las fortalezas reconocid</w:t>
      </w:r>
      <w:r>
        <w:t>as del protocolo anterior y subsana las brechas detectadas, situándose en línea con las mejores prácticas del entorno vasco, estatal e internacional.</w:t>
      </w:r>
    </w:p>
    <w:sectPr w:rsidR="00233F51" w:rsidSect="009E1F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985" w:bottom="1701" w:left="1985" w:header="28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47741" w14:textId="77777777" w:rsidR="00BE018E" w:rsidRDefault="00BE018E">
      <w:r>
        <w:separator/>
      </w:r>
    </w:p>
  </w:endnote>
  <w:endnote w:type="continuationSeparator" w:id="0">
    <w:p w14:paraId="58CE1F70" w14:textId="77777777" w:rsidR="00BE018E" w:rsidRDefault="00BE0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A14E8" w14:textId="77777777" w:rsidR="00C716CD" w:rsidRDefault="00C716C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7506045"/>
      <w:docPartObj>
        <w:docPartGallery w:val="Page Numbers (Bottom of Page)"/>
        <w:docPartUnique/>
      </w:docPartObj>
    </w:sdtPr>
    <w:sdtEndPr>
      <w:rPr>
        <w:color w:val="A02B93" w:themeColor="accent5"/>
        <w:sz w:val="24"/>
        <w:szCs w:val="24"/>
      </w:rPr>
    </w:sdtEndPr>
    <w:sdtContent>
      <w:p w14:paraId="6A18C3A1" w14:textId="77777777" w:rsidR="00543A35" w:rsidRPr="00543A35" w:rsidRDefault="00543A35">
        <w:pPr>
          <w:pStyle w:val="Piedepgina"/>
          <w:jc w:val="center"/>
          <w:rPr>
            <w:color w:val="A02B93" w:themeColor="accent5"/>
            <w:sz w:val="24"/>
            <w:szCs w:val="24"/>
          </w:rPr>
        </w:pPr>
        <w:r w:rsidRPr="00543A35">
          <w:rPr>
            <w:b/>
            <w:bCs/>
            <w:noProof/>
            <w:color w:val="A02B93" w:themeColor="accent5"/>
            <w:sz w:val="24"/>
            <w:szCs w:val="24"/>
          </w:rPr>
          <w:drawing>
            <wp:anchor distT="0" distB="0" distL="114300" distR="114300" simplePos="0" relativeHeight="251659264" behindDoc="0" locked="0" layoutInCell="1" allowOverlap="1" wp14:anchorId="622A4FDA" wp14:editId="60F616B8">
              <wp:simplePos x="0" y="0"/>
              <wp:positionH relativeFrom="column">
                <wp:posOffset>2081530</wp:posOffset>
              </wp:positionH>
              <wp:positionV relativeFrom="paragraph">
                <wp:posOffset>48584</wp:posOffset>
              </wp:positionV>
              <wp:extent cx="859155" cy="48260"/>
              <wp:effectExtent l="0" t="0" r="0" b="8890"/>
              <wp:wrapNone/>
              <wp:docPr id="896446657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96446657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9155" cy="482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43A35">
          <w:rPr>
            <w:b/>
            <w:bCs/>
            <w:color w:val="A02B93" w:themeColor="accent5"/>
            <w:sz w:val="24"/>
            <w:szCs w:val="24"/>
          </w:rPr>
          <w:fldChar w:fldCharType="begin"/>
        </w:r>
        <w:r w:rsidRPr="00543A35">
          <w:rPr>
            <w:b/>
            <w:bCs/>
            <w:color w:val="A02B93" w:themeColor="accent5"/>
            <w:sz w:val="24"/>
            <w:szCs w:val="24"/>
          </w:rPr>
          <w:instrText>PAGE   \* MERGEFORMAT</w:instrText>
        </w:r>
        <w:r w:rsidRPr="00543A35">
          <w:rPr>
            <w:b/>
            <w:bCs/>
            <w:color w:val="A02B93" w:themeColor="accent5"/>
            <w:sz w:val="24"/>
            <w:szCs w:val="24"/>
          </w:rPr>
          <w:fldChar w:fldCharType="separate"/>
        </w:r>
        <w:r w:rsidRPr="00543A35">
          <w:rPr>
            <w:b/>
            <w:bCs/>
            <w:color w:val="A02B93" w:themeColor="accent5"/>
            <w:sz w:val="24"/>
            <w:szCs w:val="24"/>
          </w:rPr>
          <w:t>2</w:t>
        </w:r>
        <w:r w:rsidRPr="00543A35">
          <w:rPr>
            <w:b/>
            <w:bCs/>
            <w:color w:val="A02B93" w:themeColor="accent5"/>
            <w:sz w:val="24"/>
            <w:szCs w:val="24"/>
          </w:rPr>
          <w:fldChar w:fldCharType="end"/>
        </w:r>
      </w:p>
    </w:sdtContent>
  </w:sdt>
  <w:p w14:paraId="5315D513" w14:textId="77777777" w:rsidR="006959D1" w:rsidRDefault="00543A35" w:rsidP="009E1F7E">
    <w:pPr>
      <w:tabs>
        <w:tab w:val="center" w:pos="3969"/>
        <w:tab w:val="right" w:pos="8504"/>
      </w:tabs>
    </w:pPr>
    <w:r w:rsidRPr="00543A35">
      <w:rPr>
        <w:b/>
        <w:bCs/>
        <w:noProof/>
        <w:color w:val="A02B93" w:themeColor="accent5"/>
        <w:sz w:val="24"/>
        <w:szCs w:val="24"/>
      </w:rPr>
      <w:drawing>
        <wp:anchor distT="0" distB="0" distL="114300" distR="114300" simplePos="0" relativeHeight="251661312" behindDoc="0" locked="0" layoutInCell="1" allowOverlap="1" wp14:anchorId="2B0C4DA1" wp14:editId="45029418">
          <wp:simplePos x="0" y="0"/>
          <wp:positionH relativeFrom="column">
            <wp:posOffset>2112645</wp:posOffset>
          </wp:positionH>
          <wp:positionV relativeFrom="paragraph">
            <wp:posOffset>35871</wp:posOffset>
          </wp:positionV>
          <wp:extent cx="859155" cy="48260"/>
          <wp:effectExtent l="0" t="0" r="0" b="8890"/>
          <wp:wrapNone/>
          <wp:docPr id="12814927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44665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9155" cy="48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710BA" w14:textId="77777777" w:rsidR="00C716CD" w:rsidRDefault="00C716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FB5F5" w14:textId="77777777" w:rsidR="00BE018E" w:rsidRDefault="00BE018E">
      <w:r>
        <w:separator/>
      </w:r>
    </w:p>
  </w:footnote>
  <w:footnote w:type="continuationSeparator" w:id="0">
    <w:p w14:paraId="255C2E5A" w14:textId="77777777" w:rsidR="00BE018E" w:rsidRDefault="00BE0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A2A45" w14:textId="77777777" w:rsidR="00C716CD" w:rsidRDefault="00C716C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2E932" w14:textId="77777777" w:rsidR="006959D1" w:rsidRDefault="009E1F7E">
    <w:r>
      <w:rPr>
        <w:noProof/>
      </w:rPr>
      <w:drawing>
        <wp:inline distT="0" distB="0" distL="0" distR="0" wp14:anchorId="1AE775BA" wp14:editId="6E81FC01">
          <wp:extent cx="6918961" cy="45719"/>
          <wp:effectExtent l="0" t="0" r="0" b="0"/>
          <wp:docPr id="1816472705" name="Imagen 18164727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35783" cy="53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B6C43">
      <w:rPr>
        <w:noProof/>
      </w:rPr>
      <w:drawing>
        <wp:anchor distT="0" distB="0" distL="114300" distR="114300" simplePos="0" relativeHeight="251658240" behindDoc="0" locked="0" layoutInCell="1" allowOverlap="1" wp14:anchorId="727A9E0F" wp14:editId="5CCBBF61">
          <wp:simplePos x="0" y="0"/>
          <wp:positionH relativeFrom="column">
            <wp:posOffset>-931237</wp:posOffset>
          </wp:positionH>
          <wp:positionV relativeFrom="paragraph">
            <wp:posOffset>-130640</wp:posOffset>
          </wp:positionV>
          <wp:extent cx="714375" cy="714375"/>
          <wp:effectExtent l="0" t="0" r="9525" b="952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C28D9C9" w14:textId="77777777" w:rsidR="006959D1" w:rsidRDefault="006959D1">
    <w:pPr>
      <w:spacing w:before="20"/>
    </w:pPr>
  </w:p>
  <w:p w14:paraId="2637DDD2" w14:textId="77777777" w:rsidR="009E1F7E" w:rsidRDefault="009E1F7E">
    <w:pPr>
      <w:spacing w:before="20"/>
    </w:pPr>
  </w:p>
  <w:p w14:paraId="4845870C" w14:textId="77777777" w:rsidR="009E1F7E" w:rsidRDefault="009E1F7E">
    <w:pPr>
      <w:spacing w:before="20"/>
    </w:pPr>
  </w:p>
  <w:p w14:paraId="2E5AB552" w14:textId="77777777" w:rsidR="009E1F7E" w:rsidRDefault="009E1F7E">
    <w:pPr>
      <w:spacing w:before="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9A5D" w14:textId="77777777" w:rsidR="00C716CD" w:rsidRDefault="00C716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537"/>
    <w:multiLevelType w:val="multilevel"/>
    <w:tmpl w:val="917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242DC"/>
    <w:multiLevelType w:val="multilevel"/>
    <w:tmpl w:val="75EA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041CA"/>
    <w:multiLevelType w:val="multilevel"/>
    <w:tmpl w:val="6B9A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666C2"/>
    <w:multiLevelType w:val="multilevel"/>
    <w:tmpl w:val="E5F4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F28AD"/>
    <w:multiLevelType w:val="multilevel"/>
    <w:tmpl w:val="6CC6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53E88"/>
    <w:multiLevelType w:val="multilevel"/>
    <w:tmpl w:val="4236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1513C"/>
    <w:multiLevelType w:val="multilevel"/>
    <w:tmpl w:val="75FE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141A8"/>
    <w:multiLevelType w:val="multilevel"/>
    <w:tmpl w:val="1D76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80407"/>
    <w:multiLevelType w:val="hybridMultilevel"/>
    <w:tmpl w:val="3E2C6C44"/>
    <w:lvl w:ilvl="0" w:tplc="D4FA1304">
      <w:start w:val="1"/>
      <w:numFmt w:val="bullet"/>
      <w:lvlText w:val="●"/>
      <w:lvlJc w:val="left"/>
      <w:pPr>
        <w:ind w:left="720" w:hanging="360"/>
      </w:pPr>
    </w:lvl>
    <w:lvl w:ilvl="1" w:tplc="D83E7F78">
      <w:start w:val="1"/>
      <w:numFmt w:val="bullet"/>
      <w:lvlText w:val="○"/>
      <w:lvlJc w:val="left"/>
      <w:pPr>
        <w:ind w:left="1440" w:hanging="360"/>
      </w:pPr>
    </w:lvl>
    <w:lvl w:ilvl="2" w:tplc="B1B869AA">
      <w:start w:val="1"/>
      <w:numFmt w:val="bullet"/>
      <w:lvlText w:val="■"/>
      <w:lvlJc w:val="left"/>
      <w:pPr>
        <w:ind w:left="2160" w:hanging="360"/>
      </w:pPr>
    </w:lvl>
    <w:lvl w:ilvl="3" w:tplc="25AA3FE0">
      <w:start w:val="1"/>
      <w:numFmt w:val="bullet"/>
      <w:lvlText w:val="●"/>
      <w:lvlJc w:val="left"/>
      <w:pPr>
        <w:ind w:left="2880" w:hanging="360"/>
      </w:pPr>
    </w:lvl>
    <w:lvl w:ilvl="4" w:tplc="CCA6BA02">
      <w:start w:val="1"/>
      <w:numFmt w:val="bullet"/>
      <w:lvlText w:val="○"/>
      <w:lvlJc w:val="left"/>
      <w:pPr>
        <w:ind w:left="3600" w:hanging="360"/>
      </w:pPr>
    </w:lvl>
    <w:lvl w:ilvl="5" w:tplc="793C7F76">
      <w:start w:val="1"/>
      <w:numFmt w:val="bullet"/>
      <w:lvlText w:val="■"/>
      <w:lvlJc w:val="left"/>
      <w:pPr>
        <w:ind w:left="4320" w:hanging="360"/>
      </w:pPr>
    </w:lvl>
    <w:lvl w:ilvl="6" w:tplc="620277AC">
      <w:start w:val="1"/>
      <w:numFmt w:val="bullet"/>
      <w:lvlText w:val="●"/>
      <w:lvlJc w:val="left"/>
      <w:pPr>
        <w:ind w:left="5040" w:hanging="360"/>
      </w:pPr>
    </w:lvl>
    <w:lvl w:ilvl="7" w:tplc="956CD34E">
      <w:start w:val="1"/>
      <w:numFmt w:val="bullet"/>
      <w:lvlText w:val="●"/>
      <w:lvlJc w:val="left"/>
      <w:pPr>
        <w:ind w:left="5760" w:hanging="360"/>
      </w:pPr>
    </w:lvl>
    <w:lvl w:ilvl="8" w:tplc="FCCA8BF8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2466CF7"/>
    <w:multiLevelType w:val="hybridMultilevel"/>
    <w:tmpl w:val="378090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F38CE"/>
    <w:multiLevelType w:val="multilevel"/>
    <w:tmpl w:val="0244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C2D29"/>
    <w:multiLevelType w:val="hybridMultilevel"/>
    <w:tmpl w:val="541877B2"/>
    <w:lvl w:ilvl="0" w:tplc="60F4CF48">
      <w:start w:val="1"/>
      <w:numFmt w:val="bullet"/>
      <w:lvlText w:val="•"/>
      <w:lvlJc w:val="left"/>
      <w:pPr>
        <w:ind w:left="720" w:hanging="360"/>
      </w:pPr>
      <w:rPr>
        <w:color w:val="7B2D8E"/>
      </w:rPr>
    </w:lvl>
    <w:lvl w:ilvl="1" w:tplc="9DFAFAC2">
      <w:numFmt w:val="decimal"/>
      <w:lvlText w:val=""/>
      <w:lvlJc w:val="left"/>
    </w:lvl>
    <w:lvl w:ilvl="2" w:tplc="B192B840">
      <w:numFmt w:val="decimal"/>
      <w:lvlText w:val=""/>
      <w:lvlJc w:val="left"/>
    </w:lvl>
    <w:lvl w:ilvl="3" w:tplc="FE4C6984">
      <w:numFmt w:val="decimal"/>
      <w:lvlText w:val=""/>
      <w:lvlJc w:val="left"/>
    </w:lvl>
    <w:lvl w:ilvl="4" w:tplc="6A7CA746">
      <w:numFmt w:val="decimal"/>
      <w:lvlText w:val=""/>
      <w:lvlJc w:val="left"/>
    </w:lvl>
    <w:lvl w:ilvl="5" w:tplc="C30AF7BC">
      <w:numFmt w:val="decimal"/>
      <w:lvlText w:val=""/>
      <w:lvlJc w:val="left"/>
    </w:lvl>
    <w:lvl w:ilvl="6" w:tplc="92786B72">
      <w:numFmt w:val="decimal"/>
      <w:lvlText w:val=""/>
      <w:lvlJc w:val="left"/>
    </w:lvl>
    <w:lvl w:ilvl="7" w:tplc="50CE6F34">
      <w:numFmt w:val="decimal"/>
      <w:lvlText w:val=""/>
      <w:lvlJc w:val="left"/>
    </w:lvl>
    <w:lvl w:ilvl="8" w:tplc="9DF413D4">
      <w:numFmt w:val="decimal"/>
      <w:lvlText w:val=""/>
      <w:lvlJc w:val="left"/>
    </w:lvl>
  </w:abstractNum>
  <w:abstractNum w:abstractNumId="12" w15:restartNumberingAfterBreak="0">
    <w:nsid w:val="405C5794"/>
    <w:multiLevelType w:val="multilevel"/>
    <w:tmpl w:val="3B8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511CD"/>
    <w:multiLevelType w:val="multilevel"/>
    <w:tmpl w:val="485C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14DE5"/>
    <w:multiLevelType w:val="multilevel"/>
    <w:tmpl w:val="1038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377AE"/>
    <w:multiLevelType w:val="multilevel"/>
    <w:tmpl w:val="43A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481118">
    <w:abstractNumId w:val="8"/>
    <w:lvlOverride w:ilvl="0">
      <w:startOverride w:val="1"/>
    </w:lvlOverride>
  </w:num>
  <w:num w:numId="2" w16cid:durableId="1760785936">
    <w:abstractNumId w:val="11"/>
    <w:lvlOverride w:ilvl="0">
      <w:startOverride w:val="1"/>
    </w:lvlOverride>
  </w:num>
  <w:num w:numId="3" w16cid:durableId="1666930361">
    <w:abstractNumId w:val="9"/>
  </w:num>
  <w:num w:numId="4" w16cid:durableId="29427238">
    <w:abstractNumId w:val="15"/>
  </w:num>
  <w:num w:numId="5" w16cid:durableId="1450199151">
    <w:abstractNumId w:val="4"/>
  </w:num>
  <w:num w:numId="6" w16cid:durableId="1416512955">
    <w:abstractNumId w:val="0"/>
  </w:num>
  <w:num w:numId="7" w16cid:durableId="45569957">
    <w:abstractNumId w:val="14"/>
  </w:num>
  <w:num w:numId="8" w16cid:durableId="1759869289">
    <w:abstractNumId w:val="7"/>
  </w:num>
  <w:num w:numId="9" w16cid:durableId="1965691551">
    <w:abstractNumId w:val="2"/>
  </w:num>
  <w:num w:numId="10" w16cid:durableId="2076513469">
    <w:abstractNumId w:val="6"/>
  </w:num>
  <w:num w:numId="11" w16cid:durableId="734010533">
    <w:abstractNumId w:val="12"/>
  </w:num>
  <w:num w:numId="12" w16cid:durableId="259994549">
    <w:abstractNumId w:val="1"/>
  </w:num>
  <w:num w:numId="13" w16cid:durableId="2124687816">
    <w:abstractNumId w:val="13"/>
  </w:num>
  <w:num w:numId="14" w16cid:durableId="822280499">
    <w:abstractNumId w:val="3"/>
  </w:num>
  <w:num w:numId="15" w16cid:durableId="1557814845">
    <w:abstractNumId w:val="10"/>
  </w:num>
  <w:num w:numId="16" w16cid:durableId="1938055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A35"/>
    <w:rsid w:val="001B6C43"/>
    <w:rsid w:val="001F61C7"/>
    <w:rsid w:val="00233F51"/>
    <w:rsid w:val="002D618E"/>
    <w:rsid w:val="00543A35"/>
    <w:rsid w:val="005D48B3"/>
    <w:rsid w:val="006854BD"/>
    <w:rsid w:val="006959D1"/>
    <w:rsid w:val="0077164F"/>
    <w:rsid w:val="00907956"/>
    <w:rsid w:val="009D5CB2"/>
    <w:rsid w:val="009E1F7E"/>
    <w:rsid w:val="00BE018E"/>
    <w:rsid w:val="00C16BD3"/>
    <w:rsid w:val="00C716CD"/>
    <w:rsid w:val="00C936C9"/>
    <w:rsid w:val="00CC6E50"/>
    <w:rsid w:val="00D071C7"/>
    <w:rsid w:val="00D3755F"/>
    <w:rsid w:val="00D7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BB2C25"/>
  <w15:docId w15:val="{E8B88328-F296-4867-A559-A84B719A0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color w:val="2D2D2D"/>
        <w:lang w:val="es-ES" w:eastAsia="es-E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F7E"/>
    <w:pPr>
      <w:spacing w:before="240" w:line="276" w:lineRule="auto"/>
    </w:pPr>
  </w:style>
  <w:style w:type="paragraph" w:styleId="Ttulo1">
    <w:name w:val="heading 1"/>
    <w:uiPriority w:val="9"/>
    <w:qFormat/>
    <w:pPr>
      <w:pBdr>
        <w:left w:val="single" w:sz="24" w:space="8" w:color="7B2D8E"/>
      </w:pBdr>
      <w:spacing w:before="360" w:after="200"/>
      <w:jc w:val="left"/>
      <w:outlineLvl w:val="0"/>
    </w:pPr>
    <w:rPr>
      <w:rFonts w:ascii="Comfortaa" w:eastAsia="Comfortaa" w:hAnsi="Comfortaa" w:cs="Comfortaa"/>
      <w:b/>
      <w:bCs/>
      <w:color w:val="7B2D8E"/>
      <w:sz w:val="28"/>
      <w:szCs w:val="28"/>
    </w:rPr>
  </w:style>
  <w:style w:type="paragraph" w:styleId="Ttulo2">
    <w:name w:val="heading 2"/>
    <w:uiPriority w:val="9"/>
    <w:unhideWhenUsed/>
    <w:qFormat/>
    <w:rsid w:val="009E1F7E"/>
    <w:pPr>
      <w:pBdr>
        <w:left w:val="single" w:sz="18" w:space="8" w:color="C62270"/>
      </w:pBdr>
      <w:spacing w:before="280" w:after="160"/>
      <w:jc w:val="left"/>
      <w:outlineLvl w:val="1"/>
    </w:pPr>
    <w:rPr>
      <w:rFonts w:ascii="Comfortaa" w:eastAsia="Comfortaa" w:hAnsi="Comfortaa" w:cs="Comfortaa"/>
      <w:b/>
      <w:bCs/>
      <w:color w:val="C62270"/>
      <w:sz w:val="22"/>
      <w:szCs w:val="24"/>
    </w:rPr>
  </w:style>
  <w:style w:type="paragraph" w:styleId="Ttulo3">
    <w:name w:val="heading 3"/>
    <w:uiPriority w:val="9"/>
    <w:unhideWhenUsed/>
    <w:qFormat/>
    <w:rsid w:val="009E1F7E"/>
    <w:pPr>
      <w:spacing w:before="240" w:after="120"/>
      <w:jc w:val="left"/>
      <w:outlineLvl w:val="2"/>
    </w:pPr>
    <w:rPr>
      <w:rFonts w:ascii="Comfortaa" w:eastAsia="Comfortaa" w:hAnsi="Comfortaa" w:cs="Comfortaa"/>
      <w:b/>
      <w:bCs/>
      <w:color w:val="D85A30"/>
      <w:szCs w:val="22"/>
    </w:rPr>
  </w:style>
  <w:style w:type="paragraph" w:styleId="Ttulo4">
    <w:name w:val="heading 4"/>
    <w:uiPriority w:val="9"/>
    <w:unhideWhenUsed/>
    <w:qFormat/>
    <w:rsid w:val="00907956"/>
    <w:pPr>
      <w:spacing w:before="120" w:after="120"/>
      <w:outlineLvl w:val="3"/>
    </w:pPr>
    <w:rPr>
      <w:iCs/>
      <w:color w:val="A02B93" w:themeColor="accent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716C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716CD"/>
  </w:style>
  <w:style w:type="paragraph" w:styleId="Piedepgina">
    <w:name w:val="footer"/>
    <w:basedOn w:val="Normal"/>
    <w:link w:val="PiedepginaCar"/>
    <w:uiPriority w:val="99"/>
    <w:unhideWhenUsed/>
    <w:rsid w:val="00C716C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716CD"/>
  </w:style>
  <w:style w:type="table" w:styleId="Tablaconcuadrcula1clara-nfasis5">
    <w:name w:val="Grid Table 1 Light Accent 5"/>
    <w:basedOn w:val="Tablanormal"/>
    <w:uiPriority w:val="46"/>
    <w:rsid w:val="001F61C7"/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D071C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071C7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D071C7"/>
    <w:pPr>
      <w:spacing w:before="120"/>
      <w:ind w:left="200"/>
      <w:jc w:val="left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D071C7"/>
    <w:pPr>
      <w:spacing w:before="0"/>
      <w:ind w:left="400"/>
      <w:jc w:val="left"/>
    </w:pPr>
    <w:rPr>
      <w:rFonts w:asciiTheme="minorHAnsi" w:hAnsiTheme="minorHAnsi"/>
    </w:rPr>
  </w:style>
  <w:style w:type="paragraph" w:styleId="TDC4">
    <w:name w:val="toc 4"/>
    <w:basedOn w:val="Normal"/>
    <w:next w:val="Normal"/>
    <w:autoRedefine/>
    <w:uiPriority w:val="39"/>
    <w:unhideWhenUsed/>
    <w:rsid w:val="00D071C7"/>
    <w:pPr>
      <w:spacing w:before="0"/>
      <w:ind w:left="600"/>
      <w:jc w:val="left"/>
    </w:pPr>
    <w:rPr>
      <w:rFonts w:asciiTheme="minorHAnsi" w:hAnsi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D071C7"/>
    <w:pPr>
      <w:spacing w:before="0"/>
      <w:ind w:left="800"/>
      <w:jc w:val="left"/>
    </w:pPr>
    <w:rPr>
      <w:rFonts w:asciiTheme="minorHAnsi" w:hAnsi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D071C7"/>
    <w:pPr>
      <w:spacing w:before="0"/>
      <w:ind w:left="1000"/>
      <w:jc w:val="left"/>
    </w:pPr>
    <w:rPr>
      <w:rFonts w:asciiTheme="minorHAnsi" w:hAnsi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D071C7"/>
    <w:pPr>
      <w:spacing w:before="0"/>
      <w:ind w:left="1200"/>
      <w:jc w:val="left"/>
    </w:pPr>
    <w:rPr>
      <w:rFonts w:asciiTheme="minorHAnsi" w:hAnsi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D071C7"/>
    <w:pPr>
      <w:spacing w:before="0"/>
      <w:ind w:left="1400"/>
      <w:jc w:val="left"/>
    </w:pPr>
    <w:rPr>
      <w:rFonts w:asciiTheme="minorHAnsi" w:hAnsi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D071C7"/>
    <w:pPr>
      <w:spacing w:before="0"/>
      <w:ind w:left="1600"/>
      <w:jc w:val="left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6D7E5-4AEE-41C7-96DA-110623BDB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1449</Words>
  <Characters>7971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29</vt:i4>
      </vt:variant>
    </vt:vector>
  </HeadingPairs>
  <TitlesOfParts>
    <vt:vector size="30" baseType="lpstr">
      <vt:lpstr/>
      <vt:lpstr>1. JUSTIFICACIÓN</vt:lpstr>
      <vt:lpstr>2. AJUSTE DEL PROYECTO A LA REALIDAD MUNICIPAL</vt:lpstr>
      <vt:lpstr>    Una trayectoria de compromiso con la igualdad que ahora se vuelca hacia adentro</vt:lpstr>
      <vt:lpstr>    Una plantilla pequeña con características organizativas relevantes para el diagn</vt:lpstr>
      <vt:lpstr>    Un municipio con contexto socioeconómico relevante para el diagnóstico</vt:lpstr>
      <vt:lpstr>3. ADECUACIÓN A LA ESTRATEGIA 2030 Y AL III PLAN MUNICIPAL DE IGUALDAD DE ORTUEL</vt:lpstr>
      <vt:lpstr>    Alineación con la Estrategia 2030 de la CAE</vt:lpstr>
      <vt:lpstr>    Coherencia con el III Plan Municipal de Igualdad de Ortuella 2026-2030</vt:lpstr>
      <vt:lpstr>    Un proyecto que operativiza compromisos ya adquiridos</vt:lpstr>
      <vt:lpstr>4. OBJETIVOS</vt:lpstr>
      <vt:lpstr>    4.1 Objetivo general</vt:lpstr>
      <vt:lpstr>    4.2 Objetivos específicos del diagnóstico</vt:lpstr>
      <vt:lpstr>        Dimensión 1. Características de la organización y la plantilla</vt:lpstr>
      <vt:lpstr>        Dimensión 2. Procesos de selección, contratación y promoción profesional</vt:lpstr>
      <vt:lpstr>        Dimensión 3. Formación y aprendizaje en el puesto de trabajo</vt:lpstr>
      <vt:lpstr>        Dimensión 4. Seguridad y salud laboral</vt:lpstr>
      <vt:lpstr>        Dimensión 5. Clasificación profesional y auditoría retributiva</vt:lpstr>
      <vt:lpstr>        Dimensión 6. Corresponsabilidad y conciliación</vt:lpstr>
      <vt:lpstr>        Dimensión 7. Cultura organizacional</vt:lpstr>
      <vt:lpstr>        Dimensión 8. Violencias machistas: acoso sexual y acoso por razón de sexo</vt:lpstr>
      <vt:lpstr>    4.3 Objetivos específicos de planificación</vt:lpstr>
      <vt:lpstr>5. METODOLOGÍA, PROCESO DE TRABAJO Y DESCRIPCIÓN DE TAREAS</vt:lpstr>
      <vt:lpstr>    5.1 METODOLOGÍA</vt:lpstr>
      <vt:lpstr>        5.1.1 Las técnicas concretas de trabajo</vt:lpstr>
      <vt:lpstr>        5.1.2 Estructuras de trabajo</vt:lpstr>
      <vt:lpstr>    5.2 Proceso de trabajo</vt:lpstr>
      <vt:lpstr>    5.3 Descripción de tareas</vt:lpstr>
      <vt:lpstr>        A. Fase de elaboración del diagnóstico</vt:lpstr>
      <vt:lpstr>        B. Fase de elaboración del plan de igualdad y del protocolo</vt:lpstr>
    </vt:vector>
  </TitlesOfParts>
  <Company>HP</Company>
  <LinksUpToDate>false</LinksUpToDate>
  <CharactersWithSpaces>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 Kuorum -Helena Ortiz de Lejarazu</dc:creator>
  <cp:lastModifiedBy>Elena Ortiz De Lejarazu</cp:lastModifiedBy>
  <cp:revision>2</cp:revision>
  <dcterms:created xsi:type="dcterms:W3CDTF">2026-06-08T10:46:00Z</dcterms:created>
  <dcterms:modified xsi:type="dcterms:W3CDTF">2026-06-08T10:46:00Z</dcterms:modified>
</cp:coreProperties>
</file>