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spacing w:before="120" w:after="80"/>
      </w:pPr>
      <w:r>
        <w:rPr>
          <w:rFonts w:ascii="Comfortaa" w:hAnsi="Comfortaa" w:eastAsia="Comfortaa" w:cs="Comfortaa"/>
          <w:b/>
          <w:smallCaps/>
          <w:color w:val="7B2D8E"/>
          <w:sz w:val="40"/>
        </w:rPr>
        <w:t>Análisis de la pertinencia de las recomendaciones del informe de impacto de género sobre el III Plan de Igualdad de CCASA</w:t>
      </w:r>
    </w:p>
    <w:p>
      <w:pPr>
        <w:spacing w:after="240"/>
      </w:pPr>
      <w:r>
        <w:rPr>
          <w:rFonts w:ascii="Century Gothic" w:hAnsi="Century Gothic" w:eastAsia="Century Gothic" w:cs="Century Gothic"/>
          <w:b w:val="0"/>
          <w:color w:val="555555"/>
          <w:sz w:val="22"/>
        </w:rPr>
        <w:t>Centro de Cálculo de Álava, S.A. · Documento de trabajo · Julio de 2026</w:t>
      </w:r>
    </w:p>
    <w:p>
      <w:pPr>
        <w:pStyle w:val="Ttulo1"/>
        <w:pageBreakBefore/>
      </w:pPr>
      <w:r>
        <w:rPr>
          <w:smallCaps/>
        </w:rPr>
        <w:t>Objeto y naturaleza del informe de impacto de género</w:t>
      </w:r>
    </w:p>
    <w:p>
      <w:r>
        <w:t>La Autoridad Laboral Vasca emite, sobre cada plan de igualdad registrado, un informe de impacto de género elaborado por una entidad externa especializada. El documento recibido en relación con el III Plan de Igualdad de CCASA responde a ese procedimiento reglado: parte de los datos básicos de la empresa y del plan, valora el diagnóstico y las medidas registradas, y adjunta un listado de recomendaciones. Este documento de trabajo analiza en qué medida esas recomendaciones resultan aplicables al III Plan, tomando como referencia el diagnóstico de CCASA y el contenido ya aprobado del plan.</w:t>
      </w:r>
    </w:p>
    <w:p>
      <w:pPr>
        <w:pStyle w:val="Ttulo2"/>
      </w:pPr>
      <w:r>
        <w:t>Una valoración de impacto favorable</w:t>
      </w:r>
    </w:p>
    <w:p>
      <w:r>
        <w:t>La valoración de impacto contenida en el informe es favorable. Reconoce que CCASA presenta su tercer plan de igualdad, que este incorpora numerosas medidas procedentes de los planes anteriores, y que el diagnóstico integra ámbitos adicionales como la salud laboral desde la perspectiva de género, la violencia machista, el lenguaje y la comunicación no sexista y la cultura organizativa. Destaca, además, tres elementos del plan: la incorporación de criterios objetivos en la selección y en la promoción profesional; la aplicación de la Evaluación de Impacto de Género en los procesos de selección y promoción para adaptar los criterios de valoración a las desigualdades detectadas; y el planteamiento de una evaluación sistemática de la calidad de los procesos, con propuestas de mejora orientadas a avanzar en la igualdad efectiva.</w:t>
      </w:r>
    </w:p>
    <w:p>
      <w:r>
        <w:t>El informe hace constar, asimismo, un dato retributivo relevante: según la auditoría retributiva, la brecha salarial se sitúa en el 1 % y se invierte al −1 % en valores equiparables. Y concluye el apartado de recomendaciones prioritarias con una afirmación que condiciona toda la lectura posterior del documento.</w:t>
      </w:r>
    </w:p>
    <w:tbl>
      <w:tblPr>
        <w:jc w:val="center"/>
        <w:tblLook w:firstColumn="1" w:firstRow="1" w:lastColumn="0" w:lastRow="0" w:noHBand="0" w:noVBand="1" w:val="04A0"/>
        <w:tblLayout w:type="fixed"/>
        <w:tblW w:w="7936" w:type="dxa"/>
      </w:tblPr>
      <w:tblGrid>
        <w:gridCol w:w="7936"/>
      </w:tblGrid>
      <w:tr>
        <w:tc>
          <w:tcPr>
            <w:tcW w:type="dxa" w:w="7936"/>
            <w:shd w:val="clear" w:color="auto" w:fill="F5F0F7"/>
            <w:tcBorders>
              <w:top w:val="nil"/>
              <w:left w:val="nil"/>
              <w:bottom w:val="nil"/>
              <w:right w:val="nil"/>
              <w:left w:val="single" w:sz="18" w:space="0" w:color="7B2D8E"/>
            </w:tcBorders>
            <w:tcMar>
              <w:top w:w="140" w:type="dxa"/>
              <w:start w:w="200" w:type="dxa"/>
              <w:bottom w:w="140" w:type="dxa"/>
              <w:end w:w="200" w:type="dxa"/>
            </w:tcMar>
          </w:tcPr>
          <w:p>
            <w:pPr>
              <w:spacing w:after="0"/>
            </w:pPr>
            <w:r/>
            <w:r>
              <w:rPr>
                <w:rFonts w:ascii="Comfortaa" w:hAnsi="Comfortaa" w:eastAsia="Comfortaa" w:cs="Comfortaa"/>
                <w:b/>
                <w:color w:val="7B2D8E"/>
                <w:sz w:val="20"/>
              </w:rPr>
              <w:t xml:space="preserve">Recomendaciones prioritarias. </w:t>
            </w:r>
            <w:r>
              <w:rPr>
                <w:rFonts w:ascii="Century Gothic" w:hAnsi="Century Gothic" w:eastAsia="Century Gothic" w:cs="Century Gothic"/>
                <w:b w:val="0"/>
                <w:color w:val="2D2D2D"/>
                <w:sz w:val="19"/>
              </w:rPr>
              <w:t>El informe señala expresamente que en este plan todos los bloques temáticos cuentan al menos con una medida. En consecuencia, no formula ninguna recomendación prioritaria. El listado de recomendaciones que figura como anexo tiene, por tanto, carácter genérico y orientativo.</w:t>
            </w:r>
          </w:p>
        </w:tc>
      </w:tr>
    </w:tbl>
    <w:p>
      <w:pPr>
        <w:spacing w:after="80"/>
      </w:pPr>
    </w:p>
    <w:p>
      <w:pPr>
        <w:pStyle w:val="Ttulo2"/>
      </w:pPr>
      <w:r>
        <w:t>El criterio del propio informe para leer las recomendaciones</w:t>
      </w:r>
    </w:p>
    <w:p>
      <w:r>
        <w:t>El anexo de recomendaciones no está adaptado a la realidad de CCASA: es un catálogo estandarizado de mejoras posibles, común a los informes de impacto que emite la Autoridad Laboral. El propio informe delimita cuándo esas recomendaciones no deben tenerse en cuenta.</w:t>
      </w:r>
    </w:p>
    <w:tbl>
      <w:tblPr>
        <w:jc w:val="center"/>
        <w:tblLook w:firstColumn="1" w:firstRow="1" w:lastColumn="0" w:lastRow="0" w:noHBand="0" w:noVBand="1" w:val="04A0"/>
        <w:tblLayout w:type="fixed"/>
        <w:tblW w:w="7936" w:type="dxa"/>
      </w:tblPr>
      <w:tblGrid>
        <w:gridCol w:w="7936"/>
      </w:tblGrid>
      <w:tr>
        <w:tc>
          <w:tcPr>
            <w:tcW w:type="dxa" w:w="7936"/>
            <w:shd w:val="clear" w:color="auto" w:fill="FBEAF2"/>
            <w:tcBorders>
              <w:top w:val="nil"/>
              <w:left w:val="nil"/>
              <w:bottom w:val="nil"/>
              <w:right w:val="nil"/>
              <w:left w:val="single" w:sz="18" w:space="0" w:color="C62270"/>
            </w:tcBorders>
            <w:tcMar>
              <w:top w:w="140" w:type="dxa"/>
              <w:start w:w="200" w:type="dxa"/>
              <w:bottom w:w="140" w:type="dxa"/>
              <w:end w:w="200" w:type="dxa"/>
            </w:tcMar>
          </w:tcPr>
          <w:p>
            <w:pPr>
              <w:spacing w:after="0"/>
            </w:pPr>
            <w:r/>
            <w:r>
              <w:rPr>
                <w:rFonts w:ascii="Comfortaa" w:hAnsi="Comfortaa" w:eastAsia="Comfortaa" w:cs="Comfortaa"/>
                <w:b/>
                <w:color w:val="C62270"/>
                <w:sz w:val="20"/>
              </w:rPr>
              <w:t xml:space="preserve">Cuándo no procede una recomendación. </w:t>
            </w:r>
            <w:r>
              <w:rPr>
                <w:rFonts w:ascii="Century Gothic" w:hAnsi="Century Gothic" w:eastAsia="Century Gothic" w:cs="Century Gothic"/>
                <w:b w:val="0"/>
                <w:color w:val="2D2D2D"/>
                <w:sz w:val="19"/>
              </w:rPr>
              <w:t>Según el informe, las recomendaciones no deberán considerarse cuando ya estén recogidas en los instrumentos de negociación colectiva de la empresa —convenio colectivo, acuerdo de empresa, planes de igualdad anteriores o instrumentos similares—, ni cuando durante el proceso de elaboración y negociación del plan se haya decidido que eran improcedentes o innecesarias.</w:t>
            </w:r>
          </w:p>
        </w:tc>
      </w:tr>
    </w:tbl>
    <w:p>
      <w:pPr>
        <w:spacing w:after="80"/>
      </w:pPr>
    </w:p>
    <w:p>
      <w:r>
        <w:t>Este análisis se ordena a partir de ese mismo criterio. Cada recomendación se examina para determinar si concurre alguno de estos tres supuestos: que la materia esté ya contemplada en el III Plan; que corresponda al convenio colectivo o a otros acuerdos vigentes; o que no resulte pertinente a la vista de los resultados del diagnóstico de CCASA.</w:t>
      </w:r>
    </w:p>
    <w:tbl>
      <w:tblPr>
        <w:jc w:val="center"/>
        <w:tblLook w:firstColumn="1" w:firstRow="1" w:lastColumn="0" w:lastRow="0" w:noHBand="0" w:noVBand="1" w:val="04A0"/>
        <w:tblLayout w:type="fixed"/>
        <w:tblW w:w="7936" w:type="dxa"/>
      </w:tblPr>
      <w:tblGrid>
        <w:gridCol w:w="7936"/>
      </w:tblGrid>
      <w:tr>
        <w:tc>
          <w:tcPr>
            <w:tcW w:type="dxa" w:w="7936"/>
            <w:shd w:val="clear" w:color="auto" w:fill="F5F0F7"/>
            <w:tcBorders>
              <w:top w:val="nil"/>
              <w:left w:val="nil"/>
              <w:bottom w:val="nil"/>
              <w:right w:val="nil"/>
              <w:left w:val="single" w:sz="24" w:space="0" w:color="7B2D8E"/>
            </w:tcBorders>
            <w:tcMar>
              <w:top w:w="180" w:type="dxa"/>
              <w:start w:w="220" w:type="dxa"/>
              <w:bottom w:w="180" w:type="dxa"/>
              <w:end w:w="220" w:type="dxa"/>
            </w:tcMar>
          </w:tcPr>
          <w:p>
            <w:pPr>
              <w:spacing w:after="160"/>
            </w:pPr>
            <w:r/>
            <w:r>
              <w:rPr>
                <w:rFonts w:ascii="Comfortaa" w:hAnsi="Comfortaa" w:eastAsia="Comfortaa" w:cs="Comfortaa"/>
                <w:b/>
                <w:color w:val="7B2D8E"/>
                <w:sz w:val="22"/>
              </w:rPr>
              <w:t>EN RESUMEN</w:t>
            </w:r>
          </w:p>
          <w:p>
            <w:pPr>
              <w:spacing w:after="120"/>
              <w:ind w:left="454" w:hanging="454"/>
            </w:pPr>
            <w:r>
              <w:rPr>
                <w:rFonts w:ascii="Comfortaa" w:hAnsi="Comfortaa" w:eastAsia="Comfortaa" w:cs="Comfortaa"/>
                <w:b/>
                <w:color w:val="7B2D8E"/>
                <w:sz w:val="24"/>
              </w:rPr>
              <w:t xml:space="preserve">1   </w:t>
            </w:r>
            <w:r>
              <w:rPr>
                <w:rFonts w:ascii="Century Gothic" w:hAnsi="Century Gothic" w:eastAsia="Century Gothic" w:cs="Century Gothic"/>
                <w:b w:val="0"/>
                <w:color w:val="2D2D2D"/>
                <w:sz w:val="19"/>
              </w:rPr>
              <w:t>El informe de la Autoridad Laboral Vasca sobre el III Plan de CCASA emite una valoración de impacto favorable.</w:t>
            </w:r>
          </w:p>
          <w:p>
            <w:pPr>
              <w:spacing w:after="120"/>
              <w:ind w:left="454" w:hanging="454"/>
            </w:pPr>
            <w:r>
              <w:rPr>
                <w:rFonts w:ascii="Comfortaa" w:hAnsi="Comfortaa" w:eastAsia="Comfortaa" w:cs="Comfortaa"/>
                <w:b/>
                <w:color w:val="C62270"/>
                <w:sz w:val="24"/>
              </w:rPr>
              <w:t xml:space="preserve">2   </w:t>
            </w:r>
            <w:r>
              <w:rPr>
                <w:rFonts w:ascii="Century Gothic" w:hAnsi="Century Gothic" w:eastAsia="Century Gothic" w:cs="Century Gothic"/>
                <w:b w:val="0"/>
                <w:color w:val="2D2D2D"/>
                <w:sz w:val="19"/>
              </w:rPr>
              <w:t>No formula ninguna recomendación prioritaria, porque todos los bloques temáticos del plan cuentan con medidas.</w:t>
            </w:r>
          </w:p>
          <w:p>
            <w:pPr>
              <w:spacing w:after="120"/>
              <w:ind w:left="454" w:hanging="454"/>
            </w:pPr>
            <w:r>
              <w:rPr>
                <w:rFonts w:ascii="Comfortaa" w:hAnsi="Comfortaa" w:eastAsia="Comfortaa" w:cs="Comfortaa"/>
                <w:b/>
                <w:color w:val="D85A30"/>
                <w:sz w:val="24"/>
              </w:rPr>
              <w:t xml:space="preserve">3   </w:t>
            </w:r>
            <w:r>
              <w:rPr>
                <w:rFonts w:ascii="Century Gothic" w:hAnsi="Century Gothic" w:eastAsia="Century Gothic" w:cs="Century Gothic"/>
                <w:b w:val="0"/>
                <w:color w:val="2D2D2D"/>
                <w:sz w:val="19"/>
              </w:rPr>
              <w:t>El listado de recomendaciones es un anexo genérico, no adaptado a CCASA.</w:t>
            </w:r>
          </w:p>
          <w:p>
            <w:pPr>
              <w:spacing w:after="120"/>
              <w:ind w:left="454" w:hanging="454"/>
            </w:pPr>
            <w:r>
              <w:rPr>
                <w:rFonts w:ascii="Comfortaa" w:hAnsi="Comfortaa" w:eastAsia="Comfortaa" w:cs="Comfortaa"/>
                <w:b/>
                <w:color w:val="7B2D8E"/>
                <w:sz w:val="24"/>
              </w:rPr>
              <w:t xml:space="preserve">4   </w:t>
            </w:r>
            <w:r>
              <w:rPr>
                <w:rFonts w:ascii="Century Gothic" w:hAnsi="Century Gothic" w:eastAsia="Century Gothic" w:cs="Century Gothic"/>
                <w:b w:val="0"/>
                <w:color w:val="2D2D2D"/>
                <w:sz w:val="19"/>
              </w:rPr>
              <w:t>El propio informe establece que sus recomendaciones no proceden cuando la materia ya está en el plan, en el convenio, o se descartó justificadamente durante la negociación.</w:t>
            </w:r>
          </w:p>
        </w:tc>
      </w:tr>
    </w:tbl>
    <w:p>
      <w:pPr>
        <w:spacing w:after="120"/>
      </w:pPr>
    </w:p>
    <w:p>
      <w:pPr>
        <w:pStyle w:val="Ttulo1"/>
        <w:pageBreakBefore/>
      </w:pPr>
      <w:r>
        <w:rPr>
          <w:smallCaps/>
        </w:rPr>
        <w:t>Recomendaciones ya contempladas en el III Plan</w:t>
      </w:r>
    </w:p>
    <w:p>
      <w:r>
        <w:t>El diagnóstico de CCASA identifica desigualdades estructurales reales —segregación vertical y horizontal, un retroceso en la presencia femenina, un acceso condicionado por la valoración de la experiencia en un sector masculinizado, y carencias en la cultura organizativa— y el III Plan articula medidas concretas para revertirlas. La mayor parte de los bloques del anexo se corresponden con esas materias, que el plan ya desarrolla con indicadores, personas responsables y calendario. En estos casos la recomendación queda satisfecha por el propio plan y, en varios de ellos, el plan va más allá de lo que el informe sugiere. La correspondencia entre cada bloque y las áreas del plan se resume en la tabla siguiente.</w:t>
      </w:r>
    </w:p>
    <w:tbl>
      <w:tblPr>
        <w:jc w:val="center"/>
        <w:tblLook w:firstColumn="1" w:firstRow="1" w:lastColumn="0" w:lastRow="0" w:noHBand="0" w:noVBand="1" w:val="04A0"/>
        <w:tblLayout w:type="fixed"/>
        <w:tblW w:w="7936" w:type="dxa"/>
      </w:tblPr>
      <w:tblGrid>
        <w:gridCol w:w="2645"/>
        <w:gridCol w:w="2645"/>
        <w:gridCol w:w="2645"/>
      </w:tblGrid>
      <w:tr>
        <w:tc>
          <w:tcPr>
            <w:tcW w:type="dxa" w:w="2834"/>
            <w:shd w:val="clear" w:color="auto" w:fill="7B2D8E"/>
            <w:tcBorders>
              <w:top w:val="single" w:sz="4" w:space="0" w:color="7B2D8E"/>
              <w:left w:val="single" w:sz="4" w:space="0" w:color="7B2D8E"/>
              <w:bottom w:val="single" w:sz="4" w:space="0" w:color="7B2D8E"/>
              <w:right w:val="single" w:sz="4" w:space="0" w:color="7B2D8E"/>
            </w:tcBorders>
            <w:tcMar>
              <w:top w:w="80" w:type="dxa"/>
              <w:start w:w="100" w:type="dxa"/>
              <w:bottom w:w="80" w:type="dxa"/>
              <w:end w:w="100" w:type="dxa"/>
            </w:tcMar>
          </w:tcPr>
          <w:p>
            <w:pPr>
              <w:spacing w:before="40" w:after="40"/>
              <w:jc w:val="left"/>
            </w:pPr>
            <w:r/>
            <w:r>
              <w:rPr>
                <w:rFonts w:ascii="Comfortaa" w:hAnsi="Comfortaa" w:eastAsia="Comfortaa" w:cs="Comfortaa"/>
                <w:b/>
                <w:color w:val="FFFFFF"/>
                <w:sz w:val="18"/>
              </w:rPr>
              <w:t>Recomendación del informe</w:t>
            </w:r>
          </w:p>
        </w:tc>
        <w:tc>
          <w:tcPr>
            <w:tcW w:type="dxa" w:w="2267"/>
            <w:shd w:val="clear" w:color="auto" w:fill="7B2D8E"/>
            <w:tcBorders>
              <w:top w:val="single" w:sz="4" w:space="0" w:color="7B2D8E"/>
              <w:left w:val="single" w:sz="4" w:space="0" w:color="7B2D8E"/>
              <w:bottom w:val="single" w:sz="4" w:space="0" w:color="7B2D8E"/>
              <w:right w:val="single" w:sz="4" w:space="0" w:color="7B2D8E"/>
            </w:tcBorders>
            <w:tcMar>
              <w:top w:w="80" w:type="dxa"/>
              <w:start w:w="100" w:type="dxa"/>
              <w:bottom w:w="80" w:type="dxa"/>
              <w:end w:w="100" w:type="dxa"/>
            </w:tcMar>
          </w:tcPr>
          <w:p>
            <w:pPr>
              <w:spacing w:before="40" w:after="40"/>
              <w:jc w:val="left"/>
            </w:pPr>
            <w:r/>
            <w:r>
              <w:rPr>
                <w:rFonts w:ascii="Comfortaa" w:hAnsi="Comfortaa" w:eastAsia="Comfortaa" w:cs="Comfortaa"/>
                <w:b/>
                <w:color w:val="FFFFFF"/>
                <w:sz w:val="18"/>
              </w:rPr>
              <w:t>Área del III Plan</w:t>
            </w:r>
          </w:p>
        </w:tc>
        <w:tc>
          <w:tcPr>
            <w:tcW w:type="dxa" w:w="2834"/>
            <w:shd w:val="clear" w:color="auto" w:fill="7B2D8E"/>
            <w:tcBorders>
              <w:top w:val="single" w:sz="4" w:space="0" w:color="7B2D8E"/>
              <w:left w:val="single" w:sz="4" w:space="0" w:color="7B2D8E"/>
              <w:bottom w:val="single" w:sz="4" w:space="0" w:color="7B2D8E"/>
              <w:right w:val="single" w:sz="4" w:space="0" w:color="7B2D8E"/>
            </w:tcBorders>
            <w:tcMar>
              <w:top w:w="80" w:type="dxa"/>
              <w:start w:w="100" w:type="dxa"/>
              <w:bottom w:w="80" w:type="dxa"/>
              <w:end w:w="100" w:type="dxa"/>
            </w:tcMar>
          </w:tcPr>
          <w:p>
            <w:pPr>
              <w:spacing w:before="40" w:after="40"/>
              <w:jc w:val="left"/>
            </w:pPr>
            <w:r/>
            <w:r>
              <w:rPr>
                <w:rFonts w:ascii="Comfortaa" w:hAnsi="Comfortaa" w:eastAsia="Comfortaa" w:cs="Comfortaa"/>
                <w:b/>
                <w:color w:val="FFFFFF"/>
                <w:sz w:val="18"/>
              </w:rPr>
              <w:t>Medidas</w:t>
            </w:r>
          </w:p>
        </w:tc>
      </w:tr>
      <w:tr>
        <w:tc>
          <w:tcPr>
            <w:tcW w:type="dxa" w:w="2834"/>
            <w:shd w:val="clear" w:color="auto" w:fill="F5F0F7"/>
            <w:tcBorders>
              <w:top w:val="single" w:sz="4" w:space="0" w:color="D9B3E3"/>
              <w:left w:val="single" w:sz="4" w:space="0" w:color="D9B3E3"/>
              <w:bottom w:val="single" w:sz="4" w:space="0" w:color="D9B3E3"/>
              <w:right w:val="single" w:sz="4" w:space="0" w:color="D9B3E3"/>
            </w:tcBorders>
            <w:tcMar>
              <w:top w:w="80" w:type="dxa"/>
              <w:start w:w="100" w:type="dxa"/>
              <w:bottom w:w="80" w:type="dxa"/>
              <w:end w:w="100" w:type="dxa"/>
            </w:tcMar>
          </w:tcPr>
          <w:p>
            <w:pPr>
              <w:spacing w:before="40" w:after="40"/>
              <w:jc w:val="left"/>
            </w:pPr>
            <w:r/>
            <w:r>
              <w:rPr>
                <w:rFonts w:ascii="Century Gothic" w:hAnsi="Century Gothic" w:eastAsia="Century Gothic" w:cs="Century Gothic"/>
                <w:b/>
                <w:color w:val="7B2D8E"/>
                <w:sz w:val="18"/>
              </w:rPr>
              <w:t>1. Compromiso y gobernanza</w:t>
            </w:r>
          </w:p>
        </w:tc>
        <w:tc>
          <w:tcPr>
            <w:tcW w:type="dxa" w:w="2267"/>
            <w:shd w:val="clear" w:color="auto" w:fill="F5F0F7"/>
            <w:tcBorders>
              <w:top w:val="single" w:sz="4" w:space="0" w:color="D9B3E3"/>
              <w:left w:val="single" w:sz="4" w:space="0" w:color="D9B3E3"/>
              <w:bottom w:val="single" w:sz="4" w:space="0" w:color="D9B3E3"/>
              <w:right w:val="single" w:sz="4" w:space="0" w:color="D9B3E3"/>
            </w:tcBorders>
            <w:tcMar>
              <w:top w:w="80" w:type="dxa"/>
              <w:start w:w="100" w:type="dxa"/>
              <w:bottom w:w="80" w:type="dxa"/>
              <w:end w:w="100" w:type="dxa"/>
            </w:tcMar>
          </w:tcPr>
          <w:p>
            <w:pPr>
              <w:spacing w:before="40" w:after="40"/>
              <w:jc w:val="left"/>
            </w:pPr>
            <w:r/>
            <w:r>
              <w:rPr>
                <w:rFonts w:ascii="Century Gothic" w:hAnsi="Century Gothic" w:eastAsia="Century Gothic" w:cs="Century Gothic"/>
                <w:b w:val="0"/>
                <w:color w:val="2D2D2D"/>
                <w:sz w:val="18"/>
              </w:rPr>
              <w:t>Áreas 1 y 7</w:t>
            </w:r>
          </w:p>
        </w:tc>
        <w:tc>
          <w:tcPr>
            <w:tcW w:type="dxa" w:w="2834"/>
            <w:shd w:val="clear" w:color="auto" w:fill="F5F0F7"/>
            <w:tcBorders>
              <w:top w:val="single" w:sz="4" w:space="0" w:color="D9B3E3"/>
              <w:left w:val="single" w:sz="4" w:space="0" w:color="D9B3E3"/>
              <w:bottom w:val="single" w:sz="4" w:space="0" w:color="D9B3E3"/>
              <w:right w:val="single" w:sz="4" w:space="0" w:color="D9B3E3"/>
            </w:tcBorders>
            <w:tcMar>
              <w:top w:w="80" w:type="dxa"/>
              <w:start w:w="100" w:type="dxa"/>
              <w:bottom w:w="80" w:type="dxa"/>
              <w:end w:w="100" w:type="dxa"/>
            </w:tcMar>
          </w:tcPr>
          <w:p>
            <w:pPr>
              <w:spacing w:before="40" w:after="40"/>
              <w:jc w:val="left"/>
            </w:pPr>
            <w:r/>
            <w:r>
              <w:rPr>
                <w:rFonts w:ascii="Century Gothic" w:hAnsi="Century Gothic" w:eastAsia="Century Gothic" w:cs="Century Gothic"/>
                <w:b w:val="0"/>
                <w:color w:val="2D2D2D"/>
                <w:sz w:val="18"/>
              </w:rPr>
              <w:t>1.1, 1.2, 1.3, 7.1</w:t>
            </w:r>
          </w:p>
        </w:tc>
      </w:tr>
      <w:tr>
        <w:tc>
          <w:tcPr>
            <w:tcW w:type="dxa" w:w="2834"/>
            <w:shd w:val="clear" w:color="auto" w:fill="FFFFFF"/>
            <w:tcBorders>
              <w:top w:val="single" w:sz="4" w:space="0" w:color="D9B3E3"/>
              <w:left w:val="single" w:sz="4" w:space="0" w:color="D9B3E3"/>
              <w:bottom w:val="single" w:sz="4" w:space="0" w:color="D9B3E3"/>
              <w:right w:val="single" w:sz="4" w:space="0" w:color="D9B3E3"/>
            </w:tcBorders>
            <w:tcMar>
              <w:top w:w="80" w:type="dxa"/>
              <w:start w:w="100" w:type="dxa"/>
              <w:bottom w:w="80" w:type="dxa"/>
              <w:end w:w="100" w:type="dxa"/>
            </w:tcMar>
          </w:tcPr>
          <w:p>
            <w:pPr>
              <w:spacing w:before="40" w:after="40"/>
              <w:jc w:val="left"/>
            </w:pPr>
            <w:r/>
            <w:r>
              <w:rPr>
                <w:rFonts w:ascii="Century Gothic" w:hAnsi="Century Gothic" w:eastAsia="Century Gothic" w:cs="Century Gothic"/>
                <w:b/>
                <w:color w:val="7B2D8E"/>
                <w:sz w:val="18"/>
              </w:rPr>
              <w:t>2. Selección y contratación</w:t>
            </w:r>
          </w:p>
        </w:tc>
        <w:tc>
          <w:tcPr>
            <w:tcW w:type="dxa" w:w="2267"/>
            <w:shd w:val="clear" w:color="auto" w:fill="FFFFFF"/>
            <w:tcBorders>
              <w:top w:val="single" w:sz="4" w:space="0" w:color="D9B3E3"/>
              <w:left w:val="single" w:sz="4" w:space="0" w:color="D9B3E3"/>
              <w:bottom w:val="single" w:sz="4" w:space="0" w:color="D9B3E3"/>
              <w:right w:val="single" w:sz="4" w:space="0" w:color="D9B3E3"/>
            </w:tcBorders>
            <w:tcMar>
              <w:top w:w="80" w:type="dxa"/>
              <w:start w:w="100" w:type="dxa"/>
              <w:bottom w:w="80" w:type="dxa"/>
              <w:end w:w="100" w:type="dxa"/>
            </w:tcMar>
          </w:tcPr>
          <w:p>
            <w:pPr>
              <w:spacing w:before="40" w:after="40"/>
              <w:jc w:val="left"/>
            </w:pPr>
            <w:r/>
            <w:r>
              <w:rPr>
                <w:rFonts w:ascii="Century Gothic" w:hAnsi="Century Gothic" w:eastAsia="Century Gothic" w:cs="Century Gothic"/>
                <w:b w:val="0"/>
                <w:color w:val="2D2D2D"/>
                <w:sz w:val="18"/>
              </w:rPr>
              <w:t>Área 2</w:t>
            </w:r>
          </w:p>
        </w:tc>
        <w:tc>
          <w:tcPr>
            <w:tcW w:type="dxa" w:w="2834"/>
            <w:shd w:val="clear" w:color="auto" w:fill="FFFFFF"/>
            <w:tcBorders>
              <w:top w:val="single" w:sz="4" w:space="0" w:color="D9B3E3"/>
              <w:left w:val="single" w:sz="4" w:space="0" w:color="D9B3E3"/>
              <w:bottom w:val="single" w:sz="4" w:space="0" w:color="D9B3E3"/>
              <w:right w:val="single" w:sz="4" w:space="0" w:color="D9B3E3"/>
            </w:tcBorders>
            <w:tcMar>
              <w:top w:w="80" w:type="dxa"/>
              <w:start w:w="100" w:type="dxa"/>
              <w:bottom w:w="80" w:type="dxa"/>
              <w:end w:w="100" w:type="dxa"/>
            </w:tcMar>
          </w:tcPr>
          <w:p>
            <w:pPr>
              <w:spacing w:before="40" w:after="40"/>
              <w:jc w:val="left"/>
            </w:pPr>
            <w:r/>
            <w:r>
              <w:rPr>
                <w:rFonts w:ascii="Century Gothic" w:hAnsi="Century Gothic" w:eastAsia="Century Gothic" w:cs="Century Gothic"/>
                <w:b w:val="0"/>
                <w:color w:val="2D2D2D"/>
                <w:sz w:val="18"/>
              </w:rPr>
              <w:t>2.1, 2.2, 2.3</w:t>
            </w:r>
          </w:p>
        </w:tc>
      </w:tr>
      <w:tr>
        <w:tc>
          <w:tcPr>
            <w:tcW w:type="dxa" w:w="2834"/>
            <w:shd w:val="clear" w:color="auto" w:fill="F5F0F7"/>
            <w:tcBorders>
              <w:top w:val="single" w:sz="4" w:space="0" w:color="D9B3E3"/>
              <w:left w:val="single" w:sz="4" w:space="0" w:color="D9B3E3"/>
              <w:bottom w:val="single" w:sz="4" w:space="0" w:color="D9B3E3"/>
              <w:right w:val="single" w:sz="4" w:space="0" w:color="D9B3E3"/>
            </w:tcBorders>
            <w:tcMar>
              <w:top w:w="80" w:type="dxa"/>
              <w:start w:w="100" w:type="dxa"/>
              <w:bottom w:w="80" w:type="dxa"/>
              <w:end w:w="100" w:type="dxa"/>
            </w:tcMar>
          </w:tcPr>
          <w:p>
            <w:pPr>
              <w:spacing w:before="40" w:after="40"/>
              <w:jc w:val="left"/>
            </w:pPr>
            <w:r/>
            <w:r>
              <w:rPr>
                <w:rFonts w:ascii="Century Gothic" w:hAnsi="Century Gothic" w:eastAsia="Century Gothic" w:cs="Century Gothic"/>
                <w:b/>
                <w:color w:val="7B2D8E"/>
                <w:sz w:val="18"/>
              </w:rPr>
              <w:t>4. Formación en igualdad</w:t>
            </w:r>
          </w:p>
        </w:tc>
        <w:tc>
          <w:tcPr>
            <w:tcW w:type="dxa" w:w="2267"/>
            <w:shd w:val="clear" w:color="auto" w:fill="F5F0F7"/>
            <w:tcBorders>
              <w:top w:val="single" w:sz="4" w:space="0" w:color="D9B3E3"/>
              <w:left w:val="single" w:sz="4" w:space="0" w:color="D9B3E3"/>
              <w:bottom w:val="single" w:sz="4" w:space="0" w:color="D9B3E3"/>
              <w:right w:val="single" w:sz="4" w:space="0" w:color="D9B3E3"/>
            </w:tcBorders>
            <w:tcMar>
              <w:top w:w="80" w:type="dxa"/>
              <w:start w:w="100" w:type="dxa"/>
              <w:bottom w:w="80" w:type="dxa"/>
              <w:end w:w="100" w:type="dxa"/>
            </w:tcMar>
          </w:tcPr>
          <w:p>
            <w:pPr>
              <w:spacing w:before="40" w:after="40"/>
              <w:jc w:val="left"/>
            </w:pPr>
            <w:r/>
            <w:r>
              <w:rPr>
                <w:rFonts w:ascii="Century Gothic" w:hAnsi="Century Gothic" w:eastAsia="Century Gothic" w:cs="Century Gothic"/>
                <w:b w:val="0"/>
                <w:color w:val="2D2D2D"/>
                <w:sz w:val="18"/>
              </w:rPr>
              <w:t>Área 3</w:t>
            </w:r>
          </w:p>
        </w:tc>
        <w:tc>
          <w:tcPr>
            <w:tcW w:type="dxa" w:w="2834"/>
            <w:shd w:val="clear" w:color="auto" w:fill="F5F0F7"/>
            <w:tcBorders>
              <w:top w:val="single" w:sz="4" w:space="0" w:color="D9B3E3"/>
              <w:left w:val="single" w:sz="4" w:space="0" w:color="D9B3E3"/>
              <w:bottom w:val="single" w:sz="4" w:space="0" w:color="D9B3E3"/>
              <w:right w:val="single" w:sz="4" w:space="0" w:color="D9B3E3"/>
            </w:tcBorders>
            <w:tcMar>
              <w:top w:w="80" w:type="dxa"/>
              <w:start w:w="100" w:type="dxa"/>
              <w:bottom w:w="80" w:type="dxa"/>
              <w:end w:w="100" w:type="dxa"/>
            </w:tcMar>
          </w:tcPr>
          <w:p>
            <w:pPr>
              <w:spacing w:before="40" w:after="40"/>
              <w:jc w:val="left"/>
            </w:pPr>
            <w:r/>
            <w:r>
              <w:rPr>
                <w:rFonts w:ascii="Century Gothic" w:hAnsi="Century Gothic" w:eastAsia="Century Gothic" w:cs="Century Gothic"/>
                <w:b w:val="0"/>
                <w:color w:val="2D2D2D"/>
                <w:sz w:val="18"/>
              </w:rPr>
              <w:t>3.1, 3.2, 3.3</w:t>
            </w:r>
          </w:p>
        </w:tc>
      </w:tr>
      <w:tr>
        <w:tc>
          <w:tcPr>
            <w:tcW w:type="dxa" w:w="2834"/>
            <w:shd w:val="clear" w:color="auto" w:fill="FFFFFF"/>
            <w:tcBorders>
              <w:top w:val="single" w:sz="4" w:space="0" w:color="D9B3E3"/>
              <w:left w:val="single" w:sz="4" w:space="0" w:color="D9B3E3"/>
              <w:bottom w:val="single" w:sz="4" w:space="0" w:color="D9B3E3"/>
              <w:right w:val="single" w:sz="4" w:space="0" w:color="D9B3E3"/>
            </w:tcBorders>
            <w:tcMar>
              <w:top w:w="80" w:type="dxa"/>
              <w:start w:w="100" w:type="dxa"/>
              <w:bottom w:w="80" w:type="dxa"/>
              <w:end w:w="100" w:type="dxa"/>
            </w:tcMar>
          </w:tcPr>
          <w:p>
            <w:pPr>
              <w:spacing w:before="40" w:after="40"/>
              <w:jc w:val="left"/>
            </w:pPr>
            <w:r/>
            <w:r>
              <w:rPr>
                <w:rFonts w:ascii="Century Gothic" w:hAnsi="Century Gothic" w:eastAsia="Century Gothic" w:cs="Century Gothic"/>
                <w:b/>
                <w:color w:val="7B2D8E"/>
                <w:sz w:val="18"/>
              </w:rPr>
              <w:t>5. Desarrollo y promoción</w:t>
            </w:r>
          </w:p>
        </w:tc>
        <w:tc>
          <w:tcPr>
            <w:tcW w:type="dxa" w:w="2267"/>
            <w:shd w:val="clear" w:color="auto" w:fill="FFFFFF"/>
            <w:tcBorders>
              <w:top w:val="single" w:sz="4" w:space="0" w:color="D9B3E3"/>
              <w:left w:val="single" w:sz="4" w:space="0" w:color="D9B3E3"/>
              <w:bottom w:val="single" w:sz="4" w:space="0" w:color="D9B3E3"/>
              <w:right w:val="single" w:sz="4" w:space="0" w:color="D9B3E3"/>
            </w:tcBorders>
            <w:tcMar>
              <w:top w:w="80" w:type="dxa"/>
              <w:start w:w="100" w:type="dxa"/>
              <w:bottom w:w="80" w:type="dxa"/>
              <w:end w:w="100" w:type="dxa"/>
            </w:tcMar>
          </w:tcPr>
          <w:p>
            <w:pPr>
              <w:spacing w:before="40" w:after="40"/>
              <w:jc w:val="left"/>
            </w:pPr>
            <w:r/>
            <w:r>
              <w:rPr>
                <w:rFonts w:ascii="Century Gothic" w:hAnsi="Century Gothic" w:eastAsia="Century Gothic" w:cs="Century Gothic"/>
                <w:b w:val="0"/>
                <w:color w:val="2D2D2D"/>
                <w:sz w:val="18"/>
              </w:rPr>
              <w:t>Áreas 2, 3 y 7</w:t>
            </w:r>
          </w:p>
        </w:tc>
        <w:tc>
          <w:tcPr>
            <w:tcW w:type="dxa" w:w="2834"/>
            <w:shd w:val="clear" w:color="auto" w:fill="FFFFFF"/>
            <w:tcBorders>
              <w:top w:val="single" w:sz="4" w:space="0" w:color="D9B3E3"/>
              <w:left w:val="single" w:sz="4" w:space="0" w:color="D9B3E3"/>
              <w:bottom w:val="single" w:sz="4" w:space="0" w:color="D9B3E3"/>
              <w:right w:val="single" w:sz="4" w:space="0" w:color="D9B3E3"/>
            </w:tcBorders>
            <w:tcMar>
              <w:top w:w="80" w:type="dxa"/>
              <w:start w:w="100" w:type="dxa"/>
              <w:bottom w:w="80" w:type="dxa"/>
              <w:end w:w="100" w:type="dxa"/>
            </w:tcMar>
          </w:tcPr>
          <w:p>
            <w:pPr>
              <w:spacing w:before="40" w:after="40"/>
              <w:jc w:val="left"/>
            </w:pPr>
            <w:r/>
            <w:r>
              <w:rPr>
                <w:rFonts w:ascii="Century Gothic" w:hAnsi="Century Gothic" w:eastAsia="Century Gothic" w:cs="Century Gothic"/>
                <w:b w:val="0"/>
                <w:color w:val="2D2D2D"/>
                <w:sz w:val="18"/>
              </w:rPr>
              <w:t>2.2, 3.2, 7.3</w:t>
            </w:r>
          </w:p>
        </w:tc>
      </w:tr>
      <w:tr>
        <w:tc>
          <w:tcPr>
            <w:tcW w:type="dxa" w:w="2834"/>
            <w:shd w:val="clear" w:color="auto" w:fill="F5F0F7"/>
            <w:tcBorders>
              <w:top w:val="single" w:sz="4" w:space="0" w:color="D9B3E3"/>
              <w:left w:val="single" w:sz="4" w:space="0" w:color="D9B3E3"/>
              <w:bottom w:val="single" w:sz="4" w:space="0" w:color="D9B3E3"/>
              <w:right w:val="single" w:sz="4" w:space="0" w:color="D9B3E3"/>
            </w:tcBorders>
            <w:tcMar>
              <w:top w:w="80" w:type="dxa"/>
              <w:start w:w="100" w:type="dxa"/>
              <w:bottom w:w="80" w:type="dxa"/>
              <w:end w:w="100" w:type="dxa"/>
            </w:tcMar>
          </w:tcPr>
          <w:p>
            <w:pPr>
              <w:spacing w:before="40" w:after="40"/>
              <w:jc w:val="left"/>
            </w:pPr>
            <w:r/>
            <w:r>
              <w:rPr>
                <w:rFonts w:ascii="Century Gothic" w:hAnsi="Century Gothic" w:eastAsia="Century Gothic" w:cs="Century Gothic"/>
                <w:b/>
                <w:color w:val="7B2D8E"/>
                <w:sz w:val="18"/>
              </w:rPr>
              <w:t>8. Prevención del acoso</w:t>
            </w:r>
          </w:p>
        </w:tc>
        <w:tc>
          <w:tcPr>
            <w:tcW w:type="dxa" w:w="2267"/>
            <w:shd w:val="clear" w:color="auto" w:fill="F5F0F7"/>
            <w:tcBorders>
              <w:top w:val="single" w:sz="4" w:space="0" w:color="D9B3E3"/>
              <w:left w:val="single" w:sz="4" w:space="0" w:color="D9B3E3"/>
              <w:bottom w:val="single" w:sz="4" w:space="0" w:color="D9B3E3"/>
              <w:right w:val="single" w:sz="4" w:space="0" w:color="D9B3E3"/>
            </w:tcBorders>
            <w:tcMar>
              <w:top w:w="80" w:type="dxa"/>
              <w:start w:w="100" w:type="dxa"/>
              <w:bottom w:w="80" w:type="dxa"/>
              <w:end w:w="100" w:type="dxa"/>
            </w:tcMar>
          </w:tcPr>
          <w:p>
            <w:pPr>
              <w:spacing w:before="40" w:after="40"/>
              <w:jc w:val="left"/>
            </w:pPr>
            <w:r/>
            <w:r>
              <w:rPr>
                <w:rFonts w:ascii="Century Gothic" w:hAnsi="Century Gothic" w:eastAsia="Century Gothic" w:cs="Century Gothic"/>
                <w:b w:val="0"/>
                <w:color w:val="2D2D2D"/>
                <w:sz w:val="18"/>
              </w:rPr>
              <w:t>Área 8</w:t>
            </w:r>
          </w:p>
        </w:tc>
        <w:tc>
          <w:tcPr>
            <w:tcW w:type="dxa" w:w="2834"/>
            <w:shd w:val="clear" w:color="auto" w:fill="F5F0F7"/>
            <w:tcBorders>
              <w:top w:val="single" w:sz="4" w:space="0" w:color="D9B3E3"/>
              <w:left w:val="single" w:sz="4" w:space="0" w:color="D9B3E3"/>
              <w:bottom w:val="single" w:sz="4" w:space="0" w:color="D9B3E3"/>
              <w:right w:val="single" w:sz="4" w:space="0" w:color="D9B3E3"/>
            </w:tcBorders>
            <w:tcMar>
              <w:top w:w="80" w:type="dxa"/>
              <w:start w:w="100" w:type="dxa"/>
              <w:bottom w:w="80" w:type="dxa"/>
              <w:end w:w="100" w:type="dxa"/>
            </w:tcMar>
          </w:tcPr>
          <w:p>
            <w:pPr>
              <w:spacing w:before="40" w:after="40"/>
              <w:jc w:val="left"/>
            </w:pPr>
            <w:r/>
            <w:r>
              <w:rPr>
                <w:rFonts w:ascii="Century Gothic" w:hAnsi="Century Gothic" w:eastAsia="Century Gothic" w:cs="Century Gothic"/>
                <w:b w:val="0"/>
                <w:color w:val="2D2D2D"/>
                <w:sz w:val="18"/>
              </w:rPr>
              <w:t>8.1, 8.2 y protocolo vigente</w:t>
            </w:r>
          </w:p>
        </w:tc>
      </w:tr>
      <w:tr>
        <w:tc>
          <w:tcPr>
            <w:tcW w:type="dxa" w:w="2834"/>
            <w:shd w:val="clear" w:color="auto" w:fill="FFFFFF"/>
            <w:tcBorders>
              <w:top w:val="single" w:sz="4" w:space="0" w:color="D9B3E3"/>
              <w:left w:val="single" w:sz="4" w:space="0" w:color="D9B3E3"/>
              <w:bottom w:val="single" w:sz="4" w:space="0" w:color="D9B3E3"/>
              <w:right w:val="single" w:sz="4" w:space="0" w:color="D9B3E3"/>
            </w:tcBorders>
            <w:tcMar>
              <w:top w:w="80" w:type="dxa"/>
              <w:start w:w="100" w:type="dxa"/>
              <w:bottom w:w="80" w:type="dxa"/>
              <w:end w:w="100" w:type="dxa"/>
            </w:tcMar>
          </w:tcPr>
          <w:p>
            <w:pPr>
              <w:spacing w:before="40" w:after="40"/>
              <w:jc w:val="left"/>
            </w:pPr>
            <w:r/>
            <w:r>
              <w:rPr>
                <w:rFonts w:ascii="Century Gothic" w:hAnsi="Century Gothic" w:eastAsia="Century Gothic" w:cs="Century Gothic"/>
                <w:b/>
                <w:color w:val="7B2D8E"/>
                <w:sz w:val="18"/>
              </w:rPr>
              <w:t>10. Comunicación no sexista</w:t>
            </w:r>
          </w:p>
        </w:tc>
        <w:tc>
          <w:tcPr>
            <w:tcW w:type="dxa" w:w="2267"/>
            <w:shd w:val="clear" w:color="auto" w:fill="FFFFFF"/>
            <w:tcBorders>
              <w:top w:val="single" w:sz="4" w:space="0" w:color="D9B3E3"/>
              <w:left w:val="single" w:sz="4" w:space="0" w:color="D9B3E3"/>
              <w:bottom w:val="single" w:sz="4" w:space="0" w:color="D9B3E3"/>
              <w:right w:val="single" w:sz="4" w:space="0" w:color="D9B3E3"/>
            </w:tcBorders>
            <w:tcMar>
              <w:top w:w="80" w:type="dxa"/>
              <w:start w:w="100" w:type="dxa"/>
              <w:bottom w:w="80" w:type="dxa"/>
              <w:end w:w="100" w:type="dxa"/>
            </w:tcMar>
          </w:tcPr>
          <w:p>
            <w:pPr>
              <w:spacing w:before="40" w:after="40"/>
              <w:jc w:val="left"/>
            </w:pPr>
            <w:r/>
            <w:r>
              <w:rPr>
                <w:rFonts w:ascii="Century Gothic" w:hAnsi="Century Gothic" w:eastAsia="Century Gothic" w:cs="Century Gothic"/>
                <w:b w:val="0"/>
                <w:color w:val="2D2D2D"/>
                <w:sz w:val="18"/>
              </w:rPr>
              <w:t>Área 7</w:t>
            </w:r>
          </w:p>
        </w:tc>
        <w:tc>
          <w:tcPr>
            <w:tcW w:type="dxa" w:w="2834"/>
            <w:shd w:val="clear" w:color="auto" w:fill="FFFFFF"/>
            <w:tcBorders>
              <w:top w:val="single" w:sz="4" w:space="0" w:color="D9B3E3"/>
              <w:left w:val="single" w:sz="4" w:space="0" w:color="D9B3E3"/>
              <w:bottom w:val="single" w:sz="4" w:space="0" w:color="D9B3E3"/>
              <w:right w:val="single" w:sz="4" w:space="0" w:color="D9B3E3"/>
            </w:tcBorders>
            <w:tcMar>
              <w:top w:w="80" w:type="dxa"/>
              <w:start w:w="100" w:type="dxa"/>
              <w:bottom w:w="80" w:type="dxa"/>
              <w:end w:w="100" w:type="dxa"/>
            </w:tcMar>
          </w:tcPr>
          <w:p>
            <w:pPr>
              <w:spacing w:before="40" w:after="40"/>
              <w:jc w:val="left"/>
            </w:pPr>
            <w:r/>
            <w:r>
              <w:rPr>
                <w:rFonts w:ascii="Century Gothic" w:hAnsi="Century Gothic" w:eastAsia="Century Gothic" w:cs="Century Gothic"/>
                <w:b w:val="0"/>
                <w:color w:val="2D2D2D"/>
                <w:sz w:val="18"/>
              </w:rPr>
              <w:t>7.1, 7.2, 7.3</w:t>
            </w:r>
          </w:p>
        </w:tc>
      </w:tr>
      <w:tr>
        <w:tc>
          <w:tcPr>
            <w:tcW w:type="dxa" w:w="2834"/>
            <w:shd w:val="clear" w:color="auto" w:fill="F5F0F7"/>
            <w:tcBorders>
              <w:top w:val="single" w:sz="4" w:space="0" w:color="D9B3E3"/>
              <w:left w:val="single" w:sz="4" w:space="0" w:color="D9B3E3"/>
              <w:bottom w:val="single" w:sz="4" w:space="0" w:color="D9B3E3"/>
              <w:right w:val="single" w:sz="4" w:space="0" w:color="D9B3E3"/>
            </w:tcBorders>
            <w:tcMar>
              <w:top w:w="80" w:type="dxa"/>
              <w:start w:w="100" w:type="dxa"/>
              <w:bottom w:w="80" w:type="dxa"/>
              <w:end w:w="100" w:type="dxa"/>
            </w:tcMar>
          </w:tcPr>
          <w:p>
            <w:pPr>
              <w:spacing w:before="40" w:after="40"/>
              <w:jc w:val="left"/>
            </w:pPr>
            <w:r/>
            <w:r>
              <w:rPr>
                <w:rFonts w:ascii="Century Gothic" w:hAnsi="Century Gothic" w:eastAsia="Century Gothic" w:cs="Century Gothic"/>
                <w:b/>
                <w:color w:val="7B2D8E"/>
                <w:sz w:val="18"/>
              </w:rPr>
              <w:t>12. Seguridad y salud laboral</w:t>
            </w:r>
          </w:p>
        </w:tc>
        <w:tc>
          <w:tcPr>
            <w:tcW w:type="dxa" w:w="2267"/>
            <w:shd w:val="clear" w:color="auto" w:fill="F5F0F7"/>
            <w:tcBorders>
              <w:top w:val="single" w:sz="4" w:space="0" w:color="D9B3E3"/>
              <w:left w:val="single" w:sz="4" w:space="0" w:color="D9B3E3"/>
              <w:bottom w:val="single" w:sz="4" w:space="0" w:color="D9B3E3"/>
              <w:right w:val="single" w:sz="4" w:space="0" w:color="D9B3E3"/>
            </w:tcBorders>
            <w:tcMar>
              <w:top w:w="80" w:type="dxa"/>
              <w:start w:w="100" w:type="dxa"/>
              <w:bottom w:w="80" w:type="dxa"/>
              <w:end w:w="100" w:type="dxa"/>
            </w:tcMar>
          </w:tcPr>
          <w:p>
            <w:pPr>
              <w:spacing w:before="40" w:after="40"/>
              <w:jc w:val="left"/>
            </w:pPr>
            <w:r/>
            <w:r>
              <w:rPr>
                <w:rFonts w:ascii="Century Gothic" w:hAnsi="Century Gothic" w:eastAsia="Century Gothic" w:cs="Century Gothic"/>
                <w:b w:val="0"/>
                <w:color w:val="2D2D2D"/>
                <w:sz w:val="18"/>
              </w:rPr>
              <w:t>Área 4</w:t>
            </w:r>
          </w:p>
        </w:tc>
        <w:tc>
          <w:tcPr>
            <w:tcW w:type="dxa" w:w="2834"/>
            <w:shd w:val="clear" w:color="auto" w:fill="F5F0F7"/>
            <w:tcBorders>
              <w:top w:val="single" w:sz="4" w:space="0" w:color="D9B3E3"/>
              <w:left w:val="single" w:sz="4" w:space="0" w:color="D9B3E3"/>
              <w:bottom w:val="single" w:sz="4" w:space="0" w:color="D9B3E3"/>
              <w:right w:val="single" w:sz="4" w:space="0" w:color="D9B3E3"/>
            </w:tcBorders>
            <w:tcMar>
              <w:top w:w="80" w:type="dxa"/>
              <w:start w:w="100" w:type="dxa"/>
              <w:bottom w:w="80" w:type="dxa"/>
              <w:end w:w="100" w:type="dxa"/>
            </w:tcMar>
          </w:tcPr>
          <w:p>
            <w:pPr>
              <w:spacing w:before="40" w:after="40"/>
              <w:jc w:val="left"/>
            </w:pPr>
            <w:r/>
            <w:r>
              <w:rPr>
                <w:rFonts w:ascii="Century Gothic" w:hAnsi="Century Gothic" w:eastAsia="Century Gothic" w:cs="Century Gothic"/>
                <w:b w:val="0"/>
                <w:color w:val="2D2D2D"/>
                <w:sz w:val="18"/>
              </w:rPr>
              <w:t>4.1, 4.2</w:t>
            </w:r>
          </w:p>
        </w:tc>
      </w:tr>
    </w:tbl>
    <w:p>
      <w:pPr>
        <w:spacing w:after="40"/>
      </w:pPr>
    </w:p>
    <w:p>
      <w:pPr>
        <w:spacing w:before="40" w:after="200"/>
        <w:jc w:val="left"/>
      </w:pPr>
      <w:r>
        <w:rPr>
          <w:rFonts w:ascii="Century Gothic" w:hAnsi="Century Gothic" w:eastAsia="Century Gothic" w:cs="Century Gothic"/>
          <w:b w:val="0"/>
          <w:i/>
          <w:color w:val="555555"/>
          <w:sz w:val="16"/>
        </w:rPr>
        <w:t>Tabla 1. Correspondencia entre las recomendaciones del anexo y las áreas del III Plan.</w:t>
      </w:r>
    </w:p>
    <w:p>
      <w:r>
        <w:t>En materia de selección y promoción, el Área 2 recoge la totalidad de lo recomendado: cláusulas de igualdad en las bases de todos los procesos (lenguaje no sexista, composición equilibrada, cláusula de desempate, valoración del tiempo de corresponsabilidad, protección de la maternidad y valoración de la formación en igualdad), criterios de valoración específicos, medidas temporales de acción positiva ante infrarrepresentación por debajo del 40 %, un grupo de trabajo permanente para detectar sesgos en la valoración de méritos, y un informe anual con datos desagregados. El plan supera lo sugerido al incorporar la Evaluación de Impacto de Género a los procesos de selección y promoción, medida que el propio informe destaca como aspecto positivo.</w:t>
      </w:r>
    </w:p>
    <w:p>
      <w:r>
        <w:t>En prevención del acoso sexual y por razón de sexo, la recomendación de elaborar un protocolo está ya cumplida con anterioridad al plan: CCASA dispone de protocolo vigente, y el proyecto contempla además su revisión y actualización. El Área 8 desarrolla su difusión anual con motivo del 25N, la formación específica y la exigencia de protocolo propio a las empresas contratadas.</w:t>
      </w:r>
    </w:p>
    <w:tbl>
      <w:tblPr>
        <w:jc w:val="center"/>
        <w:tblLook w:firstColumn="1" w:firstRow="1" w:lastColumn="0" w:lastRow="0" w:noHBand="0" w:noVBand="1" w:val="04A0"/>
        <w:tblLayout w:type="fixed"/>
        <w:tblW w:w="7936" w:type="dxa"/>
      </w:tblPr>
      <w:tblGrid>
        <w:gridCol w:w="7936"/>
      </w:tblGrid>
      <w:tr>
        <w:tc>
          <w:tcPr>
            <w:tcW w:type="dxa" w:w="7936"/>
            <w:shd w:val="clear" w:color="auto" w:fill="F5F0F7"/>
            <w:tcBorders>
              <w:top w:val="nil"/>
              <w:left w:val="nil"/>
              <w:bottom w:val="nil"/>
              <w:right w:val="nil"/>
              <w:left w:val="single" w:sz="18" w:space="0" w:color="7B2D8E"/>
            </w:tcBorders>
            <w:tcMar>
              <w:top w:w="140" w:type="dxa"/>
              <w:start w:w="200" w:type="dxa"/>
              <w:bottom w:w="140" w:type="dxa"/>
              <w:end w:w="200" w:type="dxa"/>
            </w:tcMar>
          </w:tcPr>
          <w:p>
            <w:pPr>
              <w:spacing w:after="0"/>
            </w:pPr>
            <w:r/>
            <w:r>
              <w:rPr>
                <w:rFonts w:ascii="Comfortaa" w:hAnsi="Comfortaa" w:eastAsia="Comfortaa" w:cs="Comfortaa"/>
                <w:b/>
                <w:color w:val="7B2D8E"/>
                <w:sz w:val="20"/>
              </w:rPr>
              <w:t xml:space="preserve">Un protocolo que ya existe. </w:t>
            </w:r>
            <w:r>
              <w:rPr>
                <w:rFonts w:ascii="Century Gothic" w:hAnsi="Century Gothic" w:eastAsia="Century Gothic" w:cs="Century Gothic"/>
                <w:b w:val="0"/>
                <w:color w:val="2D2D2D"/>
                <w:sz w:val="19"/>
              </w:rPr>
              <w:t>La recomendación de elaborar un protocolo frente al acoso no señala una carencia: CCASA cuenta con un protocolo en vigor y el plan prevé su revisión, su difusión periódica y la formación asociada. La medida recomendada está, por tanto, no solo prevista, sino implantada.</w:t>
            </w:r>
          </w:p>
        </w:tc>
      </w:tr>
    </w:tbl>
    <w:p>
      <w:pPr>
        <w:spacing w:after="80"/>
      </w:pPr>
    </w:p>
    <w:p>
      <w:r>
        <w:t>En seguridad y salud laboral con perspectiva de género, el Área 4 es de las más desarrolladas del plan: incorpora cláusulas en la nueva contratación del servicio de prevención para asegurar personal con formación acreditada en igualdad y prevención de riesgos con perspectiva de género, la elaboración de un Plan de Prevención con perspectiva de género conforme al Decreto Legislativo 1/2023 y a las herramientas de Osalan, el seguimiento de riesgos emergentes —teletrabajo, desgaste profesional, violencia digital y discriminación algorítmica— y un informe anual. Su despliegue pleno se sitúa en 2027 por su vinculación a la nueva contratación del servicio de prevención.</w:t>
      </w:r>
    </w:p>
    <w:p>
      <w:r>
        <w:t>Las recomendaciones sobre compromiso y gobernanza, formación, desarrollo profesional y comunicación no sexista se corresponden igualmente con áreas plenamente desarrolladas: la gobernanza feminista del plan (Grupo Motor, Comisión de Seguimiento y Programa Operativo Anual con presupuesto e indicadores) y su visibilidad institucional; el itinerario formativo del Área 3, con formación mixta anual, formación de mujeres en empoderamiento y liderazgo, formación de hombres en nuevas masculinidades y corresponsabilidad, y cláusulas de igualdad en la formación externa; las medidas de promoción y mentoring dirigidas a las mujeres en el ámbito tecnológico; y la difusión y formación en lenguaje inclusivo, junto con la visibilización de mujeres como referentes. La única sugerencia sin reflejo explícito en el plan es la participación en foros y redes empresariales, que puede valorarse en el seguimiento anual sin necesidad de una nueva medida.</w:t>
      </w:r>
    </w:p>
    <w:tbl>
      <w:tblPr>
        <w:jc w:val="center"/>
        <w:tblLook w:firstColumn="1" w:firstRow="1" w:lastColumn="0" w:lastRow="0" w:noHBand="0" w:noVBand="1" w:val="04A0"/>
        <w:tblLayout w:type="fixed"/>
        <w:tblW w:w="7936" w:type="dxa"/>
      </w:tblPr>
      <w:tblGrid>
        <w:gridCol w:w="7936"/>
      </w:tblGrid>
      <w:tr>
        <w:tc>
          <w:tcPr>
            <w:tcW w:type="dxa" w:w="7936"/>
            <w:shd w:val="clear" w:color="auto" w:fill="F5F0F7"/>
            <w:tcBorders>
              <w:top w:val="nil"/>
              <w:left w:val="nil"/>
              <w:bottom w:val="nil"/>
              <w:right w:val="nil"/>
              <w:left w:val="single" w:sz="24" w:space="0" w:color="7B2D8E"/>
            </w:tcBorders>
            <w:tcMar>
              <w:top w:w="180" w:type="dxa"/>
              <w:start w:w="220" w:type="dxa"/>
              <w:bottom w:w="180" w:type="dxa"/>
              <w:end w:w="220" w:type="dxa"/>
            </w:tcMar>
          </w:tcPr>
          <w:p>
            <w:pPr>
              <w:spacing w:after="160"/>
            </w:pPr>
            <w:r/>
            <w:r>
              <w:rPr>
                <w:rFonts w:ascii="Comfortaa" w:hAnsi="Comfortaa" w:eastAsia="Comfortaa" w:cs="Comfortaa"/>
                <w:b/>
                <w:color w:val="7B2D8E"/>
                <w:sz w:val="22"/>
              </w:rPr>
              <w:t>EN RESUMEN</w:t>
            </w:r>
          </w:p>
          <w:p>
            <w:pPr>
              <w:spacing w:after="120"/>
              <w:ind w:left="454" w:hanging="454"/>
            </w:pPr>
            <w:r>
              <w:rPr>
                <w:rFonts w:ascii="Comfortaa" w:hAnsi="Comfortaa" w:eastAsia="Comfortaa" w:cs="Comfortaa"/>
                <w:b/>
                <w:color w:val="7B2D8E"/>
                <w:sz w:val="24"/>
              </w:rPr>
              <w:t xml:space="preserve">1   </w:t>
            </w:r>
            <w:r>
              <w:rPr>
                <w:rFonts w:ascii="Century Gothic" w:hAnsi="Century Gothic" w:eastAsia="Century Gothic" w:cs="Century Gothic"/>
                <w:b w:val="0"/>
                <w:color w:val="2D2D2D"/>
                <w:sz w:val="19"/>
              </w:rPr>
              <w:t>Siete de los bloques del anexo corresponden a materias que el plan ya desarrolla con medidas concretas.</w:t>
            </w:r>
          </w:p>
          <w:p>
            <w:pPr>
              <w:spacing w:after="120"/>
              <w:ind w:left="454" w:hanging="454"/>
            </w:pPr>
            <w:r>
              <w:rPr>
                <w:rFonts w:ascii="Comfortaa" w:hAnsi="Comfortaa" w:eastAsia="Comfortaa" w:cs="Comfortaa"/>
                <w:b/>
                <w:color w:val="C62270"/>
                <w:sz w:val="24"/>
              </w:rPr>
              <w:t xml:space="preserve">2   </w:t>
            </w:r>
            <w:r>
              <w:rPr>
                <w:rFonts w:ascii="Century Gothic" w:hAnsi="Century Gothic" w:eastAsia="Century Gothic" w:cs="Century Gothic"/>
                <w:b w:val="0"/>
                <w:color w:val="2D2D2D"/>
                <w:sz w:val="19"/>
              </w:rPr>
              <w:t>En selección y promoción el plan supera lo recomendado, al aplicar la Evaluación de Impacto de Género.</w:t>
            </w:r>
          </w:p>
          <w:p>
            <w:pPr>
              <w:spacing w:after="120"/>
              <w:ind w:left="454" w:hanging="454"/>
            </w:pPr>
            <w:r>
              <w:rPr>
                <w:rFonts w:ascii="Comfortaa" w:hAnsi="Comfortaa" w:eastAsia="Comfortaa" w:cs="Comfortaa"/>
                <w:b/>
                <w:color w:val="D85A30"/>
                <w:sz w:val="24"/>
              </w:rPr>
              <w:t xml:space="preserve">3   </w:t>
            </w:r>
            <w:r>
              <w:rPr>
                <w:rFonts w:ascii="Century Gothic" w:hAnsi="Century Gothic" w:eastAsia="Century Gothic" w:cs="Century Gothic"/>
                <w:b w:val="0"/>
                <w:color w:val="2D2D2D"/>
                <w:sz w:val="19"/>
              </w:rPr>
              <w:t>El protocolo frente al acoso no es una carencia: ya está vigente e implantado.</w:t>
            </w:r>
          </w:p>
          <w:p>
            <w:pPr>
              <w:spacing w:after="120"/>
              <w:ind w:left="454" w:hanging="454"/>
            </w:pPr>
            <w:r>
              <w:rPr>
                <w:rFonts w:ascii="Comfortaa" w:hAnsi="Comfortaa" w:eastAsia="Comfortaa" w:cs="Comfortaa"/>
                <w:b/>
                <w:color w:val="7B2D8E"/>
                <w:sz w:val="24"/>
              </w:rPr>
              <w:t xml:space="preserve">4   </w:t>
            </w:r>
            <w:r>
              <w:rPr>
                <w:rFonts w:ascii="Century Gothic" w:hAnsi="Century Gothic" w:eastAsia="Century Gothic" w:cs="Century Gothic"/>
                <w:b w:val="0"/>
                <w:color w:val="2D2D2D"/>
                <w:sz w:val="19"/>
              </w:rPr>
              <w:t>La seguridad y salud laboral con perspectiva de género es una de las áreas más desarrolladas del plan.</w:t>
            </w:r>
          </w:p>
        </w:tc>
      </w:tr>
    </w:tbl>
    <w:p>
      <w:pPr>
        <w:spacing w:after="120"/>
      </w:pPr>
    </w:p>
    <w:p>
      <w:pPr>
        <w:pStyle w:val="Ttulo1"/>
        <w:pageBreakBefore/>
      </w:pPr>
      <w:r>
        <w:rPr>
          <w:smallCaps/>
        </w:rPr>
        <w:t>Recomendaciones desactivadas por los resultados del diagnóstico</w:t>
      </w:r>
    </w:p>
    <w:p>
      <w:r>
        <w:t>Algunas recomendaciones, aun cuando el plan también las contempla, pierden sentido a la vista de los resultados del diagnóstico de CCASA, que evidencian situaciones de partida netamente favorables. Se trata de recomendaciones estándar, pensadas para organizaciones con brechas relevantes, que no se corresponden con la realidad de CCASA.</w:t>
      </w:r>
    </w:p>
    <w:tbl>
      <w:tblPr>
        <w:jc w:val="center"/>
        <w:tblLook w:firstColumn="1" w:firstRow="1" w:lastColumn="0" w:lastRow="0" w:noHBand="0" w:noVBand="1" w:val="04A0"/>
        <w:tblLayout w:type="fixed"/>
        <w:tblW w:w="7936" w:type="dxa"/>
      </w:tblPr>
      <w:tblGrid>
        <w:gridCol w:w="1984"/>
        <w:gridCol w:w="1984"/>
        <w:gridCol w:w="1984"/>
        <w:gridCol w:w="1984"/>
      </w:tblGrid>
      <w:tr>
        <w:tc>
          <w:tcPr>
            <w:tcW w:type="dxa" w:w="1984"/>
            <w:shd w:val="clear" w:color="auto" w:fill="F5F0F7"/>
            <w:tcBorders>
              <w:top w:val="nil"/>
              <w:left w:val="nil"/>
              <w:bottom w:val="nil"/>
              <w:right w:val="nil"/>
            </w:tcBorders>
            <w:tcMar>
              <w:top w:w="140" w:type="dxa"/>
              <w:start w:w="60" w:type="dxa"/>
              <w:bottom w:w="20" w:type="dxa"/>
              <w:end w:w="60" w:type="dxa"/>
            </w:tcMar>
          </w:tcPr>
          <w:p>
            <w:pPr>
              <w:spacing w:before="40" w:after="40"/>
              <w:jc w:val="center"/>
            </w:pPr>
            <w:r/>
            <w:r>
              <w:rPr>
                <w:rFonts w:ascii="Comfortaa" w:hAnsi="Comfortaa" w:eastAsia="Comfortaa" w:cs="Comfortaa"/>
                <w:b/>
                <w:color w:val="7B2D8E"/>
                <w:sz w:val="40"/>
              </w:rPr>
              <w:t>1 %</w:t>
            </w:r>
          </w:p>
        </w:tc>
        <w:tc>
          <w:tcPr>
            <w:tcW w:type="dxa" w:w="1984"/>
            <w:shd w:val="clear" w:color="auto" w:fill="F5F0F7"/>
            <w:tcBorders>
              <w:top w:val="nil"/>
              <w:left w:val="nil"/>
              <w:bottom w:val="nil"/>
              <w:right w:val="nil"/>
            </w:tcBorders>
            <w:tcMar>
              <w:top w:w="140" w:type="dxa"/>
              <w:start w:w="60" w:type="dxa"/>
              <w:bottom w:w="20" w:type="dxa"/>
              <w:end w:w="60" w:type="dxa"/>
            </w:tcMar>
          </w:tcPr>
          <w:p>
            <w:pPr>
              <w:spacing w:before="40" w:after="40"/>
              <w:jc w:val="center"/>
            </w:pPr>
            <w:r/>
            <w:r>
              <w:rPr>
                <w:rFonts w:ascii="Comfortaa" w:hAnsi="Comfortaa" w:eastAsia="Comfortaa" w:cs="Comfortaa"/>
                <w:b/>
                <w:color w:val="C62270"/>
                <w:sz w:val="40"/>
              </w:rPr>
              <w:t>3,6 %</w:t>
            </w:r>
          </w:p>
        </w:tc>
        <w:tc>
          <w:tcPr>
            <w:tcW w:type="dxa" w:w="1984"/>
            <w:shd w:val="clear" w:color="auto" w:fill="F5F0F7"/>
            <w:tcBorders>
              <w:top w:val="nil"/>
              <w:left w:val="nil"/>
              <w:bottom w:val="nil"/>
              <w:right w:val="nil"/>
            </w:tcBorders>
            <w:tcMar>
              <w:top w:w="140" w:type="dxa"/>
              <w:start w:w="60" w:type="dxa"/>
              <w:bottom w:w="20" w:type="dxa"/>
              <w:end w:w="60" w:type="dxa"/>
            </w:tcMar>
          </w:tcPr>
          <w:p>
            <w:pPr>
              <w:spacing w:before="40" w:after="40"/>
              <w:jc w:val="center"/>
            </w:pPr>
            <w:r/>
            <w:r>
              <w:rPr>
                <w:rFonts w:ascii="Comfortaa" w:hAnsi="Comfortaa" w:eastAsia="Comfortaa" w:cs="Comfortaa"/>
                <w:b/>
                <w:color w:val="D85A30"/>
                <w:sz w:val="40"/>
              </w:rPr>
              <w:t>90 %</w:t>
            </w:r>
          </w:p>
        </w:tc>
        <w:tc>
          <w:tcPr>
            <w:tcW w:type="dxa" w:w="1984"/>
            <w:shd w:val="clear" w:color="auto" w:fill="F5F0F7"/>
            <w:tcBorders>
              <w:top w:val="nil"/>
              <w:left w:val="nil"/>
              <w:bottom w:val="nil"/>
              <w:right w:val="nil"/>
            </w:tcBorders>
            <w:tcMar>
              <w:top w:w="140" w:type="dxa"/>
              <w:start w:w="60" w:type="dxa"/>
              <w:bottom w:w="20" w:type="dxa"/>
              <w:end w:w="60" w:type="dxa"/>
            </w:tcMar>
          </w:tcPr>
          <w:p>
            <w:pPr>
              <w:spacing w:before="40" w:after="40"/>
              <w:jc w:val="center"/>
            </w:pPr>
            <w:r/>
            <w:r>
              <w:rPr>
                <w:rFonts w:ascii="Comfortaa" w:hAnsi="Comfortaa" w:eastAsia="Comfortaa" w:cs="Comfortaa"/>
                <w:b/>
                <w:color w:val="7B2D8E"/>
                <w:sz w:val="40"/>
              </w:rPr>
              <w:t>93 %</w:t>
            </w:r>
          </w:p>
        </w:tc>
      </w:tr>
      <w:tr>
        <w:tc>
          <w:tcPr>
            <w:tcW w:type="dxa" w:w="1984"/>
            <w:shd w:val="clear" w:color="auto" w:fill="F5F0F7"/>
            <w:tcBorders>
              <w:top w:val="nil"/>
              <w:left w:val="nil"/>
              <w:bottom w:val="nil"/>
              <w:right w:val="nil"/>
            </w:tcBorders>
            <w:tcMar>
              <w:top w:w="0" w:type="dxa"/>
              <w:start w:w="60" w:type="dxa"/>
              <w:bottom w:w="140" w:type="dxa"/>
              <w:end w:w="60" w:type="dxa"/>
            </w:tcMar>
          </w:tcPr>
          <w:p>
            <w:pPr>
              <w:spacing w:before="40" w:after="40"/>
              <w:jc w:val="center"/>
            </w:pPr>
            <w:r/>
            <w:r>
              <w:rPr>
                <w:rFonts w:ascii="Century Gothic" w:hAnsi="Century Gothic" w:eastAsia="Century Gothic" w:cs="Century Gothic"/>
                <w:b w:val="0"/>
                <w:color w:val="555555"/>
                <w:sz w:val="16"/>
              </w:rPr>
              <w:t>brecha salarial (−1 % en valores equiparables)</w:t>
            </w:r>
          </w:p>
        </w:tc>
        <w:tc>
          <w:tcPr>
            <w:tcW w:type="dxa" w:w="1984"/>
            <w:shd w:val="clear" w:color="auto" w:fill="F5F0F7"/>
            <w:tcBorders>
              <w:top w:val="nil"/>
              <w:left w:val="nil"/>
              <w:bottom w:val="nil"/>
              <w:right w:val="nil"/>
            </w:tcBorders>
            <w:tcMar>
              <w:top w:w="0" w:type="dxa"/>
              <w:start w:w="60" w:type="dxa"/>
              <w:bottom w:w="140" w:type="dxa"/>
              <w:end w:w="60" w:type="dxa"/>
            </w:tcMar>
          </w:tcPr>
          <w:p>
            <w:pPr>
              <w:spacing w:before="40" w:after="40"/>
              <w:jc w:val="center"/>
            </w:pPr>
            <w:r/>
            <w:r>
              <w:rPr>
                <w:rFonts w:ascii="Century Gothic" w:hAnsi="Century Gothic" w:eastAsia="Century Gothic" w:cs="Century Gothic"/>
                <w:b w:val="0"/>
                <w:color w:val="555555"/>
                <w:sz w:val="16"/>
              </w:rPr>
              <w:t>temporalidad de las mujeres</w:t>
            </w:r>
          </w:p>
        </w:tc>
        <w:tc>
          <w:tcPr>
            <w:tcW w:type="dxa" w:w="1984"/>
            <w:shd w:val="clear" w:color="auto" w:fill="F5F0F7"/>
            <w:tcBorders>
              <w:top w:val="nil"/>
              <w:left w:val="nil"/>
              <w:bottom w:val="nil"/>
              <w:right w:val="nil"/>
            </w:tcBorders>
            <w:tcMar>
              <w:top w:w="0" w:type="dxa"/>
              <w:start w:w="60" w:type="dxa"/>
              <w:bottom w:w="140" w:type="dxa"/>
              <w:end w:w="60" w:type="dxa"/>
            </w:tcMar>
          </w:tcPr>
          <w:p>
            <w:pPr>
              <w:spacing w:before="40" w:after="40"/>
              <w:jc w:val="center"/>
            </w:pPr>
            <w:r/>
            <w:r>
              <w:rPr>
                <w:rFonts w:ascii="Century Gothic" w:hAnsi="Century Gothic" w:eastAsia="Century Gothic" w:cs="Century Gothic"/>
                <w:b w:val="0"/>
                <w:color w:val="555555"/>
                <w:sz w:val="16"/>
              </w:rPr>
              <w:t>plantilla en la sesión pública de la auditoría</w:t>
            </w:r>
          </w:p>
        </w:tc>
        <w:tc>
          <w:tcPr>
            <w:tcW w:type="dxa" w:w="1984"/>
            <w:shd w:val="clear" w:color="auto" w:fill="F5F0F7"/>
            <w:tcBorders>
              <w:top w:val="nil"/>
              <w:left w:val="nil"/>
              <w:bottom w:val="nil"/>
              <w:right w:val="nil"/>
            </w:tcBorders>
            <w:tcMar>
              <w:top w:w="0" w:type="dxa"/>
              <w:start w:w="60" w:type="dxa"/>
              <w:bottom w:w="140" w:type="dxa"/>
              <w:end w:w="60" w:type="dxa"/>
            </w:tcMar>
          </w:tcPr>
          <w:p>
            <w:pPr>
              <w:spacing w:before="40" w:after="40"/>
              <w:jc w:val="center"/>
            </w:pPr>
            <w:r/>
            <w:r>
              <w:rPr>
                <w:rFonts w:ascii="Century Gothic" w:hAnsi="Century Gothic" w:eastAsia="Century Gothic" w:cs="Century Gothic"/>
                <w:b w:val="0"/>
                <w:color w:val="555555"/>
                <w:sz w:val="16"/>
              </w:rPr>
              <w:t>conoce las medidas de conciliación</w:t>
            </w:r>
          </w:p>
        </w:tc>
      </w:tr>
    </w:tbl>
    <w:p>
      <w:pPr>
        <w:spacing w:after="120"/>
      </w:pPr>
    </w:p>
    <w:p>
      <w:pPr>
        <w:spacing w:before="40" w:after="200"/>
        <w:jc w:val="left"/>
      </w:pPr>
      <w:r>
        <w:rPr>
          <w:rFonts w:ascii="Century Gothic" w:hAnsi="Century Gothic" w:eastAsia="Century Gothic" w:cs="Century Gothic"/>
          <w:b w:val="0"/>
          <w:i/>
          <w:color w:val="555555"/>
          <w:sz w:val="16"/>
        </w:rPr>
        <w:t>Fuente: diagnóstico del III Plan e informe de impacto (auditoría retributiva 2024).</w:t>
      </w:r>
    </w:p>
    <w:p>
      <w:pPr>
        <w:pStyle w:val="Ttulo2"/>
      </w:pPr>
      <w:r>
        <w:t>Política retributiva y reducción de la brecha salarial</w:t>
      </w:r>
    </w:p>
    <w:p>
      <w:r>
        <w:t>El bloque 7 recomienda dar mayor transparencia a la política retributiva, introducir medidas específicas para reducir o eliminar la brecha salarial y difundir su evolución entre la plantilla. La transparencia y la difusión ya están previstas en el Área 5 —auditoría retributiva anual conforme al Real Decreto 902/2020 y presentación de los resultados a la plantilla— y se han acreditado en la práctica: la última auditoría se presentó en sesión abierta con asistencia del 90 % de la plantilla. En cuanto a reducir la brecha, el propio informe recoge que se sitúa en el 1 % y se invierte al −1 % en valores equiparables, muy por debajo del 12,81 % de media de la Comunidad Autónoma de Euskadi. No existe una brecha estructural sobre la que operar. La asignatura pendiente que el diagnóstico identifica no es la magnitud de la brecha, sino la percepción de una parte de las mujeres sobre posibles sesgos, que el plan atiende por la vía de la comunicación y del seguimiento, y no mediante medidas correctoras de una brecha inexistente.</w:t>
      </w:r>
    </w:p>
    <w:p>
      <w:pPr>
        <w:pStyle w:val="Ttulo2"/>
      </w:pPr>
      <w:r>
        <w:t>Reducción de la temporalidad y la parcialidad</w:t>
      </w:r>
    </w:p>
    <w:p>
      <w:r>
        <w:t>Dentro del bloque 2, el informe sugiere incorporar medidas para reducir la parcialidad o la temporalidad del empleo femenino. El diagnóstico sitúa la temporalidad de las mujeres en CCASA en el 3,6 %, un valor residual. La estabilidad en el empleo no es el problema de partida. El reto que sí identifica el diagnóstico es el ritmo desigual de las incorporaciones recientes, mayoritariamente masculinas, que el plan aborda mediante la acción positiva en el acceso (Área 2), y no mediante medidas de conversión de contratos temporales, que carecen de recorrido en una plantilla ya estable.</w:t>
      </w:r>
    </w:p>
    <w:p>
      <w:pPr>
        <w:pStyle w:val="Ttulo2"/>
      </w:pPr>
      <w:r>
        <w:t>Ampliación de las medidas de conciliación</w:t>
      </w:r>
    </w:p>
    <w:p>
      <w:r>
        <w:t>El bloque 6 recomienda mejorar la aplicación de las medidas de conciliación, ampliar la duración de permisos y licencias e introducir medidas nuevas. CCASA dispone ya de un conjunto de medidas que supera el estándar del sector —flexibilidad horaria ampliada, teletrabajo hasta el 60 % de la jornada, reducciones de jornada y excedencias con mantenimiento del vínculo laboral—, cuya duración y alcance son, además, materia de convenio. El diagnóstico es explícito en este punto: el reto no es crear nuevas medidas, sino garantizar que las existentes se usen de forma corresponsable y no penalicen las trayectorias profesionales de las mujeres. Por eso el Área 6 se orienta a la evaluación del uso, a la corresponsabilidad de los hombres y al seguimiento del impacto, y no a la ampliación del catálogo.</w:t>
      </w:r>
    </w:p>
    <w:tbl>
      <w:tblPr>
        <w:jc w:val="center"/>
        <w:tblLook w:firstColumn="1" w:firstRow="1" w:lastColumn="0" w:lastRow="0" w:noHBand="0" w:noVBand="1" w:val="04A0"/>
        <w:tblLayout w:type="fixed"/>
        <w:tblW w:w="7936" w:type="dxa"/>
      </w:tblPr>
      <w:tblGrid>
        <w:gridCol w:w="7936"/>
      </w:tblGrid>
      <w:tr>
        <w:tc>
          <w:tcPr>
            <w:tcW w:type="dxa" w:w="7936"/>
            <w:shd w:val="clear" w:color="auto" w:fill="FDF0EA"/>
            <w:tcBorders>
              <w:top w:val="nil"/>
              <w:left w:val="nil"/>
              <w:bottom w:val="nil"/>
              <w:right w:val="nil"/>
              <w:left w:val="single" w:sz="18" w:space="0" w:color="D85A30"/>
            </w:tcBorders>
            <w:tcMar>
              <w:top w:w="140" w:type="dxa"/>
              <w:start w:w="200" w:type="dxa"/>
              <w:bottom w:w="140" w:type="dxa"/>
              <w:end w:w="200" w:type="dxa"/>
            </w:tcMar>
          </w:tcPr>
          <w:p>
            <w:pPr>
              <w:spacing w:after="0"/>
            </w:pPr>
            <w:r/>
            <w:r>
              <w:rPr>
                <w:rFonts w:ascii="Comfortaa" w:hAnsi="Comfortaa" w:eastAsia="Comfortaa" w:cs="Comfortaa"/>
                <w:b/>
                <w:color w:val="D85A30"/>
                <w:sz w:val="20"/>
              </w:rPr>
              <w:t xml:space="preserve">Un matiz de fondo. </w:t>
            </w:r>
            <w:r>
              <w:rPr>
                <w:rFonts w:ascii="Century Gothic" w:hAnsi="Century Gothic" w:eastAsia="Century Gothic" w:cs="Century Gothic"/>
                <w:b w:val="0"/>
                <w:color w:val="2D2D2D"/>
                <w:sz w:val="19"/>
              </w:rPr>
              <w:t>Ampliar el catálogo de conciliación sin intervenir sobre su uso desigual reforzaría la feminización del cuidado que el plan busca revertir. El diagnóstico localiza el problema en el uso y no en la disponibilidad de medidas, y ahí es donde interviene el plan.</w:t>
            </w:r>
          </w:p>
        </w:tc>
      </w:tr>
    </w:tbl>
    <w:p>
      <w:pPr>
        <w:spacing w:after="80"/>
      </w:pPr>
    </w:p>
    <w:tbl>
      <w:tblPr>
        <w:jc w:val="center"/>
        <w:tblLook w:firstColumn="1" w:firstRow="1" w:lastColumn="0" w:lastRow="0" w:noHBand="0" w:noVBand="1" w:val="04A0"/>
        <w:tblLayout w:type="fixed"/>
        <w:tblW w:w="7936" w:type="dxa"/>
      </w:tblPr>
      <w:tblGrid>
        <w:gridCol w:w="7936"/>
      </w:tblGrid>
      <w:tr>
        <w:tc>
          <w:tcPr>
            <w:tcW w:type="dxa" w:w="7936"/>
            <w:shd w:val="clear" w:color="auto" w:fill="F5F0F7"/>
            <w:tcBorders>
              <w:top w:val="nil"/>
              <w:left w:val="nil"/>
              <w:bottom w:val="nil"/>
              <w:right w:val="nil"/>
              <w:left w:val="single" w:sz="24" w:space="0" w:color="7B2D8E"/>
            </w:tcBorders>
            <w:tcMar>
              <w:top w:w="180" w:type="dxa"/>
              <w:start w:w="220" w:type="dxa"/>
              <w:bottom w:w="180" w:type="dxa"/>
              <w:end w:w="220" w:type="dxa"/>
            </w:tcMar>
          </w:tcPr>
          <w:p>
            <w:pPr>
              <w:spacing w:after="160"/>
            </w:pPr>
            <w:r/>
            <w:r>
              <w:rPr>
                <w:rFonts w:ascii="Comfortaa" w:hAnsi="Comfortaa" w:eastAsia="Comfortaa" w:cs="Comfortaa"/>
                <w:b/>
                <w:color w:val="7B2D8E"/>
                <w:sz w:val="22"/>
              </w:rPr>
              <w:t>EN RESUMEN</w:t>
            </w:r>
          </w:p>
          <w:p>
            <w:pPr>
              <w:spacing w:after="120"/>
              <w:ind w:left="454" w:hanging="454"/>
            </w:pPr>
            <w:r>
              <w:rPr>
                <w:rFonts w:ascii="Comfortaa" w:hAnsi="Comfortaa" w:eastAsia="Comfortaa" w:cs="Comfortaa"/>
                <w:b/>
                <w:color w:val="7B2D8E"/>
                <w:sz w:val="24"/>
              </w:rPr>
              <w:t xml:space="preserve">1   </w:t>
            </w:r>
            <w:r>
              <w:rPr>
                <w:rFonts w:ascii="Century Gothic" w:hAnsi="Century Gothic" w:eastAsia="Century Gothic" w:cs="Century Gothic"/>
                <w:b w:val="0"/>
                <w:color w:val="2D2D2D"/>
                <w:sz w:val="19"/>
              </w:rPr>
              <w:t>La brecha salarial de CCASA (1 %, −1 % en valores equiparables) hace innecesarias medidas correctoras de una brecha que no existe.</w:t>
            </w:r>
          </w:p>
          <w:p>
            <w:pPr>
              <w:spacing w:after="120"/>
              <w:ind w:left="454" w:hanging="454"/>
            </w:pPr>
            <w:r>
              <w:rPr>
                <w:rFonts w:ascii="Comfortaa" w:hAnsi="Comfortaa" w:eastAsia="Comfortaa" w:cs="Comfortaa"/>
                <w:b/>
                <w:color w:val="C62270"/>
                <w:sz w:val="24"/>
              </w:rPr>
              <w:t xml:space="preserve">2   </w:t>
            </w:r>
            <w:r>
              <w:rPr>
                <w:rFonts w:ascii="Century Gothic" w:hAnsi="Century Gothic" w:eastAsia="Century Gothic" w:cs="Century Gothic"/>
                <w:b w:val="0"/>
                <w:color w:val="2D2D2D"/>
                <w:sz w:val="19"/>
              </w:rPr>
              <w:t>La temporalidad femenina (3,6 %) es residual: el reto es el acceso, ya abordado con acción positiva.</w:t>
            </w:r>
          </w:p>
          <w:p>
            <w:pPr>
              <w:spacing w:after="120"/>
              <w:ind w:left="454" w:hanging="454"/>
            </w:pPr>
            <w:r>
              <w:rPr>
                <w:rFonts w:ascii="Comfortaa" w:hAnsi="Comfortaa" w:eastAsia="Comfortaa" w:cs="Comfortaa"/>
                <w:b/>
                <w:color w:val="D85A30"/>
                <w:sz w:val="24"/>
              </w:rPr>
              <w:t xml:space="preserve">3   </w:t>
            </w:r>
            <w:r>
              <w:rPr>
                <w:rFonts w:ascii="Century Gothic" w:hAnsi="Century Gothic" w:eastAsia="Century Gothic" w:cs="Century Gothic"/>
                <w:b w:val="0"/>
                <w:color w:val="2D2D2D"/>
                <w:sz w:val="19"/>
              </w:rPr>
              <w:t>El diagnóstico afirma que, en conciliación, el reto no es crear más medidas, sino corregir su uso desigual.</w:t>
            </w:r>
          </w:p>
          <w:p>
            <w:pPr>
              <w:spacing w:after="120"/>
              <w:ind w:left="454" w:hanging="454"/>
            </w:pPr>
            <w:r>
              <w:rPr>
                <w:rFonts w:ascii="Comfortaa" w:hAnsi="Comfortaa" w:eastAsia="Comfortaa" w:cs="Comfortaa"/>
                <w:b/>
                <w:color w:val="7B2D8E"/>
                <w:sz w:val="24"/>
              </w:rPr>
              <w:t xml:space="preserve">4   </w:t>
            </w:r>
            <w:r>
              <w:rPr>
                <w:rFonts w:ascii="Century Gothic" w:hAnsi="Century Gothic" w:eastAsia="Century Gothic" w:cs="Century Gothic"/>
                <w:b w:val="0"/>
                <w:color w:val="2D2D2D"/>
                <w:sz w:val="19"/>
              </w:rPr>
              <w:t>El plan interviene donde el diagnóstico localiza el problema real, de naturaleza cualitativa.</w:t>
            </w:r>
          </w:p>
        </w:tc>
      </w:tr>
    </w:tbl>
    <w:p>
      <w:pPr>
        <w:spacing w:after="120"/>
      </w:pPr>
    </w:p>
    <w:p>
      <w:pPr>
        <w:pStyle w:val="Ttulo1"/>
        <w:pageBreakBefore/>
      </w:pPr>
      <w:r>
        <w:rPr>
          <w:smallCaps/>
        </w:rPr>
        <w:t>Tres precisiones específicas</w:t>
      </w:r>
    </w:p>
    <w:p>
      <w:r>
        <w:t>Tres recomendaciones requieren una respuesta más detallada, bien porque afectan a materias que exceden el alcance de un plan de igualdad, bien porque remiten a instrumentos ya vigentes. En ninguno de los tres casos la recomendación pone de manifiesto una carencia del plan.</w:t>
      </w:r>
    </w:p>
    <w:p>
      <w:pPr>
        <w:pStyle w:val="Ttulo2"/>
      </w:pPr>
      <w:r>
        <w:t>Valoración de puestos de trabajo</w:t>
      </w:r>
    </w:p>
    <w:p>
      <w:r>
        <w:t>El bloque 3 recomienda emprender un proceso de valoración de puestos que tenga en cuenta los posibles sesgos de género. Es preciso distinguir dos planos. Un plan de igualdad puede, y debe, incorporar la perspectiva de género en los sistemas de gestión que la organización tiene en marcha o va a implantar. No puede, en cambio, comprometer la realización de una función de gestión que la organización no tiene previsto acometer. CCASA cuenta con un sistema de perfiles profesionales y niveles vigente desde 2016, revisado en 2021 con participación del comité de empresa, y no tiene previsto abrir un nuevo proceso de valoración de puestos durante la vigencia del plan. En consecuencia, el plan no fija una medida de valoración de puestos, porque no existe tal proceso sobre el que operar. Lo que sí queda establecido es el criterio de actuación: el propio diagnóstico plantea incorporar la perspectiva de género en la revisión de la valoración de puestos cuando esta se produzca, y el plan asume ese criterio. La clasificación profesional y la estructura de niveles son, además, materia de convenio colectivo. Conviene recordar que el propio informe de impacto, en su tabla de medidas del plan, ya da por incorporada la valoración de puestos y la presencia equilibrada, de modo que no la señala como carencia. El diagnóstico recoge, eso sí, una brecha de percepción sobre posibles sesgos en la valoración, que el plan atiende por la vía de la transparencia y la comunicación.</w:t>
      </w:r>
    </w:p>
    <w:tbl>
      <w:tblPr>
        <w:jc w:val="center"/>
        <w:tblLook w:firstColumn="1" w:firstRow="1" w:lastColumn="0" w:lastRow="0" w:noHBand="0" w:noVBand="1" w:val="04A0"/>
        <w:tblLayout w:type="fixed"/>
        <w:tblW w:w="7936" w:type="dxa"/>
      </w:tblPr>
      <w:tblGrid>
        <w:gridCol w:w="7936"/>
      </w:tblGrid>
      <w:tr>
        <w:tc>
          <w:tcPr>
            <w:tcW w:type="dxa" w:w="7936"/>
            <w:shd w:val="clear" w:color="auto" w:fill="F5F0F7"/>
            <w:tcBorders>
              <w:top w:val="nil"/>
              <w:left w:val="nil"/>
              <w:bottom w:val="nil"/>
              <w:right w:val="nil"/>
              <w:left w:val="single" w:sz="18" w:space="0" w:color="7B2D8E"/>
            </w:tcBorders>
            <w:tcMar>
              <w:top w:w="140" w:type="dxa"/>
              <w:start w:w="200" w:type="dxa"/>
              <w:bottom w:w="140" w:type="dxa"/>
              <w:end w:w="200" w:type="dxa"/>
            </w:tcMar>
          </w:tcPr>
          <w:p>
            <w:pPr>
              <w:spacing w:after="0"/>
            </w:pPr>
            <w:r/>
            <w:r>
              <w:rPr>
                <w:rFonts w:ascii="Comfortaa" w:hAnsi="Comfortaa" w:eastAsia="Comfortaa" w:cs="Comfortaa"/>
                <w:b/>
                <w:color w:val="7B2D8E"/>
                <w:sz w:val="20"/>
              </w:rPr>
              <w:t xml:space="preserve">Criterio. </w:t>
            </w:r>
            <w:r>
              <w:rPr>
                <w:rFonts w:ascii="Century Gothic" w:hAnsi="Century Gothic" w:eastAsia="Century Gothic" w:cs="Century Gothic"/>
                <w:b w:val="0"/>
                <w:color w:val="2D2D2D"/>
                <w:sz w:val="19"/>
              </w:rPr>
              <w:t>La perspectiva de género se incorpora a un sistema de gestión cuando ese sistema existe o se va a implantar. CCASA no tiene previsto acometer un proceso de valoración de puestos, de modo que comprometerlo excedería el alcance de un plan de igualdad. Si en el futuro se realizara una revisión del sistema de valoración, se haría incorporando la perspectiva de género.</w:t>
            </w:r>
          </w:p>
        </w:tc>
      </w:tr>
    </w:tbl>
    <w:p>
      <w:pPr>
        <w:spacing w:after="80"/>
      </w:pPr>
    </w:p>
    <w:p>
      <w:pPr>
        <w:pStyle w:val="Ttulo2"/>
      </w:pPr>
      <w:r>
        <w:t>Empleabilidad de mujeres víctimas de violencia</w:t>
      </w:r>
    </w:p>
    <w:p>
      <w:r>
        <w:t>El bloque 9 combina dos planos que conviene separar. Los derechos laborales de las trabajadoras de CCASA víctimas de violencia machista, y la sensibilización sobre ellos, están contemplados en el Área 8: la revisión del artículo 27 del convenio para adecuarlo a la definición de violencia machista del Decreto Legislativo 1/2023, con medios de acreditación ampliados, y la formación anual. El diagnóstico añade, además, la conveniencia de consolidar una mirada organizacional compartida sobre el acompañamiento a las propias trabajadoras que enfrentan violencia también fuera del entorno laboral, cuando ello afecta a su bienestar y a su continuidad profesional, lo que se sitúa dentro del ámbito del plan. La otra parte de la recomendación —impulsar la empleabilidad de mujeres víctimas de violencia o en situación de vulnerabilidad ajenas a la plantilla— remite a políticas de inserción laboral que corresponden a los servicios públicos de empleo y a entidades especializadas, y que exceden el ámbito y la naturaleza de CCASA. Un plan de igualdad interno regula las condiciones de trabajo de la propia plantilla; no es el instrumento para desplegar programas de inserción de personas ajenas a la organización.</w:t>
      </w:r>
    </w:p>
    <w:p>
      <w:pPr>
        <w:pStyle w:val="Ttulo2"/>
      </w:pPr>
      <w:r>
        <w:t>Desconexión digital</w:t>
      </w:r>
    </w:p>
    <w:p>
      <w:r>
        <w:t>El bloque 11 recomienda incorporar medidas de flexibilidad horaria, teletrabajo y desconexión digital. Las dos primeras están ampliamente desarrolladas, con flexibilidad horaria ampliada y teletrabajo de hasta el 60 % de la jornada. La desconexión digital no se recogió como medida específica porque la materia ya está cubierta por dos vías. Como derecho, está regulada en el acuerdo de teletrabajo de CCASA y garantizada legalmente por el artículo 88 de la Ley Orgánica 3/2018. Y en su dimensión de riesgo —la desregulación horaria, las jornadas prolongadas y la falta de descanso asociadas al teletrabajo—, el diagnóstico la recoge expresamente dentro del análisis de seguridad y salud laboral, y el plan la incorpora al seguimiento de riesgos emergentes del teletrabajo previsto en el Área 4. No se trata, por tanto, de una laguna, sino de una materia atendida a la vez como derecho vigente y como factor de riesgo objeto de seguimiento. Si se considerara oportuno, podría hacerse explícita como tal en la comunicación a la plantilla.</w:t>
      </w:r>
    </w:p>
    <w:tbl>
      <w:tblPr>
        <w:jc w:val="center"/>
        <w:tblLook w:firstColumn="1" w:firstRow="1" w:lastColumn="0" w:lastRow="0" w:noHBand="0" w:noVBand="1" w:val="04A0"/>
        <w:tblLayout w:type="fixed"/>
        <w:tblW w:w="7936" w:type="dxa"/>
      </w:tblPr>
      <w:tblGrid>
        <w:gridCol w:w="7936"/>
      </w:tblGrid>
      <w:tr>
        <w:tc>
          <w:tcPr>
            <w:tcW w:type="dxa" w:w="7936"/>
            <w:shd w:val="clear" w:color="auto" w:fill="F5F0F7"/>
            <w:tcBorders>
              <w:top w:val="nil"/>
              <w:left w:val="nil"/>
              <w:bottom w:val="nil"/>
              <w:right w:val="nil"/>
              <w:left w:val="single" w:sz="24" w:space="0" w:color="7B2D8E"/>
            </w:tcBorders>
            <w:tcMar>
              <w:top w:w="180" w:type="dxa"/>
              <w:start w:w="220" w:type="dxa"/>
              <w:bottom w:w="180" w:type="dxa"/>
              <w:end w:w="220" w:type="dxa"/>
            </w:tcMar>
          </w:tcPr>
          <w:p>
            <w:pPr>
              <w:spacing w:after="160"/>
            </w:pPr>
            <w:r/>
            <w:r>
              <w:rPr>
                <w:rFonts w:ascii="Comfortaa" w:hAnsi="Comfortaa" w:eastAsia="Comfortaa" w:cs="Comfortaa"/>
                <w:b/>
                <w:color w:val="7B2D8E"/>
                <w:sz w:val="22"/>
              </w:rPr>
              <w:t>EN RESUMEN</w:t>
            </w:r>
          </w:p>
          <w:p>
            <w:pPr>
              <w:spacing w:after="120"/>
              <w:ind w:left="454" w:hanging="454"/>
            </w:pPr>
            <w:r>
              <w:rPr>
                <w:rFonts w:ascii="Comfortaa" w:hAnsi="Comfortaa" w:eastAsia="Comfortaa" w:cs="Comfortaa"/>
                <w:b/>
                <w:color w:val="7B2D8E"/>
                <w:sz w:val="24"/>
              </w:rPr>
              <w:t xml:space="preserve">1   </w:t>
            </w:r>
            <w:r>
              <w:rPr>
                <w:rFonts w:ascii="Century Gothic" w:hAnsi="Century Gothic" w:eastAsia="Century Gothic" w:cs="Century Gothic"/>
                <w:b w:val="0"/>
                <w:color w:val="2D2D2D"/>
                <w:sz w:val="19"/>
              </w:rPr>
              <w:t>El plan no fija una medida de valoración de puestos porque CCASA no va a acometer ese proceso; si lo hiciera, sería con perspectiva de género.</w:t>
            </w:r>
          </w:p>
          <w:p>
            <w:pPr>
              <w:spacing w:after="120"/>
              <w:ind w:left="454" w:hanging="454"/>
            </w:pPr>
            <w:r>
              <w:rPr>
                <w:rFonts w:ascii="Comfortaa" w:hAnsi="Comfortaa" w:eastAsia="Comfortaa" w:cs="Comfortaa"/>
                <w:b/>
                <w:color w:val="C62270"/>
                <w:sz w:val="24"/>
              </w:rPr>
              <w:t xml:space="preserve">2   </w:t>
            </w:r>
            <w:r>
              <w:rPr>
                <w:rFonts w:ascii="Century Gothic" w:hAnsi="Century Gothic" w:eastAsia="Century Gothic" w:cs="Century Gothic"/>
                <w:b w:val="0"/>
                <w:color w:val="2D2D2D"/>
                <w:sz w:val="19"/>
              </w:rPr>
              <w:t>Los derechos de las trabajadoras víctimas de violencia están cubiertos; la empleabilidad de víctimas externas excede el ámbito de un plan de igualdad interno.</w:t>
            </w:r>
          </w:p>
          <w:p>
            <w:pPr>
              <w:spacing w:after="120"/>
              <w:ind w:left="454" w:hanging="454"/>
            </w:pPr>
            <w:r>
              <w:rPr>
                <w:rFonts w:ascii="Comfortaa" w:hAnsi="Comfortaa" w:eastAsia="Comfortaa" w:cs="Comfortaa"/>
                <w:b/>
                <w:color w:val="D85A30"/>
                <w:sz w:val="24"/>
              </w:rPr>
              <w:t xml:space="preserve">3   </w:t>
            </w:r>
            <w:r>
              <w:rPr>
                <w:rFonts w:ascii="Century Gothic" w:hAnsi="Century Gothic" w:eastAsia="Century Gothic" w:cs="Century Gothic"/>
                <w:b w:val="0"/>
                <w:color w:val="2D2D2D"/>
                <w:sz w:val="19"/>
              </w:rPr>
              <w:t>La desconexión digital está cubierta por doble vía: como derecho (acuerdo de teletrabajo y ley) y como riesgo del teletrabajo objeto de seguimiento (Área 4).</w:t>
            </w:r>
          </w:p>
        </w:tc>
      </w:tr>
    </w:tbl>
    <w:p>
      <w:pPr>
        <w:spacing w:after="120"/>
      </w:pPr>
    </w:p>
    <w:p>
      <w:pPr>
        <w:pStyle w:val="Ttulo1"/>
        <w:pageBreakBefore/>
      </w:pPr>
      <w:r>
        <w:rPr>
          <w:smallCaps/>
        </w:rPr>
        <w:t>Conclusión</w:t>
      </w:r>
    </w:p>
    <w:p>
      <w:r>
        <w:t>El informe de impacto de género sobre el III Plan de Igualdad de CCASA es favorable y no formula recomendaciones prioritarias. El anexo de recomendaciones tiene carácter genérico, y su propio texto excluye de aplicación las materias ya recogidas en el plan o en el convenio, o descartadas de forma justificada durante la negociación.</w:t>
      </w:r>
    </w:p>
    <w:p>
      <w:r>
        <w:t>Del análisis se desprende que la totalidad de los bloques recomendados se encuentran en alguno de esos supuestos. La mayoría corresponden a materias que el III Plan ya desarrolla mediante medidas concretas, y en las que el plan supera lo sugerido, señaladamente la aplicación de la Evaluación de Impacto de Género en selección y promoción. Otras recomendaciones —la reducción de la brecha salarial, la disminución de la temporalidad femenina o la ampliación del catálogo de conciliación— no resultan pertinentes a la vista de unos indicadores de partida ya favorables, sobre los que el plan interviene en el plano cualitativo que el diagnóstico identifica como determinante. Y las materias que exceden el alcance de un plan de igualdad interno —la valoración de puestos no prevista o la empleabilidad de personas ajenas a la organización— no pueden traducirse en medidas sin desbordar la función del instrumento.</w:t>
      </w:r>
    </w:p>
    <w:p>
      <w:r>
        <w:t>Conviene subrayar que esta conclusión no equivale a afirmar que CCASA haya alcanzado la igualdad efectiva. El diagnóstico documenta desigualdades estructurales que persisten —la segregación vertical y horizontal, el retroceso en la presencia femenina, el peso de la experiencia en el acceso, o las carencias de la cultura organizativa— y el III Plan se construye precisamente para intervenir sobre ellas. Lo que el análisis muestra es que las recomendaciones genéricas del anexo no añaden nada a esa intervención ya diseñada y ajustada al diagnóstico propio.</w:t>
      </w:r>
    </w:p>
    <w:p>
      <w:r>
        <w:t>En consecuencia, el III Plan no requiere incorporar medidas adicionales derivadas del informe de impacto. En el marco del seguimiento anual puede, a lo sumo, dejarse constancia expresa de dos elementos que ya operan en la práctica: la garantía de desconexión digital, atendida como derecho y como riesgo del teletrabajo, y la eventual participación de CCASA en foros y redes empresariales en materia de igualdad.</w:t>
      </w:r>
    </w:p>
    <w:tbl>
      <w:tblPr>
        <w:jc w:val="center"/>
        <w:tblLook w:firstColumn="1" w:firstRow="1" w:lastColumn="0" w:lastRow="0" w:noHBand="0" w:noVBand="1" w:val="04A0"/>
        <w:tblLayout w:type="fixed"/>
        <w:tblW w:w="7936" w:type="dxa"/>
      </w:tblPr>
      <w:tblGrid>
        <w:gridCol w:w="7936"/>
      </w:tblGrid>
      <w:tr>
        <w:tc>
          <w:tcPr>
            <w:tcW w:type="dxa" w:w="7936"/>
            <w:shd w:val="clear" w:color="auto" w:fill="F5F0F7"/>
            <w:tcBorders>
              <w:top w:val="nil"/>
              <w:left w:val="nil"/>
              <w:bottom w:val="nil"/>
              <w:right w:val="nil"/>
              <w:left w:val="single" w:sz="18" w:space="0" w:color="7B2D8E"/>
            </w:tcBorders>
            <w:tcMar>
              <w:top w:w="140" w:type="dxa"/>
              <w:start w:w="200" w:type="dxa"/>
              <w:bottom w:w="140" w:type="dxa"/>
              <w:end w:w="200" w:type="dxa"/>
            </w:tcMar>
          </w:tcPr>
          <w:p>
            <w:pPr>
              <w:spacing w:after="0"/>
            </w:pPr>
            <w:r/>
            <w:r>
              <w:rPr>
                <w:rFonts w:ascii="Comfortaa" w:hAnsi="Comfortaa" w:eastAsia="Comfortaa" w:cs="Comfortaa"/>
                <w:b/>
                <w:color w:val="7B2D8E"/>
                <w:sz w:val="20"/>
              </w:rPr>
              <w:t xml:space="preserve">En síntesis. </w:t>
            </w:r>
            <w:r>
              <w:rPr>
                <w:rFonts w:ascii="Century Gothic" w:hAnsi="Century Gothic" w:eastAsia="Century Gothic" w:cs="Century Gothic"/>
                <w:b w:val="0"/>
                <w:color w:val="2D2D2D"/>
                <w:sz w:val="19"/>
              </w:rPr>
              <w:t>Aplicando el criterio del propio informe, ninguna de las recomendaciones del anexo exige modificar el III Plan: todas están ya contempladas en el plan o en el convenio, no son pertinentes según el diagnóstico, o exceden el alcance de un plan de igualdad.</w:t>
            </w:r>
          </w:p>
        </w:tc>
      </w:tr>
    </w:tbl>
    <w:p>
      <w:pPr>
        <w:spacing w:after="80"/>
      </w:pPr>
    </w:p>
    <w:sectPr w:rsidR="0077164F" w:rsidRPr="002D618E" w:rsidSect="009E1F7E">
      <w:headerReference w:type="even" r:id="rId8"/>
      <w:headerReference w:type="default" r:id="rId9"/>
      <w:footerReference w:type="even" r:id="rId10"/>
      <w:footerReference w:type="default" r:id="rId11"/>
      <w:headerReference w:type="first" r:id="rId12"/>
      <w:footerReference w:type="first" r:id="rId13"/>
      <w:pgSz w:w="11906" w:h="16838"/>
      <w:pgMar w:top="1701" w:right="1985" w:bottom="1701" w:left="1985"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CCE75" w14:textId="77777777" w:rsidR="006854BD" w:rsidRDefault="006854BD">
      <w:r>
        <w:separator/>
      </w:r>
    </w:p>
  </w:endnote>
  <w:endnote w:type="continuationSeparator" w:id="0">
    <w:p w14:paraId="6D960FE7" w14:textId="77777777" w:rsidR="006854BD" w:rsidRDefault="00685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3E77"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06045"/>
      <w:docPartObj>
        <w:docPartGallery w:val="Page Numbers (Bottom of Page)"/>
        <w:docPartUnique/>
      </w:docPartObj>
    </w:sdtPr>
    <w:sdtEndPr>
      <w:rPr>
        <w:color w:val="A02B93" w:themeColor="accent5"/>
        <w:sz w:val="24"/>
        <w:szCs w:val="24"/>
      </w:rPr>
    </w:sdtEndPr>
    <w:sdtContent>
      <w:p w14:paraId="3227C170" w14:textId="2A1AB72B" w:rsidR="00543A35" w:rsidRPr="00543A35" w:rsidRDefault="00543A35">
        <w:pPr>
          <w:pStyle w:val="Piedepgina"/>
          <w:jc w:val="center"/>
          <w:rPr>
            <w:color w:val="A02B93" w:themeColor="accent5"/>
            <w:sz w:val="24"/>
            <w:szCs w:val="24"/>
          </w:rPr>
        </w:pPr>
        <w:r w:rsidRPr="00543A35">
          <w:rPr>
            <w:b/>
            <w:bCs/>
            <w:color w:val="A02B93" w:themeColor="accent5"/>
            <w:sz w:val="24"/>
            <w:szCs w:val="24"/>
          </w:rPr>
          <w:drawing>
            <wp:anchor distT="0" distB="0" distL="114300" distR="114300" simplePos="0" relativeHeight="251659264" behindDoc="0" locked="0" layoutInCell="1" allowOverlap="1" wp14:anchorId="622A4FDA" wp14:editId="60F616B8">
              <wp:simplePos x="0" y="0"/>
              <wp:positionH relativeFrom="column">
                <wp:posOffset>2081530</wp:posOffset>
              </wp:positionH>
              <wp:positionV relativeFrom="paragraph">
                <wp:posOffset>48584</wp:posOffset>
              </wp:positionV>
              <wp:extent cx="859155" cy="48260"/>
              <wp:effectExtent l="0" t="0" r="0" b="8890"/>
              <wp:wrapNone/>
              <wp:docPr id="89644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sidRPr="00543A35">
          <w:rPr>
            <w:b/>
            <w:bCs/>
            <w:color w:val="A02B93" w:themeColor="accent5"/>
            <w:sz w:val="24"/>
            <w:szCs w:val="24"/>
          </w:rPr>
          <w:fldChar w:fldCharType="begin"/>
        </w:r>
        <w:r w:rsidRPr="00543A35">
          <w:rPr>
            <w:b/>
            <w:bCs/>
            <w:color w:val="A02B93" w:themeColor="accent5"/>
            <w:sz w:val="24"/>
            <w:szCs w:val="24"/>
          </w:rPr>
          <w:instrText>PAGE   \* MERGEFORMAT</w:instrText>
        </w:r>
        <w:r w:rsidRPr="00543A35">
          <w:rPr>
            <w:b/>
            <w:bCs/>
            <w:color w:val="A02B93" w:themeColor="accent5"/>
            <w:sz w:val="24"/>
            <w:szCs w:val="24"/>
          </w:rPr>
          <w:fldChar w:fldCharType="separate"/>
        </w:r>
        <w:r w:rsidRPr="00543A35">
          <w:rPr>
            <w:b/>
            <w:bCs/>
            <w:color w:val="A02B93" w:themeColor="accent5"/>
            <w:sz w:val="24"/>
            <w:szCs w:val="24"/>
          </w:rPr>
          <w:t>2</w:t>
        </w:r>
        <w:r w:rsidRPr="00543A35">
          <w:rPr>
            <w:b/>
            <w:bCs/>
            <w:color w:val="A02B93" w:themeColor="accent5"/>
            <w:sz w:val="24"/>
            <w:szCs w:val="24"/>
          </w:rPr>
          <w:fldChar w:fldCharType="end"/>
        </w:r>
      </w:p>
    </w:sdtContent>
  </w:sdt>
  <w:p w14:paraId="6A2160AF" w14:textId="5DF1BCA5" w:rsidR="006959D1" w:rsidRDefault="00543A35" w:rsidP="009E1F7E">
    <w:pPr>
      <w:tabs>
        <w:tab w:val="center" w:pos="3969"/>
        <w:tab w:val="right" w:pos="8504"/>
      </w:tabs>
    </w:pPr>
    <w:r w:rsidRPr="00543A35">
      <w:rPr>
        <w:b/>
        <w:bCs/>
        <w:color w:val="A02B93" w:themeColor="accent5"/>
        <w:sz w:val="24"/>
        <w:szCs w:val="24"/>
      </w:rPr>
      <w:drawing>
        <wp:anchor distT="0" distB="0" distL="114300" distR="114300" simplePos="0" relativeHeight="251661312" behindDoc="0" locked="0" layoutInCell="1" allowOverlap="1" wp14:anchorId="2B0C4DA1" wp14:editId="45029418">
          <wp:simplePos x="0" y="0"/>
          <wp:positionH relativeFrom="column">
            <wp:posOffset>2112645</wp:posOffset>
          </wp:positionH>
          <wp:positionV relativeFrom="paragraph">
            <wp:posOffset>35871</wp:posOffset>
          </wp:positionV>
          <wp:extent cx="859155" cy="48260"/>
          <wp:effectExtent l="0" t="0" r="0" b="8890"/>
          <wp:wrapNone/>
          <wp:docPr id="12814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5C498"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095D1" w14:textId="77777777" w:rsidR="006854BD" w:rsidRDefault="006854BD">
      <w:r>
        <w:separator/>
      </w:r>
    </w:p>
  </w:footnote>
  <w:footnote w:type="continuationSeparator" w:id="0">
    <w:p w14:paraId="6C297E04" w14:textId="77777777" w:rsidR="006854BD" w:rsidRDefault="00685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7BEA"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8AA19" w14:textId="77777777" w:rsidR="006959D1" w:rsidRDefault="009E1F7E">
    <w:r>
      <w:rPr>
        <w:noProof/>
      </w:rPr>
      <w:drawing>
        <wp:inline distT="0" distB="0" distL="0" distR="0" wp14:anchorId="1AE775BA" wp14:editId="6E81FC01">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79E25A2B" w14:textId="77777777" w:rsidR="006959D1" w:rsidRDefault="006959D1">
    <w:pPr>
      <w:spacing w:before="20"/>
    </w:pPr>
  </w:p>
  <w:p w14:paraId="7BAA22B2" w14:textId="77777777" w:rsidR="009E1F7E" w:rsidRDefault="009E1F7E">
    <w:pPr>
      <w:spacing w:before="20"/>
    </w:pPr>
  </w:p>
  <w:p w14:paraId="49020944" w14:textId="77777777" w:rsidR="009E1F7E" w:rsidRDefault="009E1F7E">
    <w:pPr>
      <w:spacing w:before="20"/>
    </w:pPr>
  </w:p>
  <w:p w14:paraId="6E2A4041"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82BEB"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9"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2"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8"/>
    <w:lvlOverride w:ilvl="0">
      <w:startOverride w:val="1"/>
    </w:lvlOverride>
  </w:num>
  <w:num w:numId="2" w16cid:durableId="1760785936">
    <w:abstractNumId w:val="11"/>
    <w:lvlOverride w:ilvl="0">
      <w:startOverride w:val="1"/>
    </w:lvlOverride>
  </w:num>
  <w:num w:numId="3" w16cid:durableId="1666930361">
    <w:abstractNumId w:val="9"/>
  </w:num>
  <w:num w:numId="4" w16cid:durableId="29427238">
    <w:abstractNumId w:val="15"/>
  </w:num>
  <w:num w:numId="5" w16cid:durableId="1450199151">
    <w:abstractNumId w:val="4"/>
  </w:num>
  <w:num w:numId="6" w16cid:durableId="1416512955">
    <w:abstractNumId w:val="0"/>
  </w:num>
  <w:num w:numId="7" w16cid:durableId="45569957">
    <w:abstractNumId w:val="14"/>
  </w:num>
  <w:num w:numId="8" w16cid:durableId="1759869289">
    <w:abstractNumId w:val="7"/>
  </w:num>
  <w:num w:numId="9" w16cid:durableId="1965691551">
    <w:abstractNumId w:val="2"/>
  </w:num>
  <w:num w:numId="10" w16cid:durableId="2076513469">
    <w:abstractNumId w:val="6"/>
  </w:num>
  <w:num w:numId="11" w16cid:durableId="734010533">
    <w:abstractNumId w:val="12"/>
  </w:num>
  <w:num w:numId="12" w16cid:durableId="259994549">
    <w:abstractNumId w:val="1"/>
  </w:num>
  <w:num w:numId="13" w16cid:durableId="2124687816">
    <w:abstractNumId w:val="13"/>
  </w:num>
  <w:num w:numId="14" w16cid:durableId="822280499">
    <w:abstractNumId w:val="3"/>
  </w:num>
  <w:num w:numId="15" w16cid:durableId="1557814845">
    <w:abstractNumId w:val="10"/>
  </w:num>
  <w:num w:numId="16" w16cid:durableId="1938055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1B6C43"/>
    <w:rsid w:val="001F61C7"/>
    <w:rsid w:val="002D618E"/>
    <w:rsid w:val="00543A35"/>
    <w:rsid w:val="005D48B3"/>
    <w:rsid w:val="006854BD"/>
    <w:rsid w:val="006959D1"/>
    <w:rsid w:val="0077164F"/>
    <w:rsid w:val="00907956"/>
    <w:rsid w:val="009D5CB2"/>
    <w:rsid w:val="009E1F7E"/>
    <w:rsid w:val="00C16BD3"/>
    <w:rsid w:val="00C716CD"/>
    <w:rsid w:val="00C936C9"/>
    <w:rsid w:val="00D071C7"/>
    <w:rsid w:val="00D76C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FF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rsid w:val="009E1F7E"/>
    <w:pPr>
      <w:pBdr>
        <w:left w:val="single" w:sz="18" w:space="8" w:color="C62270"/>
      </w:pBdr>
      <w:spacing w:before="280" w:after="160"/>
      <w:jc w:val="left"/>
      <w:outlineLvl w:val="1"/>
    </w:pPr>
    <w:rPr>
      <w:rFonts w:ascii="Comfortaa" w:eastAsia="Comfortaa" w:hAnsi="Comfortaa" w:cs="Comfortaa"/>
      <w:b/>
      <w:bCs/>
      <w:color w:val="C6227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2026 def</Template>
  <TotalTime>8</TotalTime>
  <Pages>1</Pages>
  <Words>0</Words>
  <Characters>0</Characters>
  <Application>Microsoft Office Word</Application>
  <DocSecurity>0</DocSecurity>
  <Lines>0</Lines>
  <Paragraphs>0</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1. JUSTIFICACIÓN</vt:lpstr>
      <vt:lpstr>2. AJUSTE DEL PROYECTO A LA REALIDAD MUNICIPAL</vt:lpstr>
      <vt:lpstr>    Una trayectoria de compromiso con la igualdad que ahora se vuelca hacia adentro</vt:lpstr>
      <vt:lpstr>    Una plantilla pequeña con características organizativas relevantes para el diagn</vt:lpstr>
      <vt:lpstr>    Un municipio con contexto socioeconómico relevante para el diagnóstico</vt:lpstr>
      <vt:lpstr>3. ADECUACIÓN A LA ESTRATEGIA 2030 Y AL III PLAN MUNICIPAL DE IGUALDAD DE ORTUEL</vt:lpstr>
      <vt:lpstr>    Alineación con la Estrategia 2030 de la CAE</vt:lpstr>
      <vt:lpstr>    Coherencia con el III Plan Municipal de Igualdad de Ortuella 2026-2030</vt:lpstr>
      <vt:lpstr>    Un proyecto que operativiza compromisos ya adquiridos</vt:lpstr>
      <vt:lpstr>4. OBJETIVOS</vt:lpstr>
      <vt:lpstr>    4.1 Objetivo general</vt:lpstr>
      <vt:lpstr>    4.2 Objetivos específicos del diagnóstico</vt:lpstr>
      <vt:lpstr>        Dimensión 1. Características de la organización y la plantilla</vt:lpstr>
      <vt:lpstr>        Dimensión 2. Procesos de selección, contratación y promoción profesional</vt:lpstr>
      <vt:lpstr>        Dimensión 3. Formación y aprendizaje en el puesto de trabajo</vt:lpstr>
      <vt:lpstr>        Dimensión 4. Seguridad y salud laboral</vt:lpstr>
      <vt:lpstr>        Dimensión 5. Clasificación profesional y auditoría retributiva</vt:lpstr>
      <vt:lpstr>        Dimensión 6. Corresponsabilidad y conciliación</vt:lpstr>
      <vt:lpstr>        Dimensión 7. Cultura organizacional</vt:lpstr>
      <vt:lpstr>        Dimensión 8. Violencias machistas: acoso sexual y acoso por razón de sexo</vt:lpstr>
      <vt:lpstr>    4.3 Objetivos específicos de planificación</vt:lpstr>
      <vt:lpstr>5. METODOLOGÍA, PROCESO DE TRABAJO Y DESCRIPCIÓN DE TAREAS</vt:lpstr>
      <vt:lpstr>    5.1 METODOLOGÍA</vt:lpstr>
      <vt:lpstr>        5.1.1 Las técnicas concretas de trabajo</vt:lpstr>
      <vt:lpstr>        5.1.2 Estructuras de trabajo</vt:lpstr>
      <vt:lpstr>    5.2 Proceso de trabajo</vt:lpstr>
      <vt:lpstr>    5.3 Descripción de tareas</vt:lpstr>
      <vt:lpstr>        A. Fase de elaboración del diagnóstico</vt:lpstr>
      <vt:lpstr>        B. Fase de elaboración del plan de igualdad y del protocolo</vt:lpstr>
    </vt:vector>
  </TitlesOfParts>
  <Company>HP</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Elena Ortiz De Lejarazu</cp:lastModifiedBy>
  <cp:revision>1</cp:revision>
  <dcterms:created xsi:type="dcterms:W3CDTF">2026-03-27T19:50:00Z</dcterms:created>
  <dcterms:modified xsi:type="dcterms:W3CDTF">2026-03-27T19:58:00Z</dcterms:modified>
</cp:coreProperties>
</file>