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46B70"/>
          <w:spacing w:val="20"/>
          <w:sz w:val="20"/>
          <w:szCs w:val="20"/>
        </w:rPr>
        <w:t xml:space="preserve">WEBSITE REDESIGN DIRECTION</w:t>
      </w:r>
    </w:p>
    <w:p>
      <w:pPr>
        <w:spacing w:after="100"/>
      </w:pPr>
      <w:r>
        <w:rPr>
          <w:b/>
          <w:bCs/>
          <w:color w:val="0B3A3A"/>
          <w:sz w:val="34"/>
          <w:szCs w:val="34"/>
        </w:rPr>
        <w:t xml:space="preserve">Endurmenntunarferðir — restyled in the Smart Teachers Play More visual language</w:t>
      </w:r>
    </w:p>
    <w:p>
      <w:pPr>
        <w:spacing w:after="300"/>
      </w:pPr>
      <w:r>
        <w:rPr>
          <w:i/>
          <w:iCs/>
          <w:color w:val="555555"/>
          <w:sz w:val="20"/>
          <w:szCs w:val="20"/>
        </w:rPr>
        <w:t xml:space="preserve">Prepared by Helen · for review before any build work begins</w:t>
      </w:r>
    </w:p>
    <w:p>
      <w:pPr>
        <w:pStyle w:val="Heading1"/>
        <w:pBdr>
          <w:bottom w:val="single" w:color="146B70" w:sz="6" w:space="6"/>
        </w:pBdr>
        <w:spacing w:after="140" w:before="360"/>
      </w:pPr>
      <w:r>
        <w:rPr>
          <w:b/>
          <w:bCs/>
          <w:color w:val="0B3A3A"/>
          <w:sz w:val="27"/>
          <w:szCs w:val="27"/>
        </w:rPr>
        <w:t xml:space="preserve">Summary</w:t>
      </w:r>
    </w:p>
    <w:p>
      <w:pPr>
        <w:spacing w:after="160" w:line="276"/>
      </w:pPr>
      <w:r>
        <w:rPr>
          <w:color w:val="16302E"/>
          <w:sz w:val="22"/>
          <w:szCs w:val="22"/>
        </w:rPr>
        <w:t xml:space="preserve">You asked for the new site to feel like Smart Teachers Play More (STPM). This note reviews STPM's visual language, gives a verdict on each of the sample links you sent against that direction, and lists the concrete ideas worth carrying into the redesign — no page has been built yet, this is just the thinking to agree on first.</w:t>
      </w:r>
    </w:p>
    <w:p>
      <w:pPr>
        <w:pStyle w:val="Heading1"/>
        <w:pBdr>
          <w:bottom w:val="single" w:color="146B70" w:sz="6" w:space="6"/>
        </w:pBdr>
        <w:spacing w:after="140" w:before="360"/>
      </w:pPr>
      <w:r>
        <w:rPr>
          <w:b/>
          <w:bCs/>
          <w:color w:val="0B3A3A"/>
          <w:sz w:val="27"/>
          <w:szCs w:val="27"/>
        </w:rPr>
        <w:t xml:space="preserve">Recommendation</w:t>
      </w:r>
    </w:p>
    <w:p>
      <w:pPr>
        <w:spacing w:after="160" w:line="276"/>
      </w:pPr>
      <w:r>
        <w:rPr>
          <w:color w:val="16302E"/>
          <w:sz w:val="22"/>
          <w:szCs w:val="22"/>
        </w:rPr>
        <w:t xml:space="preserve">Use STPM as the single style reference. Its look is a soft mint/teal palette against white, cream and pale-green section bands, fully rounded pill buttons, photos cropped into circles, and one confident yellow call-to-action color. None of the sample links matches that warmth closely enough to sit alongside it as a second reference — most would pull the design toward something more corporate or generic. Best approach: keep STPM as the only visual reference, and treat the samples below purely for isolated ideas (a content block, a page rhythm), not for look and feel.</w:t>
      </w:r>
    </w:p>
    <w:p>
      <w:pPr>
        <w:pStyle w:val="Heading1"/>
        <w:pBdr>
          <w:bottom w:val="single" w:color="146B70" w:sz="6" w:space="6"/>
        </w:pBdr>
        <w:spacing w:after="140" w:before="360"/>
      </w:pPr>
      <w:r>
        <w:rPr>
          <w:b/>
          <w:bCs/>
          <w:color w:val="0B3A3A"/>
          <w:sz w:val="27"/>
          <w:szCs w:val="27"/>
        </w:rPr>
        <w:t xml:space="preserve">Sample Links Reviewed</w:t>
      </w:r>
    </w:p>
    <w:p>
      <w:pPr>
        <w:spacing w:after="160" w:line="276"/>
      </w:pPr>
      <w:r>
        <w:rPr>
          <w:color w:val="16302E"/>
          <w:sz w:val="22"/>
          <w:szCs w:val="22"/>
        </w:rPr>
        <w:t xml:space="preserve">Based on the screenshots you sent through.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00"/>
        <w:gridCol w:w="2100"/>
      </w:tblGrid>
      <w:tr>
        <w:trPr>
          <w:tblHeader/>
        </w:trPr>
        <w:tc>
          <w:tcPr>
            <w:tcW w:type="dxa" w:w="2200"/>
            <w:shd w:fill="E3F5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B3A3A"/>
                <w:sz w:val="19"/>
                <w:szCs w:val="19"/>
              </w:rPr>
              <w:t xml:space="preserve">Site</w:t>
            </w:r>
          </w:p>
        </w:tc>
        <w:tc>
          <w:tcPr>
            <w:tcW w:type="dxa" w:w="5300"/>
            <w:shd w:fill="E3F5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B3A3A"/>
                <w:sz w:val="19"/>
                <w:szCs w:val="19"/>
              </w:rPr>
              <w:t xml:space="preserve">Style notes</w:t>
            </w:r>
          </w:p>
        </w:tc>
        <w:tc>
          <w:tcPr>
            <w:tcW w:type="dxa" w:w="2100"/>
            <w:shd w:fill="E3F5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B3A3A"/>
                <w:sz w:val="19"/>
                <w:szCs w:val="19"/>
              </w:rPr>
              <w:t xml:space="preserve">Verdict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6302E"/>
                <w:sz w:val="19"/>
                <w:szCs w:val="19"/>
              </w:rPr>
              <w:t xml:space="preserve">teachersrise.eu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Same business as yours — Erasmus+ teacher training across European locations, funding help, course dates. Visually dark green/white and fairly institutional, not playful.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6302E"/>
                <w:sz w:val="19"/>
                <w:szCs w:val="19"/>
              </w:rPr>
              <w:t xml:space="preserve">Borrow content ideas only (funding block, locations block) — not the look.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6302E"/>
                <w:sz w:val="19"/>
                <w:szCs w:val="19"/>
              </w:rPr>
              <w:t xml:space="preserve">infiniteadv.com (Infinite Adventures)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A tour operator, so the page rhythm is close to what you need: photo hero, trip cards, testimonials, newsletter signup. Palette is orange/outdoorsy, not the mint warmth of STPM.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6302E"/>
                <w:sz w:val="19"/>
                <w:szCs w:val="19"/>
              </w:rPr>
              <w:t xml:space="preserve">Borrow layout rhythm only.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6302E"/>
                <w:sz w:val="19"/>
                <w:szCs w:val="19"/>
              </w:rPr>
              <w:t xml:space="preserve">kits.yumnatype.com/universite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Generic university admissions template — navy/red, stats bar, faculty grid. Formal and corporate, opposite tone from STPM's playfulness.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6302E"/>
                <w:sz w:val="19"/>
                <w:szCs w:val="19"/>
              </w:rPr>
              <w:t xml:space="preserve">Skip.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6302E"/>
                <w:sz w:val="19"/>
                <w:szCs w:val="19"/>
              </w:rPr>
              <w:t xml:space="preserve">playworks.org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Nonprofit around play-based learning for kids — blue/purple/pink, big energetic photography, stat highlights. Closest in spirit to STPM's “movement and play” mission, though aimed at children rather than adult teachers.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6302E"/>
                <w:sz w:val="19"/>
                <w:szCs w:val="19"/>
              </w:rPr>
              <w:t xml:space="preserve">Closest in tone — useful for photography energy.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6302E"/>
                <w:sz w:val="19"/>
                <w:szCs w:val="19"/>
              </w:rPr>
              <w:t xml:space="preserve">enalingua-frankfurt.de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German language school — red/orange, dense and transactional, icon service cards. Doesn't fit the warm, unhurried STPM feel.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6302E"/>
                <w:sz w:val="19"/>
                <w:szCs w:val="19"/>
              </w:rPr>
              <w:t xml:space="preserve">Skip.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6302E"/>
                <w:sz w:val="19"/>
                <w:szCs w:val="19"/>
              </w:rPr>
              <w:t xml:space="preserve">agilegroupusa.com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Generic B2B consultancy template — navy/orange. No meaningful overlap with an education-travel brand.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6302E"/>
                <w:sz w:val="19"/>
                <w:szCs w:val="19"/>
              </w:rPr>
              <w:t xml:space="preserve">Skip.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6302E"/>
                <w:sz w:val="19"/>
                <w:szCs w:val="19"/>
              </w:rPr>
              <w:t xml:space="preserve">rivercottage.net &amp; daylesford.com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No screenshot came through for these, so no real verdict — happy to review properly if you send images. By category (food/farm lifestyle brands) they seem an unlikely style match for a teacher-travel site.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6302E"/>
                <w:sz w:val="19"/>
                <w:szCs w:val="19"/>
              </w:rPr>
              <w:t xml:space="preserve">Not reviewed.</w:t>
            </w:r>
          </w:p>
        </w:tc>
      </w:tr>
    </w:tbl>
    <w:p>
      <w:pPr>
        <w:pStyle w:val="Heading1"/>
        <w:pBdr>
          <w:bottom w:val="single" w:color="146B70" w:sz="6" w:space="6"/>
        </w:pBdr>
        <w:spacing w:after="140" w:before="360"/>
      </w:pPr>
      <w:r>
        <w:rPr>
          <w:b/>
          <w:bCs/>
          <w:color w:val="0B3A3A"/>
          <w:sz w:val="27"/>
          <w:szCs w:val="27"/>
        </w:rPr>
        <w:t xml:space="preserve">Ideas for the Redesign</w:t>
      </w:r>
    </w:p>
    <w:p>
      <w:pPr>
        <w:spacing w:after="160" w:line="276"/>
      </w:pPr>
      <w:r>
        <w:rPr>
          <w:color w:val="16302E"/>
          <w:sz w:val="22"/>
          <w:szCs w:val="22"/>
        </w:rPr>
        <w:t xml:space="preserve">What carries over from STPM, applied to your actual content — not a built page yet, just what we'd design toward once you confirm the direction.</w:t>
      </w:r>
    </w:p>
    <w:p>
      <w:pPr>
        <w:spacing w:after="40" w:before="160"/>
      </w:pPr>
      <w:r>
        <w:rPr>
          <w:b/>
          <w:bCs/>
          <w:color w:val="146B70"/>
          <w:sz w:val="22"/>
          <w:szCs w:val="22"/>
        </w:rPr>
        <w:t xml:space="preserve">1. </w:t>
      </w:r>
      <w:r>
        <w:rPr>
          <w:b/>
          <w:bCs/>
          <w:color w:val="16302E"/>
          <w:sz w:val="22"/>
          <w:szCs w:val="22"/>
        </w:rPr>
        <w:t xml:space="preserve">Mint/teal palette + one gold accent</w:t>
      </w:r>
    </w:p>
    <w:p>
      <w:pPr>
        <w:spacing w:after="60" w:line="264"/>
        <w:ind w:left="260"/>
      </w:pPr>
      <w:r>
        <w:rPr>
          <w:color w:val="555555"/>
          <w:sz w:val="21"/>
          <w:szCs w:val="21"/>
        </w:rPr>
        <w:t xml:space="preserve">Replace the current bright cyan/orange with a softer teal-on-white system and a single warm gold for buttons — reads calmer and closer to STPM.</w:t>
      </w:r>
    </w:p>
    <w:p>
      <w:pPr>
        <w:spacing w:after="40" w:before="160"/>
      </w:pPr>
      <w:r>
        <w:rPr>
          <w:b/>
          <w:bCs/>
          <w:color w:val="146B70"/>
          <w:sz w:val="22"/>
          <w:szCs w:val="22"/>
        </w:rPr>
        <w:t xml:space="preserve">2. </w:t>
      </w:r>
      <w:r>
        <w:rPr>
          <w:b/>
          <w:bCs/>
          <w:color w:val="16302E"/>
          <w:sz w:val="22"/>
          <w:szCs w:val="22"/>
        </w:rPr>
        <w:t xml:space="preserve">Pill buttons + circular photo crops</w:t>
      </w:r>
    </w:p>
    <w:p>
      <w:pPr>
        <w:spacing w:after="60" w:line="264"/>
        <w:ind w:left="260"/>
      </w:pPr>
      <w:r>
        <w:rPr>
          <w:color w:val="555555"/>
          <w:sz w:val="21"/>
          <w:szCs w:val="21"/>
        </w:rPr>
        <w:t xml:space="preserve">STPM's two clearest signatures. Round every button fully, and crop course/destination photos into circles instead of square cards.</w:t>
      </w:r>
    </w:p>
    <w:p>
      <w:pPr>
        <w:spacing w:after="40" w:before="160"/>
      </w:pPr>
      <w:r>
        <w:rPr>
          <w:b/>
          <w:bCs/>
          <w:color w:val="146B70"/>
          <w:sz w:val="22"/>
          <w:szCs w:val="22"/>
        </w:rPr>
        <w:t xml:space="preserve">3. </w:t>
      </w:r>
      <w:r>
        <w:rPr>
          <w:b/>
          <w:bCs/>
          <w:color w:val="16302E"/>
          <w:sz w:val="22"/>
          <w:szCs w:val="22"/>
        </w:rPr>
        <w:t xml:space="preserve">Destination grid in the hero</w:t>
      </w:r>
    </w:p>
    <w:p>
      <w:pPr>
        <w:spacing w:after="60" w:line="264"/>
        <w:ind w:left="260"/>
      </w:pPr>
      <w:r>
        <w:rPr>
          <w:color w:val="555555"/>
          <w:sz w:val="21"/>
          <w:szCs w:val="21"/>
        </w:rPr>
        <w:t xml:space="preserve">STPM opens with a 2×2 country grid plus a pill button under each. Your four destinations — Amsterdam, London, Salzburg, Berlin — map onto that pattern directly.</w:t>
      </w:r>
    </w:p>
    <w:p>
      <w:pPr>
        <w:spacing w:after="40" w:before="160"/>
      </w:pPr>
      <w:r>
        <w:rPr>
          <w:b/>
          <w:bCs/>
          <w:color w:val="146B70"/>
          <w:sz w:val="22"/>
          <w:szCs w:val="22"/>
        </w:rPr>
        <w:t xml:space="preserve">4. </w:t>
      </w:r>
      <w:r>
        <w:rPr>
          <w:b/>
          <w:bCs/>
          <w:color w:val="16302E"/>
          <w:sz w:val="22"/>
          <w:szCs w:val="22"/>
        </w:rPr>
        <w:t xml:space="preserve">Alternating pastel section bands</w:t>
      </w:r>
    </w:p>
    <w:p>
      <w:pPr>
        <w:spacing w:after="60" w:line="264"/>
        <w:ind w:left="260"/>
      </w:pPr>
      <w:r>
        <w:rPr>
          <w:color w:val="555555"/>
          <w:sz w:val="21"/>
          <w:szCs w:val="21"/>
        </w:rPr>
        <w:t xml:space="preserve">Instead of a flat white page, alternate white / pale-mint / cream backgrounds between sections, the way STPM separates mission, courses, and testimonials.</w:t>
      </w:r>
    </w:p>
    <w:p>
      <w:pPr>
        <w:spacing w:after="40" w:before="160"/>
      </w:pPr>
      <w:r>
        <w:rPr>
          <w:b/>
          <w:bCs/>
          <w:color w:val="146B70"/>
          <w:sz w:val="22"/>
          <w:szCs w:val="22"/>
        </w:rPr>
        <w:t xml:space="preserve">5. </w:t>
      </w:r>
      <w:r>
        <w:rPr>
          <w:b/>
          <w:bCs/>
          <w:color w:val="16302E"/>
          <w:sz w:val="22"/>
          <w:szCs w:val="22"/>
        </w:rPr>
        <w:t xml:space="preserve">Funding band, STPM-book-banner style</w:t>
      </w:r>
    </w:p>
    <w:p>
      <w:pPr>
        <w:spacing w:after="60" w:line="264"/>
        <w:ind w:left="260"/>
      </w:pPr>
      <w:r>
        <w:rPr>
          <w:color w:val="555555"/>
          <w:sz w:val="21"/>
          <w:szCs w:val="21"/>
        </w:rPr>
        <w:t xml:space="preserve">Your Vonarsjóður/Erasmus+ funding info is currently plain text — worth turning into its own bold teal banner, the way STPM promotes its book.</w:t>
      </w:r>
    </w:p>
    <w:p>
      <w:pPr>
        <w:spacing w:after="40" w:before="160"/>
      </w:pPr>
      <w:r>
        <w:rPr>
          <w:b/>
          <w:bCs/>
          <w:color w:val="146B70"/>
          <w:sz w:val="22"/>
          <w:szCs w:val="22"/>
        </w:rPr>
        <w:t xml:space="preserve">6. </w:t>
      </w:r>
      <w:r>
        <w:rPr>
          <w:b/>
          <w:bCs/>
          <w:color w:val="16302E"/>
          <w:sz w:val="22"/>
          <w:szCs w:val="22"/>
        </w:rPr>
        <w:t xml:space="preserve">Newsletter signup before the footer</w:t>
      </w:r>
    </w:p>
    <w:p>
      <w:pPr>
        <w:spacing w:after="60" w:line="264"/>
        <w:ind w:left="260"/>
      </w:pPr>
      <w:r>
        <w:rPr>
          <w:color w:val="555555"/>
          <w:sz w:val="21"/>
          <w:szCs w:val="21"/>
        </w:rPr>
        <w:t xml:space="preserve">New addition, borrowed from STPM's community sign-up band — a simple name/email capture to keep past participants warm for next year's trips.</w:t>
      </w:r>
    </w:p>
    <w:p>
      <w:pPr>
        <w:pStyle w:val="Heading1"/>
        <w:pBdr>
          <w:bottom w:val="single" w:color="146B70" w:sz="6" w:space="6"/>
        </w:pBdr>
        <w:spacing w:after="140" w:before="360"/>
      </w:pPr>
      <w:r>
        <w:rPr>
          <w:b/>
          <w:bCs/>
          <w:color w:val="0B3A3A"/>
          <w:sz w:val="27"/>
          <w:szCs w:val="27"/>
        </w:rPr>
        <w:t xml:space="preserve">Suggested Color Palette</w:t>
      </w:r>
    </w:p>
    <w:p>
      <w:pPr>
        <w:spacing w:after="160" w:line="276"/>
      </w:pPr>
      <w:r>
        <w:rPr>
          <w:color w:val="16302E"/>
          <w:sz w:val="22"/>
          <w:szCs w:val="22"/>
        </w:rPr>
        <w:t xml:space="preserve">For reference once the build starts.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2000"/>
      </w:tblGrid>
      <w:tr>
        <w:trPr>
          <w:tblHeader/>
        </w:trPr>
        <w:tc>
          <w:tcPr>
            <w:tcW w:type="dxa" w:w="1200"/>
            <w:shd w:fill="E3F5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B3A3A"/>
                <w:sz w:val="19"/>
                <w:szCs w:val="19"/>
              </w:rPr>
              <w:t xml:space="preserve">Swatch</w:t>
            </w:r>
          </w:p>
        </w:tc>
        <w:tc>
          <w:tcPr>
            <w:tcW w:type="dxa" w:w="4400"/>
            <w:shd w:fill="E3F5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B3A3A"/>
                <w:sz w:val="19"/>
                <w:szCs w:val="19"/>
              </w:rPr>
              <w:t xml:space="preserve">Name</w:t>
            </w:r>
          </w:p>
        </w:tc>
        <w:tc>
          <w:tcPr>
            <w:tcW w:type="dxa" w:w="2000"/>
            <w:shd w:fill="E3F5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B3A3A"/>
                <w:sz w:val="19"/>
                <w:szCs w:val="19"/>
              </w:rPr>
              <w:t xml:space="preserve">Hex</w:t>
            </w:r>
          </w:p>
        </w:tc>
      </w:tr>
      <w:tr>
        <w:tc>
          <w:tcPr>
            <w:tcW w:type="dxa" w:w="1200"/>
            <w:shd w:fill="146B70" w:val="clear"/>
          </w:tcPr>
          <w:p>
            <w:r>
              <w:t xml:space="preserve"> 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6302E"/>
                <w:sz w:val="19"/>
                <w:szCs w:val="19"/>
              </w:rPr>
              <w:t xml:space="preserve">Teal 700 (headings, links)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6302E"/>
                <w:sz w:val="19"/>
                <w:szCs w:val="19"/>
              </w:rPr>
              <w:t xml:space="preserve">#146B70</w:t>
            </w:r>
          </w:p>
        </w:tc>
      </w:tr>
      <w:tr>
        <w:tc>
          <w:tcPr>
            <w:tcW w:type="dxa" w:w="1200"/>
            <w:shd w:fill="178086" w:val="clear"/>
          </w:tcPr>
          <w:p>
            <w:r>
              <w:t xml:space="preserve"> 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6302E"/>
                <w:sz w:val="19"/>
                <w:szCs w:val="19"/>
              </w:rPr>
              <w:t xml:space="preserve">Teal 600 (buttons, accents)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6302E"/>
                <w:sz w:val="19"/>
                <w:szCs w:val="19"/>
              </w:rPr>
              <w:t xml:space="preserve">#178086</w:t>
            </w:r>
          </w:p>
        </w:tc>
      </w:tr>
      <w:tr>
        <w:tc>
          <w:tcPr>
            <w:tcW w:type="dxa" w:w="1200"/>
            <w:shd w:fill="0B3A3A" w:val="clear"/>
          </w:tcPr>
          <w:p>
            <w:r>
              <w:t xml:space="preserve"> 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6302E"/>
                <w:sz w:val="19"/>
                <w:szCs w:val="19"/>
              </w:rPr>
              <w:t xml:space="preserve">Teal 900 (footer)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6302E"/>
                <w:sz w:val="19"/>
                <w:szCs w:val="19"/>
              </w:rPr>
              <w:t xml:space="preserve">#0B3A3A</w:t>
            </w:r>
          </w:p>
        </w:tc>
      </w:tr>
      <w:tr>
        <w:tc>
          <w:tcPr>
            <w:tcW w:type="dxa" w:w="1200"/>
            <w:shd w:fill="E3F5F1" w:val="clear"/>
          </w:tcPr>
          <w:p>
            <w:r>
              <w:t xml:space="preserve"> 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6302E"/>
                <w:sz w:val="19"/>
                <w:szCs w:val="19"/>
              </w:rPr>
              <w:t xml:space="preserve">Teal 100 (section band)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6302E"/>
                <w:sz w:val="19"/>
                <w:szCs w:val="19"/>
              </w:rPr>
              <w:t xml:space="preserve">#E3F5F1</w:t>
            </w:r>
          </w:p>
        </w:tc>
      </w:tr>
      <w:tr>
        <w:tc>
          <w:tcPr>
            <w:tcW w:type="dxa" w:w="1200"/>
            <w:shd w:fill="F0B90B" w:val="clear"/>
          </w:tcPr>
          <w:p>
            <w:r>
              <w:t xml:space="preserve"> 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6302E"/>
                <w:sz w:val="19"/>
                <w:szCs w:val="19"/>
              </w:rPr>
              <w:t xml:space="preserve">Gold 500 (call-to-action)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6302E"/>
                <w:sz w:val="19"/>
                <w:szCs w:val="19"/>
              </w:rPr>
              <w:t xml:space="preserve">#F0B90B</w:t>
            </w:r>
          </w:p>
        </w:tc>
      </w:tr>
      <w:tr>
        <w:tc>
          <w:tcPr>
            <w:tcW w:type="dxa" w:w="1200"/>
            <w:shd w:fill="FBF3E1" w:val="clear"/>
          </w:tcPr>
          <w:p>
            <w:r>
              <w:t xml:space="preserve"> 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6302E"/>
                <w:sz w:val="19"/>
                <w:szCs w:val="19"/>
              </w:rPr>
              <w:t xml:space="preserve">Cream 050 (section band)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6302E"/>
                <w:sz w:val="19"/>
                <w:szCs w:val="19"/>
              </w:rPr>
              <w:t xml:space="preserve">#FBF3E1</w:t>
            </w:r>
          </w:p>
        </w:tc>
      </w:tr>
      <w:tr>
        <w:tc>
          <w:tcPr>
            <w:tcW w:type="dxa" w:w="1200"/>
            <w:shd w:fill="EEF6EF" w:val="clear"/>
          </w:tcPr>
          <w:p>
            <w:r>
              <w:t xml:space="preserve"> 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6302E"/>
                <w:sz w:val="19"/>
                <w:szCs w:val="19"/>
              </w:rPr>
              <w:t xml:space="preserve">Mint 050 (section band)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6302E"/>
                <w:sz w:val="19"/>
                <w:szCs w:val="19"/>
              </w:rPr>
              <w:t xml:space="preserve">#EEF6EF</w:t>
            </w:r>
          </w:p>
        </w:tc>
      </w:tr>
    </w:tbl>
    <w:p>
      <w:pPr>
        <w:pStyle w:val="Heading1"/>
        <w:pBdr>
          <w:bottom w:val="single" w:color="146B70" w:sz="6" w:space="6"/>
        </w:pBdr>
        <w:spacing w:after="140" w:before="360"/>
      </w:pPr>
      <w:r>
        <w:rPr>
          <w:b/>
          <w:bCs/>
          <w:color w:val="0B3A3A"/>
          <w:sz w:val="27"/>
          <w:szCs w:val="27"/>
        </w:rPr>
        <w:t xml:space="preserve">Next Step</w:t>
      </w:r>
    </w:p>
    <w:p>
      <w:pPr>
        <w:spacing w:after="160" w:line="276"/>
      </w:pPr>
      <w:r>
        <w:rPr>
          <w:color w:val="16302E"/>
          <w:sz w:val="22"/>
          <w:szCs w:val="22"/>
        </w:rPr>
        <w:t xml:space="preserve">Once you confirm this direction, the next step is a full homepage mockup built section by section, using your real copy, destinations, and photos in this style.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30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2026-08-04T16:54:42.348Z</dcterms:created>
  <dcterms:modified xsi:type="dcterms:W3CDTF">2026-08-04T16:54:42.348Z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