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color w:val="5E7380"/>
          <w:sz w:val="17"/>
          <w:szCs w:val="17"/>
        </w:rPr>
        <w:t xml:space="preserve">Future Tech Leaders Brasil · Space Tech Bootcamp 2026 · Submissão da Proposta</w:t>
      </w:r>
    </w:p>
    <w:p>
      <w:pPr>
        <w:spacing w:after="50"/>
      </w:pPr>
      <w:r>
        <w:rPr>
          <w:b/>
          <w:bCs/>
          <w:color w:val="1E3442"/>
          <w:sz w:val="28"/>
          <w:szCs w:val="28"/>
        </w:rPr>
        <w:t xml:space="preserve">Flooding Mapping: interdições por alagamento pluvial e acesso à saúde em Porto Alegre</w:t>
      </w:r>
    </w:p>
    <w:p>
      <w:pPr>
        <w:spacing w:after="20"/>
      </w:pPr>
      <w:r>
        <w:rPr>
          <w:b/>
          <w:bCs/>
          <w:sz w:val="21"/>
          <w:szCs w:val="21"/>
        </w:rPr>
        <w:t xml:space="preserve">Candidata:</w:t>
      </w:r>
      <w:r>
        <w:rPr>
          <w:sz w:val="21"/>
          <w:szCs w:val="21"/>
        </w:rPr>
        <w:t xml:space="preserve"> Helena de Oliveira Valanera · helena.valanera@gmail.com</w:t>
      </w:r>
    </w:p>
    <w:p>
      <w:pPr>
        <w:pBdr>
          <w:bottom w:val="single" w:color="1E3442" w:sz="6" w:space="4"/>
        </w:pBdr>
        <w:spacing w:after="90"/>
      </w:pPr>
      <w:r>
        <w:rPr>
          <w:b/>
          <w:bCs/>
          <w:sz w:val="21"/>
          <w:szCs w:val="21"/>
        </w:rPr>
        <w:t xml:space="preserve">Repositório:</w:t>
      </w:r>
      <w:r>
        <w:rPr>
          <w:sz w:val="21"/>
          <w:szCs w:val="21"/>
        </w:rPr>
        <w:t xml:space="preserve"> https://github.com/helenavalanera/flooding-mapping-capstone/tree/develop</w:t>
      </w:r>
    </w:p>
    <w:p>
      <w:pPr>
        <w:keepNext/>
        <w:spacing w:after="50" w:before="130"/>
      </w:pPr>
      <w:r>
        <w:rPr>
          <w:b/>
          <w:bCs/>
          <w:color w:val="1E3442"/>
          <w:sz w:val="23"/>
          <w:szCs w:val="23"/>
        </w:rPr>
        <w:t xml:space="preserve">1. Ideia do projeto</w:t>
      </w:r>
    </w:p>
    <w:p>
      <w:pPr>
        <w:spacing w:after="70" w:line="262"/>
        <w:jc w:val="both"/>
      </w:pPr>
      <w:r>
        <w:rPr>
          <w:sz w:val="21"/>
          <w:szCs w:val="21"/>
        </w:rPr>
        <w:t xml:space="preserve">Alagamentos pluviais fecham cruzamentos e trechos de vias em Porto Alegre várias vezes por ano. O projeto mede </w:t>
      </w:r>
      <w:r>
        <w:rPr>
          <w:b/>
          <w:bCs/>
          <w:sz w:val="21"/>
          <w:szCs w:val="21"/>
        </w:rPr>
        <w:t xml:space="preserve">quantos serviços de saúde deixam de ser alcançáveis em até 30 minutos, a pé, de carro e de ônibus, quando trechos documentados são interditados</w:t>
      </w:r>
      <w:r>
        <w:rPr>
          <w:sz w:val="21"/>
          <w:szCs w:val="21"/>
        </w:rPr>
        <w:t xml:space="preserve">, quanto essas interdições reduzem a conectividade das redes e </w:t>
      </w:r>
      <w:r>
        <w:rPr>
          <w:b/>
          <w:bCs/>
          <w:sz w:val="21"/>
          <w:szCs w:val="21"/>
        </w:rPr>
        <w:t xml:space="preserve">quais trechos têm terreno semelhante aos já interditados</w:t>
      </w:r>
      <w:r>
        <w:rPr>
          <w:sz w:val="21"/>
          <w:szCs w:val="21"/>
        </w:rPr>
        <w:t xml:space="preserve">. Esse mapa de propensão, cruzado com a previsão de chuva, alimenta um </w:t>
      </w:r>
      <w:r>
        <w:rPr>
          <w:b/>
          <w:bCs/>
          <w:sz w:val="21"/>
          <w:szCs w:val="21"/>
        </w:rPr>
        <w:t xml:space="preserve">dashboard de alerta</w:t>
      </w:r>
      <w:r>
        <w:rPr>
          <w:sz w:val="21"/>
          <w:szCs w:val="21"/>
        </w:rPr>
        <w:t xml:space="preserve"> para o cidadão. Produto final: </w:t>
      </w:r>
      <w:r>
        <w:rPr>
          <w:b/>
          <w:bCs/>
          <w:sz w:val="21"/>
          <w:szCs w:val="21"/>
        </w:rPr>
        <w:t xml:space="preserve">cartografia</w:t>
      </w:r>
      <w:r>
        <w:rPr>
          <w:sz w:val="21"/>
          <w:szCs w:val="21"/>
        </w:rPr>
        <w:t xml:space="preserve"> de acessibilidade, perda e propensão, com componente de </w:t>
      </w:r>
      <w:r>
        <w:rPr>
          <w:b/>
          <w:bCs/>
          <w:sz w:val="21"/>
          <w:szCs w:val="21"/>
        </w:rPr>
        <w:t xml:space="preserve">machine learning</w:t>
      </w:r>
      <w:r>
        <w:rPr>
          <w:sz w:val="21"/>
          <w:szCs w:val="21"/>
        </w:rPr>
        <w:t xml:space="preserve">.</w:t>
      </w:r>
    </w:p>
    <w:p>
      <w:pPr>
        <w:keepNext/>
        <w:spacing w:after="50" w:before="130"/>
      </w:pPr>
      <w:r>
        <w:rPr>
          <w:b/>
          <w:bCs/>
          <w:color w:val="1E3442"/>
          <w:sz w:val="23"/>
          <w:szCs w:val="23"/>
        </w:rPr>
        <w:t xml:space="preserve">2. Relevância para os ODS e para o ecossistema espacial</w:t>
      </w:r>
    </w:p>
    <w:p>
      <w:pPr>
        <w:spacing w:after="70" w:line="262"/>
        <w:jc w:val="both"/>
      </w:pPr>
      <w:r>
        <w:rPr>
          <w:b/>
          <w:bCs/>
          <w:sz w:val="21"/>
          <w:szCs w:val="21"/>
        </w:rPr>
        <w:t xml:space="preserve">ODS 3 (3.8)</w:t>
      </w:r>
      <w:r>
        <w:rPr>
          <w:sz w:val="21"/>
          <w:szCs w:val="21"/>
        </w:rPr>
        <w:t xml:space="preserve"> acesso a serviços de saúde; </w:t>
      </w:r>
      <w:r>
        <w:rPr>
          <w:b/>
          <w:bCs/>
          <w:sz w:val="21"/>
          <w:szCs w:val="21"/>
        </w:rPr>
        <w:t xml:space="preserve">ODS 11 (11.2, 11.5)</w:t>
      </w:r>
      <w:r>
        <w:rPr>
          <w:sz w:val="21"/>
          <w:szCs w:val="21"/>
        </w:rPr>
        <w:t xml:space="preserve"> transporte e redução de impactos de desastres urbanos; </w:t>
      </w:r>
      <w:r>
        <w:rPr>
          <w:b/>
          <w:bCs/>
          <w:sz w:val="21"/>
          <w:szCs w:val="21"/>
        </w:rPr>
        <w:t xml:space="preserve">ODS 13 (13.1)</w:t>
      </w:r>
      <w:r>
        <w:rPr>
          <w:sz w:val="21"/>
          <w:szCs w:val="21"/>
        </w:rPr>
        <w:t xml:space="preserve"> resiliência a riscos climáticos; </w:t>
      </w:r>
      <w:r>
        <w:rPr>
          <w:b/>
          <w:bCs/>
          <w:sz w:val="21"/>
          <w:szCs w:val="21"/>
        </w:rPr>
        <w:t xml:space="preserve">ODS 9 (9.1)</w:t>
      </w:r>
      <w:r>
        <w:rPr>
          <w:sz w:val="21"/>
          <w:szCs w:val="21"/>
        </w:rPr>
        <w:t xml:space="preserve"> infraestrutura resiliente. Contribuição prática: indicar onde a perda de acesso à saúde é maior quando pontos recorrentes alagam, apoiando a priorização de drenagem e desvios, e antecipar trechos, linhas de ônibus e serviços expostos em dias de chuva. O pipeline usa só dados geoespaciais abertos (OpenStreetMap, GTFS, IBGE e o modelo digital de elevação Copernicus, derivado de satélite), é reprodutível e replicável; a fase 2 incorpora imagens de radar Sentinel-1.</w:t>
      </w:r>
    </w:p>
    <w:p>
      <w:pPr>
        <w:keepNext/>
        <w:spacing w:after="50" w:before="130"/>
      </w:pPr>
      <w:r>
        <w:rPr>
          <w:b/>
          <w:bCs/>
          <w:color w:val="1E3442"/>
          <w:sz w:val="23"/>
          <w:szCs w:val="23"/>
        </w:rPr>
        <w:t xml:space="preserve">3. Exemplos de literatura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sz w:val="21"/>
          <w:szCs w:val="21"/>
        </w:rPr>
        <w:t xml:space="preserve">Coles, D. et al. (2017). Beyond “flood hotspots”: modelling emergency service accessibility during flooding in York, UK. J. Hydrology 546:419–436. doi:10.1016/j.jhydrol.2016.12.013 — acopla alagamento e análise de redes para medir o acesso de serviços de emergência.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sz w:val="21"/>
          <w:szCs w:val="21"/>
        </w:rPr>
        <w:t xml:space="preserve">Green, D. et al. (2017). City-scale accessibility of emergency responders operating during flood events. NHESS 17:1–16. doi:10.5194/nhess-17-1-2017 — alagamentos superficiais perturbam o acesso mais que cheias fluviais de magnitude similar.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sz w:val="21"/>
          <w:szCs w:val="21"/>
        </w:rPr>
        <w:t xml:space="preserve">Pregnolato, M. et al. (2017). The impact of flooding on road transport: a depth-disruption function. Transp. Res. D 55:67–81. doi:10.1016/j.trd.2017.06.020.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sz w:val="21"/>
          <w:szCs w:val="21"/>
        </w:rPr>
        <w:t xml:space="preserve">Latora, V.; Marchiori, M. (2001). Efficient behavior of small-world networks. Phys. Rev. Lett. 87:198701 — eficiência de redes, base da métrica de robustez.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sz w:val="21"/>
          <w:szCs w:val="21"/>
        </w:rPr>
        <w:t xml:space="preserve">Fink, C. et al. (2022). r5py: Rapid Realistic Routing with R5 in Python. doi:10.5281/zenodo.7060437.</w:t>
      </w:r>
    </w:p>
    <w:p>
      <w:pPr>
        <w:keepNext/>
        <w:spacing w:after="50" w:before="130"/>
      </w:pPr>
      <w:r>
        <w:rPr>
          <w:b/>
          <w:bCs/>
          <w:color w:val="1E3442"/>
          <w:sz w:val="23"/>
          <w:szCs w:val="23"/>
        </w:rPr>
        <w:t xml:space="preserve">4.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100"/>
        <w:gridCol w:w="4938"/>
      </w:tblGrid>
      <w:tr>
        <w:trPr>
          <w:tblHeader/>
        </w:trPr>
        <w:tc>
          <w:tcPr>
            <w:tcW w:type="dxa" w:w="1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Dado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Fonte e formato</w:t>
            </w:r>
          </w:p>
        </w:tc>
        <w:tc>
          <w:tcPr>
            <w:tcW w:type="dxa" w:w="4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shd w:fill="E3EC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18"/>
                <w:szCs w:val="18"/>
              </w:rPr>
              <w:t xml:space="preserve">Pré-processamento</w:t>
            </w:r>
          </w:p>
        </w:tc>
      </w:tr>
      <w:tr>
        <w:tc>
          <w:tcPr>
            <w:tcW w:type="dxa" w:w="1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Ônibus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GTFS da EPTC, portal de dados abertos (ZIP/CSV)</w:t>
            </w:r>
          </w:p>
        </w:tc>
        <w:tc>
          <w:tcPr>
            <w:tcW w:type="dxa" w:w="4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Vigência efetiva set–dez/2025 (feed vencido, único publicado): referência histórica em 30/10/2025; validador MobilityData sem erros</w:t>
            </w:r>
          </w:p>
        </w:tc>
      </w:tr>
      <w:tr>
        <w:tc>
          <w:tcPr>
            <w:tcW w:type="dxa" w:w="1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Vias, destinos e drenagem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OpenStreetMap/Geofabrik, 24/10/2026 (PBF)</w:t>
            </w:r>
          </w:p>
        </w:tc>
        <w:tc>
          <w:tcPr>
            <w:tcW w:type="dxa" w:w="4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Recorte municipal +3 km; 176.836 segmentos; 181 serviços de saúde; arroios, valas e bueiros</w:t>
            </w:r>
          </w:p>
        </w:tc>
      </w:tr>
      <w:tr>
        <w:tc>
          <w:tcPr>
            <w:tcW w:type="dxa" w:w="1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População e limites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IBGE, Censo 2022, setores com agregados (GPKG)</w:t>
            </w:r>
          </w:p>
        </w:tc>
        <w:tc>
          <w:tcPr>
            <w:tcW w:type="dxa" w:w="4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Grade de 1 km com população por densidade uniforme (total conservado: 1.332.845)</w:t>
            </w:r>
          </w:p>
        </w:tc>
      </w:tr>
      <w:tr>
        <w:tc>
          <w:tcPr>
            <w:tcW w:type="dxa" w:w="1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Relevo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Copernicus DEM GLO-30 (GeoTIFF)</w:t>
            </w:r>
          </w:p>
        </w:tc>
        <w:tc>
          <w:tcPr>
            <w:tcW w:type="dxa" w:w="4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Mosaico a 30 m; elevação relativa, declividade, acúmulo de fluxo e índice de umidade</w:t>
            </w:r>
          </w:p>
        </w:tc>
      </w:tr>
      <w:tr>
        <w:tc>
          <w:tcPr>
            <w:tcW w:type="dxa" w:w="1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Interdições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EPTC/Prefeitura e imprensa citando a EPTC (CSV curado)</w:t>
            </w:r>
          </w:p>
        </w:tc>
        <w:tc>
          <w:tcPr>
            <w:tcW w:type="dxa" w:w="4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24 bloqueios em 4 datas (2019–2025), 19 geocodificados por interseção de vias</w:t>
            </w:r>
          </w:p>
        </w:tc>
      </w:tr>
      <w:tr>
        <w:tc>
          <w:tcPr>
            <w:tcW w:type="dxa" w:w="16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Chuva</w:t>
            </w:r>
          </w:p>
        </w:tc>
        <w:tc>
          <w:tcPr>
            <w:tcW w:type="dxa" w:w="3100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Open-Meteo, previsão ao vivo e arquivo histórico (JSON)</w:t>
            </w:r>
          </w:p>
        </w:tc>
        <w:tc>
          <w:tcPr>
            <w:tcW w:type="dxa" w:w="4938"/>
            <w:tcBorders>
              <w:top w:val="single" w:color="C9D6DD" w:sz="4"/>
              <w:left w:val="single" w:color="C9D6DD" w:sz="4"/>
              <w:bottom w:val="single" w:color="C9D6DD" w:sz="4"/>
              <w:right w:val="single" w:color="C9D6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Chuva nas 24 h antes de cada bloqueio para calibrar os limiares do alerta</w:t>
            </w:r>
          </w:p>
        </w:tc>
      </w:tr>
    </w:tbl>
    <w:p>
      <w:pPr>
        <w:keepNext/>
        <w:spacing w:after="50" w:before="130"/>
      </w:pPr>
      <w:r>
        <w:rPr>
          <w:b/>
          <w:bCs/>
          <w:color w:val="1E3442"/>
          <w:sz w:val="23"/>
          <w:szCs w:val="23"/>
        </w:rPr>
        <w:t xml:space="preserve">5. Metodologia (machine learning)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b/>
          <w:bCs/>
          <w:sz w:val="21"/>
          <w:szCs w:val="21"/>
        </w:rPr>
        <w:t xml:space="preserve">Acessibilidade (r5py):</w:t>
      </w:r>
      <w:r>
        <w:rPr>
          <w:sz w:val="21"/>
          <w:szCs w:val="21"/>
        </w:rPr>
        <w:t xml:space="preserve"> destinos alcançáveis em até 30 min por origem e modo (A0); em cada cenário, os segmentos de via que cruzam zonas de 50/100/150 m em torno do bloqueio são removidos e a acessibilidade é recalculada (A_s). Perdas L = A0 − A_s e P = L/A0. </w:t>
      </w:r>
      <w:r>
        <w:rPr>
          <w:b/>
          <w:bCs/>
          <w:sz w:val="21"/>
          <w:szCs w:val="21"/>
        </w:rPr>
        <w:t xml:space="preserve">Robustez</w:t>
      </w:r>
      <w:r>
        <w:rPr>
          <w:sz w:val="21"/>
          <w:szCs w:val="21"/>
        </w:rPr>
        <w:t xml:space="preserve"> (NetworkX): eficiência global e local e maior componente conexa.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b/>
          <w:bCs/>
          <w:sz w:val="21"/>
          <w:szCs w:val="21"/>
        </w:rPr>
        <w:t xml:space="preserve">ML preditivo, suscetibilidade:</w:t>
      </w:r>
      <w:r>
        <w:rPr>
          <w:sz w:val="21"/>
          <w:szCs w:val="21"/>
        </w:rPr>
        <w:t xml:space="preserve"> regressão logística regularizada e random forest classificam 107.869 segmentos viários pela semelhança com os locais já interditados (positivos e não rotulados), com variáveis de relevo, escoamento e drenagem; validação espacial em blocos de 2 km e temporal (treino 2019–2022, teste 2025), contra regra simples e sorteio.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b/>
          <w:bCs/>
          <w:sz w:val="21"/>
          <w:szCs w:val="21"/>
        </w:rPr>
        <w:t xml:space="preserve">Dashboard de alerta (determinístico):</w:t>
      </w:r>
      <w:r>
        <w:rPr>
          <w:sz w:val="21"/>
          <w:szCs w:val="21"/>
        </w:rPr>
        <w:t xml:space="preserve"> com a localização do usuário e a previsão horária de chuva, atribui atenção ou alerta alto aos trechos mais propensos e lista linhas de ônibus e serviços de saúde expostos, explicando como a IA calcula.</w:t>
      </w:r>
    </w:p>
    <w:p>
      <w:pPr>
        <w:pStyle w:val="ListParagraph"/>
        <w:numPr>
          <w:ilvl w:val="0"/>
          <w:numId w:val="2"/>
        </w:numPr>
        <w:spacing w:after="40" w:line="258"/>
      </w:pPr>
      <w:r>
        <w:rPr>
          <w:b/>
          <w:bCs/>
          <w:sz w:val="21"/>
          <w:szCs w:val="21"/>
        </w:rPr>
        <w:t xml:space="preserve">ML não supervisionado:</w:t>
      </w:r>
      <w:r>
        <w:rPr>
          <w:sz w:val="21"/>
          <w:szCs w:val="21"/>
        </w:rPr>
        <w:t xml:space="preserve"> k-means sobre acesso de base e perda máxima, para tipologias de vulnerabilidade. </w:t>
      </w:r>
      <w:r>
        <w:rPr>
          <w:b/>
          <w:bCs/>
          <w:sz w:val="21"/>
          <w:szCs w:val="21"/>
        </w:rPr>
        <w:t xml:space="preserve">Fase 2, deep learning:</w:t>
      </w:r>
      <w:r>
        <w:rPr>
          <w:sz w:val="21"/>
          <w:szCs w:val="21"/>
        </w:rPr>
        <w:t xml:space="preserve"> segmentação de áreas alagadas em Sentinel-1 (U-Net) para ampliar os rótulos.</w:t>
      </w:r>
    </w:p>
    <w:p>
      <w:pPr>
        <w:spacing w:after="70" w:line="262"/>
        <w:jc w:val="both"/>
      </w:pPr>
      <w:r>
        <w:rPr>
          <w:b/>
          <w:bCs/>
          <w:sz w:val="21"/>
          <w:szCs w:val="21"/>
        </w:rPr>
        <w:t xml:space="preserve">Justificativa:</w:t>
      </w:r>
      <w:r>
        <w:rPr>
          <w:sz w:val="21"/>
          <w:szCs w:val="21"/>
        </w:rPr>
        <w:t xml:space="preserve"> há poucos eventos e nenhum registro de “chuva sem alagamento”; por isso o modelo supervisionado é tratado como problema de positivos e não rotulados, comparado a regras simples, e o DL só se justifica quando o satélite fornecer rótulos em escala.</w:t>
      </w:r>
    </w:p>
    <w:p>
      <w:pPr>
        <w:spacing w:after="70" w:line="262"/>
        <w:jc w:val="both"/>
      </w:pPr>
      <w:r>
        <w:rPr>
          <w:b/>
          <w:bCs/>
          <w:sz w:val="21"/>
          <w:szCs w:val="21"/>
        </w:rPr>
        <w:t xml:space="preserve">Resultados iniciais</w:t>
      </w:r>
      <w:r>
        <w:rPr>
          <w:sz w:val="21"/>
          <w:szCs w:val="21"/>
        </w:rPr>
        <w:t xml:space="preserve"> (trechos ainda sem validação humana): </w:t>
      </w:r>
      <w:r>
        <w:rPr>
          <w:b/>
          <w:bCs/>
          <w:sz w:val="21"/>
          <w:szCs w:val="21"/>
        </w:rPr>
        <w:t xml:space="preserve">A0</w:t>
      </w:r>
      <w:r>
        <w:rPr>
          <w:sz w:val="21"/>
          <w:szCs w:val="21"/>
        </w:rPr>
        <w:t xml:space="preserve"> médio de 1,9 destino a pé, 14,0 de ônibus e 100,2 de carro. Uma interdição de 100 m em Dona Teodora × A. J. Renner (bloqueio total em 2024 e 2025) tira 83% do acesso a pé de 2 origens e reduz em 17% a eficiência local da rede de pedestres; os bloqueios simultâneos de 18/06/2025 reduzem o acesso de carro em 153 origens (≈ 374 mil pessoas estimadas). Com as variáveis de drenagem, a regressão logística sobe do percentil 79 para 86 no teste temporal e </w:t>
      </w:r>
      <w:r>
        <w:rPr>
          <w:b/>
          <w:bCs/>
          <w:sz w:val="21"/>
          <w:szCs w:val="21"/>
        </w:rPr>
        <w:t xml:space="preserve">empata</w:t>
      </w:r>
      <w:r>
        <w:rPr>
          <w:sz w:val="21"/>
          <w:szCs w:val="21"/>
        </w:rPr>
        <w:t xml:space="preserve"> com a regra de terreno baixo (85); o random forest sobreajusta.</w:t>
      </w:r>
    </w:p>
    <w:p>
      <w:pPr>
        <w:spacing w:after="0" w:line="262"/>
        <w:jc w:val="both"/>
      </w:pPr>
      <w:r>
        <w:rPr>
          <w:b/>
          <w:bCs/>
          <w:sz w:val="21"/>
          <w:szCs w:val="21"/>
        </w:rPr>
        <w:t xml:space="preserve">Limitações:</w:t>
      </w:r>
      <w:r>
        <w:rPr>
          <w:sz w:val="21"/>
          <w:szCs w:val="21"/>
        </w:rPr>
        <w:t xml:space="preserve"> destinos do OSM incompletos; GTFS de 2025; bloqueio binário; eventos com viés de notificação; sem dados abertos de bocas de lobo e limpeza urbana; o alerta é nível heurístico, não probabilidade, e cobre só Porto Alegre.</w:t>
      </w:r>
    </w:p>
    <w:sectPr>
      <w:pgSz w:w="11906" w:h="16838" w:orient="portrait"/>
      <w:pgMar w:top="1020" w:right="1134" w:bottom="96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keepLines/>
      <w:spacing w:after="140" w:before="320"/>
      <w:outlineLvl w:val="0"/>
    </w:pPr>
    <w:rPr>
      <w:rFonts w:ascii="Calibri" w:cs="Calibri" w:eastAsia="Calibri" w:hAnsi="Calibri"/>
      <w:b/>
      <w:bCs/>
      <w:color w:val="1E3442"/>
      <w:sz w:val="31"/>
      <w:szCs w:val="31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Calibri" w:cs="Calibri" w:eastAsia="Calibri" w:hAnsi="Calibri"/>
      <w:b/>
      <w:bCs/>
      <w:color w:val="1E344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rFonts w:ascii="Calibri" w:cs="Calibri" w:eastAsia="Calibri" w:hAnsi="Calibri"/>
      <w:b/>
      <w:bCs/>
      <w:color w:val="1E3442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Projeto Final — Flooding Mapping</dc:title>
  <dc:creator>Helena de Oliveira Valanera</dc:creator>
  <cp:lastModifiedBy>Un-named</cp:lastModifiedBy>
  <cp:revision>1</cp:revision>
  <dcterms:created xsi:type="dcterms:W3CDTF">2026-10-28T00:16:13.334Z</dcterms:created>
  <dcterms:modified xsi:type="dcterms:W3CDTF">2026-10-28T00:16:13.340Z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