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</w:pPr>
      <w:r>
        <w:rPr>
          <w:color w:val="5E7380"/>
          <w:sz w:val="17"/>
          <w:szCs w:val="17"/>
        </w:rPr>
        <w:t xml:space="preserve">Future Tech Leaders Brasil · Space Tech Bootcamp 2026 · Submissão da Proposta</w:t>
      </w:r>
    </w:p>
    <w:p>
      <w:pPr>
        <w:spacing w:after="50"/>
      </w:pPr>
      <w:r>
        <w:rPr>
          <w:b/>
          <w:bCs/>
          <w:color w:val="1E3442"/>
          <w:sz w:val="28"/>
          <w:szCs w:val="28"/>
        </w:rPr>
        <w:t xml:space="preserve">Flooding Mapping: quanto da mobilidade urbana Porto Alegre perde com chuvas de até 45 mm</w:t>
      </w:r>
    </w:p>
    <w:p>
      <w:pPr>
        <w:spacing w:after="20"/>
      </w:pPr>
      <w:r>
        <w:rPr>
          <w:b/>
          <w:bCs/>
          <w:sz w:val="21"/>
          <w:szCs w:val="21"/>
        </w:rPr>
        <w:t xml:space="preserve">Candidata:</w:t>
      </w:r>
      <w:r>
        <w:rPr>
          <w:sz w:val="21"/>
          <w:szCs w:val="21"/>
        </w:rPr>
        <w:t xml:space="preserve"> Helena de Oliveira Valanera · helena.valanera@gmail.com</w:t>
      </w:r>
    </w:p>
    <w:p>
      <w:pPr>
        <w:pBdr>
          <w:bottom w:val="single" w:color="1E3442" w:sz="6" w:space="4"/>
        </w:pBdr>
        <w:spacing w:after="90"/>
      </w:pPr>
      <w:r>
        <w:rPr>
          <w:b/>
          <w:bCs/>
          <w:sz w:val="21"/>
          <w:szCs w:val="21"/>
        </w:rPr>
        <w:t xml:space="preserve">Repositório:</w:t>
      </w:r>
      <w:r>
        <w:rPr>
          <w:sz w:val="21"/>
          <w:szCs w:val="21"/>
        </w:rPr>
        <w:t xml:space="preserve"> https://github.com/helenavalanera/flooding-mapping-capstone/tree/entrega</w:t>
      </w:r>
    </w:p>
    <w:p>
      <w:pPr>
        <w:keepNext/>
        <w:spacing w:after="50" w:before="130"/>
      </w:pPr>
      <w:r>
        <w:rPr>
          <w:b/>
          <w:bCs/>
          <w:color w:val="1E3442"/>
          <w:sz w:val="23"/>
          <w:szCs w:val="23"/>
        </w:rPr>
        <w:t xml:space="preserve">1. Ideia do projeto</w:t>
      </w:r>
    </w:p>
    <w:p>
      <w:pPr>
        <w:spacing w:after="70" w:line="262"/>
        <w:jc w:val="both"/>
      </w:pPr>
      <w:r>
        <w:rPr>
          <w:sz w:val="21"/>
          <w:szCs w:val="21"/>
        </w:rPr>
        <w:t xml:space="preserve">Alagamentos pluviais fecham cruzamentos e trechos de vias em Porto Alegre várias vezes por ano. O projeto mede </w:t>
      </w:r>
      <w:r>
        <w:rPr>
          <w:b/>
          <w:bCs/>
          <w:sz w:val="21"/>
          <w:szCs w:val="21"/>
        </w:rPr>
        <w:t xml:space="preserve">quanto da mobilidade urbana, a pé, de ônibus e de carro, deixa de ser alcançável com chuvas de até 45 mm em 24 horas</w:t>
      </w:r>
      <w:r>
        <w:rPr>
          <w:sz w:val="21"/>
          <w:szCs w:val="21"/>
        </w:rPr>
        <w:t xml:space="preserve">, diante das condições precárias de drenagem da cidade, quando trechos documentados são interditados. A ideia é tornar visível que </w:t>
      </w:r>
      <w:r>
        <w:rPr>
          <w:b/>
          <w:bCs/>
          <w:sz w:val="21"/>
          <w:szCs w:val="21"/>
        </w:rPr>
        <w:t xml:space="preserve">a cidade fica propensa ao caos e à instabilidade mesmo com chuvas comuns</w:t>
      </w:r>
      <w:r>
        <w:rPr>
          <w:sz w:val="21"/>
          <w:szCs w:val="21"/>
        </w:rPr>
        <w:t xml:space="preserve">, prejudicando o deslocamento e o acesso a tudo. Produto final: </w:t>
      </w:r>
      <w:r>
        <w:rPr>
          <w:b/>
          <w:bCs/>
          <w:sz w:val="21"/>
          <w:szCs w:val="21"/>
        </w:rPr>
        <w:t xml:space="preserve">cartografia</w:t>
      </w:r>
      <w:r>
        <w:rPr>
          <w:sz w:val="21"/>
          <w:szCs w:val="21"/>
        </w:rPr>
        <w:t xml:space="preserve"> da mobilidade perdida por nível de chuva e um </w:t>
      </w:r>
      <w:r>
        <w:rPr>
          <w:b/>
          <w:bCs/>
          <w:sz w:val="21"/>
          <w:szCs w:val="21"/>
        </w:rPr>
        <w:t xml:space="preserve">dashboard de alerta</w:t>
      </w:r>
      <w:r>
        <w:rPr>
          <w:sz w:val="21"/>
          <w:szCs w:val="21"/>
        </w:rPr>
        <w:t xml:space="preserve"> com componente de </w:t>
      </w:r>
      <w:r>
        <w:rPr>
          <w:b/>
          <w:bCs/>
          <w:sz w:val="21"/>
          <w:szCs w:val="21"/>
        </w:rPr>
        <w:t xml:space="preserve">machine learning</w:t>
      </w:r>
      <w:r>
        <w:rPr>
          <w:sz w:val="21"/>
          <w:szCs w:val="21"/>
        </w:rPr>
        <w:t xml:space="preserve">.</w:t>
      </w:r>
    </w:p>
    <w:p>
      <w:pPr>
        <w:keepNext/>
        <w:spacing w:after="50" w:before="130"/>
      </w:pPr>
      <w:r>
        <w:rPr>
          <w:b/>
          <w:bCs/>
          <w:color w:val="1E3442"/>
          <w:sz w:val="23"/>
          <w:szCs w:val="23"/>
        </w:rPr>
        <w:t xml:space="preserve">2. Relevância para os ODS e para o ecossistema espacial</w:t>
      </w:r>
    </w:p>
    <w:p>
      <w:pPr>
        <w:spacing w:after="70" w:line="262"/>
        <w:jc w:val="both"/>
      </w:pPr>
      <w:r>
        <w:rPr>
          <w:b/>
          <w:bCs/>
          <w:sz w:val="21"/>
          <w:szCs w:val="21"/>
        </w:rPr>
        <w:t xml:space="preserve">ODS 11 (11.2 e 11.5)</w:t>
      </w:r>
      <w:r>
        <w:rPr>
          <w:sz w:val="21"/>
          <w:szCs w:val="21"/>
        </w:rPr>
        <w:t xml:space="preserve"> transporte acessível e redução dos impactos de desastres nas cidades; </w:t>
      </w:r>
      <w:r>
        <w:rPr>
          <w:b/>
          <w:bCs/>
          <w:sz w:val="21"/>
          <w:szCs w:val="21"/>
        </w:rPr>
        <w:t xml:space="preserve">ODS 13 (13.1)</w:t>
      </w:r>
      <w:r>
        <w:rPr>
          <w:sz w:val="21"/>
          <w:szCs w:val="21"/>
        </w:rPr>
        <w:t xml:space="preserve"> resiliência a riscos climáticos; </w:t>
      </w:r>
      <w:r>
        <w:rPr>
          <w:b/>
          <w:bCs/>
          <w:sz w:val="21"/>
          <w:szCs w:val="21"/>
        </w:rPr>
        <w:t xml:space="preserve">ODS 9 (9.1)</w:t>
      </w:r>
      <w:r>
        <w:rPr>
          <w:sz w:val="21"/>
          <w:szCs w:val="21"/>
        </w:rPr>
        <w:t xml:space="preserve"> infraestrutura resiliente. Contribuição prática: mostrar com que frequência e onde a chuva desorganiza a cidade, para priorizar drenagem e desvios, e antecipar trechos e linhas de ônibus expostos. O pipeline usa só dados geoespaciais abertos (OpenStreetMap, GTFS, IBGE e o modelo digital de elevação Copernicus, derivado de satélite), é reprodutível e replicável; a fase 2 incorpora imagens de radar Sentinel-1.</w:t>
      </w:r>
    </w:p>
    <w:p>
      <w:pPr>
        <w:keepNext/>
        <w:spacing w:after="50" w:before="130"/>
      </w:pPr>
      <w:r>
        <w:rPr>
          <w:b/>
          <w:bCs/>
          <w:color w:val="1E3442"/>
          <w:sz w:val="23"/>
          <w:szCs w:val="23"/>
        </w:rPr>
        <w:t xml:space="preserve">3. Exemplos de literatura</w:t>
      </w:r>
    </w:p>
    <w:p>
      <w:pPr>
        <w:pStyle w:val="ListParagraph"/>
        <w:numPr>
          <w:ilvl w:val="0"/>
          <w:numId w:val="2"/>
        </w:numPr>
        <w:spacing w:after="40" w:line="258"/>
      </w:pPr>
      <w:r>
        <w:rPr>
          <w:sz w:val="21"/>
          <w:szCs w:val="21"/>
        </w:rPr>
        <w:t xml:space="preserve">Coles, D. et al. (2017). Beyond “flood hotspots”: modelling emergency service accessibility during flooding in York, UK. J. Hydrology 546:419–436. doi:10.1016/j.jhydrol.2016.12.013 — acopla alagamento e análise de redes para medir acessibilidade.</w:t>
      </w:r>
    </w:p>
    <w:p>
      <w:pPr>
        <w:pStyle w:val="ListParagraph"/>
        <w:numPr>
          <w:ilvl w:val="0"/>
          <w:numId w:val="2"/>
        </w:numPr>
        <w:spacing w:after="40" w:line="258"/>
      </w:pPr>
      <w:r>
        <w:rPr>
          <w:sz w:val="21"/>
          <w:szCs w:val="21"/>
        </w:rPr>
        <w:t xml:space="preserve">Green, D. et al. (2017). City-scale accessibility of emergency responders operating during flood events. NHESS 17:1–16. doi:10.5194/nhess-17-1-2017 — alagamentos superficiais perturbam o deslocamento mais que cheias fluviais de magnitude similar.</w:t>
      </w:r>
    </w:p>
    <w:p>
      <w:pPr>
        <w:pStyle w:val="ListParagraph"/>
        <w:numPr>
          <w:ilvl w:val="0"/>
          <w:numId w:val="2"/>
        </w:numPr>
        <w:spacing w:after="40" w:line="258"/>
      </w:pPr>
      <w:r>
        <w:rPr>
          <w:sz w:val="21"/>
          <w:szCs w:val="21"/>
        </w:rPr>
        <w:t xml:space="preserve">Pregnolato, M. et al. (2017). The impact of flooding on road transport: a depth-disruption function. Transp. Res. D 55:67–81. doi:10.1016/j.trd.2017.06.020.</w:t>
      </w:r>
    </w:p>
    <w:p>
      <w:pPr>
        <w:pStyle w:val="ListParagraph"/>
        <w:numPr>
          <w:ilvl w:val="0"/>
          <w:numId w:val="2"/>
        </w:numPr>
        <w:spacing w:after="40" w:line="258"/>
      </w:pPr>
      <w:r>
        <w:rPr>
          <w:sz w:val="21"/>
          <w:szCs w:val="21"/>
        </w:rPr>
        <w:t xml:space="preserve">Latora, V.; Marchiori, M. (2001). Efficient behavior of small-world networks. Phys. Rev. Lett. 87:198701 — eficiência de redes, base da métrica de robustez.</w:t>
      </w:r>
    </w:p>
    <w:p>
      <w:pPr>
        <w:pStyle w:val="ListParagraph"/>
        <w:numPr>
          <w:ilvl w:val="0"/>
          <w:numId w:val="2"/>
        </w:numPr>
        <w:spacing w:after="40" w:line="258"/>
      </w:pPr>
      <w:r>
        <w:rPr>
          <w:sz w:val="21"/>
          <w:szCs w:val="21"/>
        </w:rPr>
        <w:t xml:space="preserve">Fink, C. et al. (2022). r5py: Rapid Realistic Routing with R5 in Python. doi:10.5281/zenodo.7060437.</w:t>
      </w:r>
    </w:p>
    <w:p>
      <w:pPr>
        <w:keepNext/>
        <w:spacing w:after="50" w:before="130"/>
      </w:pPr>
      <w:r>
        <w:rPr>
          <w:b/>
          <w:bCs/>
          <w:color w:val="1E3442"/>
          <w:sz w:val="23"/>
          <w:szCs w:val="23"/>
        </w:rPr>
        <w:t xml:space="preserve">4. Dados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100"/>
        <w:gridCol w:w="4938"/>
      </w:tblGrid>
      <w:tr>
        <w:trPr>
          <w:tblHeader/>
        </w:trPr>
        <w:tc>
          <w:tcPr>
            <w:tcW w:type="dxa" w:w="16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3EC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Dado</w:t>
            </w:r>
          </w:p>
        </w:tc>
        <w:tc>
          <w:tcPr>
            <w:tcW w:type="dxa" w:w="31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3EC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Fonte e formato</w:t>
            </w:r>
          </w:p>
        </w:tc>
        <w:tc>
          <w:tcPr>
            <w:tcW w:type="dxa" w:w="49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3EC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Pré-processamento</w:t>
            </w:r>
          </w:p>
        </w:tc>
      </w:tr>
      <w:tr>
        <w:tc>
          <w:tcPr>
            <w:tcW w:type="dxa" w:w="16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Ônibus</w:t>
            </w:r>
          </w:p>
        </w:tc>
        <w:tc>
          <w:tcPr>
            <w:tcW w:type="dxa" w:w="31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GTFS da EPTC, portal de dados abertos (ZIP/CSV)</w:t>
            </w:r>
          </w:p>
        </w:tc>
        <w:tc>
          <w:tcPr>
            <w:tcW w:type="dxa" w:w="49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Vigência efetiva set–dez/2025 (feed vencido, único publicado): referência histórica em 30/10/2025; validador MobilityData sem erros</w:t>
            </w:r>
          </w:p>
        </w:tc>
      </w:tr>
      <w:tr>
        <w:tc>
          <w:tcPr>
            <w:tcW w:type="dxa" w:w="16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Vias e drenagem</w:t>
            </w:r>
          </w:p>
        </w:tc>
        <w:tc>
          <w:tcPr>
            <w:tcW w:type="dxa" w:w="31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OpenStreetMap/Geofabrik, 24/10/2026 (PBF)</w:t>
            </w:r>
          </w:p>
        </w:tc>
        <w:tc>
          <w:tcPr>
            <w:tcW w:type="dxa" w:w="49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Recorte municipal +3 km; 176.836 segmentos de via; arroios, valas e bueiros</w:t>
            </w:r>
          </w:p>
        </w:tc>
      </w:tr>
      <w:tr>
        <w:tc>
          <w:tcPr>
            <w:tcW w:type="dxa" w:w="16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População e limites</w:t>
            </w:r>
          </w:p>
        </w:tc>
        <w:tc>
          <w:tcPr>
            <w:tcW w:type="dxa" w:w="31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IBGE, Censo 2022, setores com agregados (GPKG)</w:t>
            </w:r>
          </w:p>
        </w:tc>
        <w:tc>
          <w:tcPr>
            <w:tcW w:type="dxa" w:w="49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Grade de 1 km com população por densidade uniforme (total conservado: 1.332.845)</w:t>
            </w:r>
          </w:p>
        </w:tc>
      </w:tr>
      <w:tr>
        <w:tc>
          <w:tcPr>
            <w:tcW w:type="dxa" w:w="16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Relevo</w:t>
            </w:r>
          </w:p>
        </w:tc>
        <w:tc>
          <w:tcPr>
            <w:tcW w:type="dxa" w:w="31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Copernicus DEM GLO-30 (GeoTIFF)</w:t>
            </w:r>
          </w:p>
        </w:tc>
        <w:tc>
          <w:tcPr>
            <w:tcW w:type="dxa" w:w="49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Mosaico a 30 m; elevação relativa, declividade, acúmulo de fluxo e índice de umidade</w:t>
            </w:r>
          </w:p>
        </w:tc>
      </w:tr>
      <w:tr>
        <w:tc>
          <w:tcPr>
            <w:tcW w:type="dxa" w:w="16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Interdições</w:t>
            </w:r>
          </w:p>
        </w:tc>
        <w:tc>
          <w:tcPr>
            <w:tcW w:type="dxa" w:w="31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EPTC/Prefeitura e imprensa citando a EPTC (CSV curado)</w:t>
            </w:r>
          </w:p>
        </w:tc>
        <w:tc>
          <w:tcPr>
            <w:tcW w:type="dxa" w:w="49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24 bloqueios em 4 datas (2019–2025), 19 geocodificados por interseção de vias</w:t>
            </w:r>
          </w:p>
        </w:tc>
      </w:tr>
      <w:tr>
        <w:tc>
          <w:tcPr>
            <w:tcW w:type="dxa" w:w="16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Chuva</w:t>
            </w:r>
          </w:p>
        </w:tc>
        <w:tc>
          <w:tcPr>
            <w:tcW w:type="dxa" w:w="31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Open-Meteo: previsão ao vivo, arquivo de previsões e reanálise (JSON)</w:t>
            </w:r>
          </w:p>
        </w:tc>
        <w:tc>
          <w:tcPr>
            <w:tcW w:type="dxa" w:w="49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Chuva antes de cada bloqueio (limiares) e frequência anual 2015–2024</w:t>
            </w:r>
          </w:p>
        </w:tc>
      </w:tr>
    </w:tbl>
    <w:p>
      <w:pPr>
        <w:keepNext/>
        <w:spacing w:after="50" w:before="130"/>
      </w:pPr>
      <w:r>
        <w:rPr>
          <w:b/>
          <w:bCs/>
          <w:color w:val="1E3442"/>
          <w:sz w:val="23"/>
          <w:szCs w:val="23"/>
        </w:rPr>
        <w:t xml:space="preserve">5. Metodologia (machine learning)</w:t>
      </w:r>
    </w:p>
    <w:p>
      <w:pPr>
        <w:pStyle w:val="ListParagraph"/>
        <w:numPr>
          <w:ilvl w:val="0"/>
          <w:numId w:val="2"/>
        </w:numPr>
        <w:spacing w:after="40" w:line="258"/>
      </w:pPr>
      <w:r>
        <w:rPr>
          <w:b/>
          <w:bCs/>
          <w:sz w:val="21"/>
          <w:szCs w:val="21"/>
        </w:rPr>
        <w:t xml:space="preserve">Cidade alcançável (r5py):</w:t>
      </w:r>
      <w:r>
        <w:rPr>
          <w:sz w:val="21"/>
          <w:szCs w:val="21"/>
        </w:rPr>
        <w:t xml:space="preserve"> para cada célula da grade, a população da cidade alcançável em até 30 minutos, a pé, de ônibus e de carro (A0). </w:t>
      </w:r>
      <w:r>
        <w:rPr>
          <w:b/>
          <w:bCs/>
          <w:sz w:val="21"/>
          <w:szCs w:val="21"/>
        </w:rPr>
        <w:t xml:space="preserve">Mobilidade perdida</w:t>
      </w:r>
      <w:r>
        <w:rPr>
          <w:sz w:val="21"/>
          <w:szCs w:val="21"/>
        </w:rPr>
        <w:t xml:space="preserve"> = redução, ponderada pela população, de todos os deslocamentos possíveis quando a chuva fecha vias (A_s).</w:t>
      </w:r>
    </w:p>
    <w:p>
      <w:pPr>
        <w:pStyle w:val="ListParagraph"/>
        <w:numPr>
          <w:ilvl w:val="0"/>
          <w:numId w:val="2"/>
        </w:numPr>
        <w:spacing w:after="40" w:line="258"/>
      </w:pPr>
      <w:r>
        <w:rPr>
          <w:b/>
          <w:bCs/>
          <w:sz w:val="21"/>
          <w:szCs w:val="21"/>
        </w:rPr>
        <w:t xml:space="preserve">Da chuva ao bloqueio:</w:t>
      </w:r>
      <w:r>
        <w:rPr>
          <w:sz w:val="21"/>
          <w:szCs w:val="21"/>
        </w:rPr>
        <w:t xml:space="preserve"> abaixo de 26,2 mm em 24 h (menor acumulado com bloqueio registrado) nada fecha; a partir dele fecham os pontos documentados e mais N pontos apontados pelo modelo, com N vindo do ajuste entre chuva e número de bloqueios por data, e um fator de precariedade para simular drenagem pior.</w:t>
      </w:r>
    </w:p>
    <w:p>
      <w:pPr>
        <w:pStyle w:val="ListParagraph"/>
        <w:numPr>
          <w:ilvl w:val="0"/>
          <w:numId w:val="2"/>
        </w:numPr>
        <w:spacing w:after="40" w:line="258"/>
      </w:pPr>
      <w:r>
        <w:rPr>
          <w:b/>
          <w:bCs/>
          <w:sz w:val="21"/>
          <w:szCs w:val="21"/>
        </w:rPr>
        <w:t xml:space="preserve">ML preditivo, suscetibilidade:</w:t>
      </w:r>
      <w:r>
        <w:rPr>
          <w:sz w:val="21"/>
          <w:szCs w:val="21"/>
        </w:rPr>
        <w:t xml:space="preserve"> regressão logística regularizada e random forest classificam 107.869 segmentos pela semelhança com locais já interditados (positivos e não rotulados), com variáveis de relevo, escoamento e drenagem; validação espacial (blocos de 2 km) e temporal (treino 2019–2022, teste 2025).</w:t>
      </w:r>
    </w:p>
    <w:p>
      <w:pPr>
        <w:pStyle w:val="ListParagraph"/>
        <w:numPr>
          <w:ilvl w:val="0"/>
          <w:numId w:val="2"/>
        </w:numPr>
        <w:spacing w:after="40" w:line="258"/>
      </w:pPr>
      <w:r>
        <w:rPr>
          <w:b/>
          <w:bCs/>
          <w:sz w:val="21"/>
          <w:szCs w:val="21"/>
        </w:rPr>
        <w:t xml:space="preserve">Dashboard de alerta:</w:t>
      </w:r>
      <w:r>
        <w:rPr>
          <w:sz w:val="21"/>
          <w:szCs w:val="21"/>
        </w:rPr>
        <w:t xml:space="preserve"> com a localização do usuário e a previsão de chuva, indica trechos em atenção ou alerta alto, linhas expostas e quanto da cidade deixa de ser alcançável, explicando como a IA calcula. </w:t>
      </w:r>
      <w:r>
        <w:rPr>
          <w:b/>
          <w:bCs/>
          <w:sz w:val="21"/>
          <w:szCs w:val="21"/>
        </w:rPr>
        <w:t xml:space="preserve">Também:</w:t>
      </w:r>
      <w:r>
        <w:rPr>
          <w:sz w:val="21"/>
          <w:szCs w:val="21"/>
        </w:rPr>
        <w:t xml:space="preserve"> robustez das redes (NetworkX), tipologia k-means e, na fase 2, deep learning (U-Net em Sentinel-1) para ampliar os rótulos.</w:t>
      </w:r>
    </w:p>
    <w:p>
      <w:pPr>
        <w:spacing w:after="70" w:line="262"/>
        <w:jc w:val="both"/>
      </w:pPr>
      <w:r>
        <w:rPr>
          <w:b/>
          <w:bCs/>
          <w:sz w:val="21"/>
          <w:szCs w:val="21"/>
        </w:rPr>
        <w:t xml:space="preserve">Justificativa:</w:t>
      </w:r>
      <w:r>
        <w:rPr>
          <w:sz w:val="21"/>
          <w:szCs w:val="21"/>
        </w:rPr>
        <w:t xml:space="preserve"> há poucos eventos e nenhum registro de “chuva sem alagamento”; por isso o modelo supervisionado é tratado como problema de positivos e não rotulados e comparado a regras simples, e o deep learning só se justifica quando o satélite fornecer rótulos em escala.</w:t>
      </w:r>
    </w:p>
    <w:p>
      <w:pPr>
        <w:spacing w:after="70" w:line="262"/>
        <w:jc w:val="both"/>
      </w:pPr>
      <w:r>
        <w:rPr>
          <w:b/>
          <w:bCs/>
          <w:sz w:val="21"/>
          <w:szCs w:val="21"/>
        </w:rPr>
        <w:t xml:space="preserve">Resultados iniciais:</w:t>
      </w:r>
      <w:r>
        <w:rPr>
          <w:sz w:val="21"/>
          <w:szCs w:val="21"/>
        </w:rPr>
        <w:t xml:space="preserve"> chuvas de 26 mm ou mais em 24 h, que já causam bloqueios, ocorrem em média </w:t>
      </w:r>
      <w:r>
        <w:rPr>
          <w:b/>
          <w:bCs/>
          <w:sz w:val="21"/>
          <w:szCs w:val="21"/>
        </w:rPr>
        <w:t xml:space="preserve">14 dias por ano</w:t>
      </w:r>
      <w:r>
        <w:rPr>
          <w:sz w:val="21"/>
          <w:szCs w:val="21"/>
        </w:rPr>
        <w:t xml:space="preserve">. Sem chuva, cada célula alcança em média 80% da cidade de carro, 14% de ônibus e 2,7% a pé. Com 26–35 mm, a cidade perde </w:t>
      </w:r>
      <w:r>
        <w:rPr>
          <w:b/>
          <w:bCs/>
          <w:sz w:val="21"/>
          <w:szCs w:val="21"/>
        </w:rPr>
        <w:t xml:space="preserve">3,5% da mobilidade de carro</w:t>
      </w:r>
      <w:r>
        <w:rPr>
          <w:sz w:val="21"/>
          <w:szCs w:val="21"/>
        </w:rPr>
        <w:t xml:space="preserve"> e </w:t>
      </w:r>
      <w:r>
        <w:rPr>
          <w:b/>
          <w:bCs/>
          <w:sz w:val="21"/>
          <w:szCs w:val="21"/>
        </w:rPr>
        <w:t xml:space="preserve">81 mil pessoas</w:t>
      </w:r>
      <w:r>
        <w:rPr>
          <w:sz w:val="21"/>
          <w:szCs w:val="21"/>
        </w:rPr>
        <w:t xml:space="preserve"> perdem ao menos 10% da cidade alcançável, com perdas locais de até 73%; com 40–45 mm, a perda dobra para </w:t>
      </w:r>
      <w:r>
        <w:rPr>
          <w:b/>
          <w:bCs/>
          <w:sz w:val="21"/>
          <w:szCs w:val="21"/>
        </w:rPr>
        <w:t xml:space="preserve">7,0%</w:t>
      </w:r>
      <w:r>
        <w:rPr>
          <w:sz w:val="21"/>
          <w:szCs w:val="21"/>
        </w:rPr>
        <w:t xml:space="preserve"> e atinge </w:t>
      </w:r>
      <w:r>
        <w:rPr>
          <w:b/>
          <w:bCs/>
          <w:sz w:val="21"/>
          <w:szCs w:val="21"/>
        </w:rPr>
        <w:t xml:space="preserve">190 mil pessoas</w:t>
      </w:r>
      <w:r>
        <w:rPr>
          <w:sz w:val="21"/>
          <w:szCs w:val="21"/>
        </w:rPr>
        <w:t xml:space="preserve">, e há áreas que perdem 74% do que alcançam a pé. Na suscetibilidade, as variáveis de drenagem elevam a regressão logística do percentil 79 para 86 no teste temporal, empatando com a regra de terreno baixo.</w:t>
      </w:r>
    </w:p>
    <w:p>
      <w:pPr>
        <w:spacing w:after="0" w:line="262"/>
        <w:jc w:val="both"/>
      </w:pPr>
      <w:r>
        <w:rPr>
          <w:b/>
          <w:bCs/>
          <w:sz w:val="21"/>
          <w:szCs w:val="21"/>
        </w:rPr>
        <w:t xml:space="preserve">Limitações:</w:t>
      </w:r>
      <w:r>
        <w:rPr>
          <w:sz w:val="21"/>
          <w:szCs w:val="21"/>
        </w:rPr>
        <w:t xml:space="preserve"> ajuste chuva × bloqueios com 3 datas; GTFS de 2025; bloqueio binário; eventos com viés de notificação; sem dados abertos de bocas de lobo e limpeza urbana; temporais curtos podem fechar vias abaixo do limiar; o alerta é nível heurístico, não probabilidade, e cobre só Porto Alegre.</w:t>
      </w:r>
    </w:p>
    <w:sectPr>
      <w:pgSz w:w="11906" w:h="16838" w:orient="portrait"/>
      <w:pgMar w:top="1020" w:right="1134" w:bottom="96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A30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1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keepNext/>
      <w:keepLines/>
      <w:spacing w:after="140" w:before="320"/>
      <w:outlineLvl w:val="0"/>
    </w:pPr>
    <w:rPr>
      <w:rFonts w:ascii="Calibri" w:cs="Calibri" w:eastAsia="Calibri" w:hAnsi="Calibri"/>
      <w:b/>
      <w:bCs/>
      <w:color w:val="1E3442"/>
      <w:sz w:val="31"/>
      <w:szCs w:val="31"/>
    </w:rPr>
  </w:style>
  <w:style w:type="paragraph" w:styleId="Heading2">
    <w:name w:val="Heading 2"/>
    <w:basedOn w:val="Normal"/>
    <w:next w:val="Normal"/>
    <w:qFormat/>
    <w:pPr>
      <w:keepNext/>
      <w:keepLines/>
      <w:spacing w:after="100" w:before="220"/>
      <w:outlineLvl w:val="1"/>
    </w:pPr>
    <w:rPr>
      <w:rFonts w:ascii="Calibri" w:cs="Calibri" w:eastAsia="Calibri" w:hAnsi="Calibri"/>
      <w:b/>
      <w:bCs/>
      <w:color w:val="1E3442"/>
      <w:sz w:val="25"/>
      <w:szCs w:val="25"/>
    </w:rPr>
  </w:style>
  <w:style w:type="paragraph" w:styleId="Heading3">
    <w:name w:val="Heading 3"/>
    <w:basedOn w:val="Normal"/>
    <w:next w:val="Normal"/>
    <w:qFormat/>
    <w:pPr>
      <w:keepNext/>
      <w:keepLines/>
      <w:spacing w:after="80" w:before="160"/>
      <w:outlineLvl w:val="2"/>
    </w:pPr>
    <w:rPr>
      <w:rFonts w:ascii="Calibri" w:cs="Calibri" w:eastAsia="Calibri" w:hAnsi="Calibri"/>
      <w:b/>
      <w:bCs/>
      <w:color w:val="1E3442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Proposta de Projeto Final — Flooding Mapping</dc:title>
  <dc:creator>Helena de Oliveira Valanera</dc:creator>
  <cp:lastModifiedBy>Un-named</cp:lastModifiedBy>
  <cp:revision>1</cp:revision>
  <dcterms:created xsi:type="dcterms:W3CDTF">2026-10-28T00:52:01.251Z</dcterms:created>
  <dcterms:modified xsi:type="dcterms:W3CDTF">2026-10-28T00:52:01.252Z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