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A8" w:rsidRPr="002634A8" w:rsidRDefault="002634A8" w:rsidP="002634A8">
      <w:pPr>
        <w:tabs>
          <w:tab w:val="left" w:pos="6096"/>
        </w:tabs>
        <w:spacing w:line="360" w:lineRule="auto"/>
        <w:jc w:val="center"/>
        <w:rPr>
          <w:rFonts w:hint="eastAsia"/>
          <w:b/>
          <w:sz w:val="44"/>
        </w:rPr>
      </w:pPr>
      <w:r w:rsidRPr="002634A8">
        <w:rPr>
          <w:b/>
          <w:sz w:val="44"/>
        </w:rPr>
        <w:t>GlobalQuant</w:t>
      </w:r>
      <w:r w:rsidRPr="002634A8">
        <w:rPr>
          <w:rFonts w:hAnsi="宋体" w:hint="eastAsia"/>
          <w:b/>
          <w:sz w:val="40"/>
          <w:szCs w:val="48"/>
        </w:rPr>
        <w:t>数字货币一期投资基金</w:t>
      </w:r>
    </w:p>
    <w:p w:rsidR="002634A8" w:rsidRDefault="002634A8" w:rsidP="002634A8">
      <w:pPr>
        <w:tabs>
          <w:tab w:val="left" w:pos="6096"/>
        </w:tabs>
        <w:spacing w:line="360" w:lineRule="auto"/>
        <w:jc w:val="center"/>
        <w:rPr>
          <w:rFonts w:hAnsi="宋体"/>
          <w:b/>
          <w:sz w:val="40"/>
          <w:szCs w:val="48"/>
        </w:rPr>
      </w:pPr>
      <w:r w:rsidRPr="002634A8">
        <w:rPr>
          <w:rFonts w:hAnsi="宋体" w:hint="eastAsia"/>
          <w:b/>
          <w:sz w:val="40"/>
          <w:szCs w:val="48"/>
        </w:rPr>
        <w:t>补充</w:t>
      </w:r>
      <w:r w:rsidRPr="002634A8">
        <w:rPr>
          <w:rFonts w:hAnsi="宋体"/>
          <w:b/>
          <w:sz w:val="40"/>
          <w:szCs w:val="48"/>
        </w:rPr>
        <w:t>合同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BC5AC3" w:rsidTr="00B55BC8">
        <w:tc>
          <w:tcPr>
            <w:tcW w:w="4151" w:type="dxa"/>
          </w:tcPr>
          <w:p w:rsidR="00BC5AC3" w:rsidRPr="00BC5AC3" w:rsidRDefault="00BC5AC3" w:rsidP="00BC5AC3">
            <w:pPr>
              <w:spacing w:line="360" w:lineRule="auto"/>
              <w:rPr>
                <w:rFonts w:hint="eastAsia"/>
                <w:sz w:val="24"/>
              </w:rPr>
            </w:pPr>
            <w:r w:rsidRPr="0068757F">
              <w:rPr>
                <w:rFonts w:hint="eastAsia"/>
                <w:sz w:val="24"/>
              </w:rPr>
              <w:t>甲方</w:t>
            </w:r>
            <w:r w:rsidRPr="0068757F">
              <w:rPr>
                <w:sz w:val="24"/>
              </w:rPr>
              <w:t>：</w:t>
            </w:r>
          </w:p>
        </w:tc>
        <w:tc>
          <w:tcPr>
            <w:tcW w:w="4151" w:type="dxa"/>
          </w:tcPr>
          <w:p w:rsidR="00BC5AC3" w:rsidRPr="00BC5AC3" w:rsidRDefault="00BC5AC3" w:rsidP="00F51CB9">
            <w:pPr>
              <w:spacing w:line="360" w:lineRule="auto"/>
              <w:rPr>
                <w:rFonts w:hint="eastAsia"/>
                <w:sz w:val="24"/>
              </w:rPr>
            </w:pPr>
            <w:r w:rsidRPr="00BC5AC3">
              <w:rPr>
                <w:rFonts w:hint="eastAsia"/>
                <w:sz w:val="24"/>
              </w:rPr>
              <w:t>证件号</w:t>
            </w:r>
            <w:r w:rsidRPr="00BC5AC3">
              <w:rPr>
                <w:sz w:val="24"/>
              </w:rPr>
              <w:t>：</w:t>
            </w:r>
          </w:p>
        </w:tc>
      </w:tr>
      <w:tr w:rsidR="00BC5AC3" w:rsidTr="00B55BC8">
        <w:tc>
          <w:tcPr>
            <w:tcW w:w="4151" w:type="dxa"/>
          </w:tcPr>
          <w:p w:rsidR="00BC5AC3" w:rsidRPr="00BC5AC3" w:rsidRDefault="00BC5AC3" w:rsidP="00F51CB9">
            <w:pPr>
              <w:spacing w:line="360" w:lineRule="auto"/>
              <w:rPr>
                <w:rFonts w:hint="eastAsia"/>
                <w:sz w:val="24"/>
              </w:rPr>
            </w:pPr>
            <w:r w:rsidRPr="0068757F">
              <w:rPr>
                <w:rFonts w:hint="eastAsia"/>
                <w:sz w:val="24"/>
              </w:rPr>
              <w:t>乙方</w:t>
            </w:r>
            <w:r w:rsidRPr="0068757F">
              <w:rPr>
                <w:sz w:val="24"/>
              </w:rPr>
              <w:t>：</w:t>
            </w:r>
          </w:p>
        </w:tc>
        <w:tc>
          <w:tcPr>
            <w:tcW w:w="4151" w:type="dxa"/>
          </w:tcPr>
          <w:p w:rsidR="00BC5AC3" w:rsidRPr="00BC5AC3" w:rsidRDefault="00BC5AC3" w:rsidP="00F51CB9">
            <w:pPr>
              <w:spacing w:line="360" w:lineRule="auto"/>
              <w:rPr>
                <w:sz w:val="24"/>
              </w:rPr>
            </w:pPr>
            <w:r w:rsidRPr="00BC5AC3">
              <w:rPr>
                <w:rFonts w:hint="eastAsia"/>
                <w:sz w:val="24"/>
              </w:rPr>
              <w:t>证件号</w:t>
            </w:r>
            <w:r w:rsidRPr="00BC5AC3">
              <w:rPr>
                <w:sz w:val="24"/>
              </w:rPr>
              <w:t>：</w:t>
            </w:r>
          </w:p>
        </w:tc>
      </w:tr>
      <w:tr w:rsidR="00BC5AC3" w:rsidTr="00B55BC8">
        <w:tc>
          <w:tcPr>
            <w:tcW w:w="4151" w:type="dxa"/>
          </w:tcPr>
          <w:p w:rsidR="00BC5AC3" w:rsidRPr="00BC5AC3" w:rsidRDefault="00BC5AC3" w:rsidP="00F51CB9">
            <w:pPr>
              <w:spacing w:line="360" w:lineRule="auto"/>
              <w:rPr>
                <w:rFonts w:hint="eastAsia"/>
                <w:sz w:val="24"/>
              </w:rPr>
            </w:pPr>
            <w:r w:rsidRPr="0068757F">
              <w:rPr>
                <w:rFonts w:hint="eastAsia"/>
                <w:sz w:val="24"/>
              </w:rPr>
              <w:t>丙方</w:t>
            </w:r>
            <w:r w:rsidRPr="0068757F">
              <w:rPr>
                <w:sz w:val="24"/>
              </w:rPr>
              <w:t>：</w:t>
            </w:r>
          </w:p>
        </w:tc>
        <w:tc>
          <w:tcPr>
            <w:tcW w:w="4151" w:type="dxa"/>
          </w:tcPr>
          <w:p w:rsidR="00BC5AC3" w:rsidRPr="00BC5AC3" w:rsidRDefault="00BC5AC3" w:rsidP="00F51CB9">
            <w:pPr>
              <w:spacing w:line="360" w:lineRule="auto"/>
              <w:rPr>
                <w:sz w:val="24"/>
              </w:rPr>
            </w:pPr>
            <w:r w:rsidRPr="00BC5AC3">
              <w:rPr>
                <w:rFonts w:hint="eastAsia"/>
                <w:sz w:val="24"/>
              </w:rPr>
              <w:t>证件号</w:t>
            </w:r>
            <w:r w:rsidRPr="00BC5AC3">
              <w:rPr>
                <w:sz w:val="24"/>
              </w:rPr>
              <w:t>：</w:t>
            </w:r>
          </w:p>
        </w:tc>
      </w:tr>
    </w:tbl>
    <w:p w:rsidR="00884986" w:rsidRDefault="00B13D96" w:rsidP="00F51CB9">
      <w:pPr>
        <w:spacing w:line="360" w:lineRule="auto"/>
        <w:ind w:firstLine="420"/>
        <w:rPr>
          <w:sz w:val="24"/>
        </w:rPr>
      </w:pPr>
      <w:r>
        <w:rPr>
          <w:sz w:val="24"/>
        </w:rPr>
        <w:t>______</w:t>
      </w:r>
      <w:r w:rsidR="00C06E42">
        <w:rPr>
          <w:sz w:val="24"/>
        </w:rPr>
        <w:t>_________</w:t>
      </w:r>
      <w:r>
        <w:rPr>
          <w:sz w:val="24"/>
        </w:rPr>
        <w:t>____</w:t>
      </w:r>
      <w:r>
        <w:rPr>
          <w:rFonts w:hint="eastAsia"/>
          <w:sz w:val="24"/>
        </w:rPr>
        <w:t>（以下</w:t>
      </w:r>
      <w:r>
        <w:rPr>
          <w:sz w:val="24"/>
        </w:rPr>
        <w:t>简称</w:t>
      </w:r>
      <w:r w:rsidR="00686FD3" w:rsidRPr="00981DC3">
        <w:rPr>
          <w:rFonts w:hint="eastAsia"/>
          <w:sz w:val="24"/>
        </w:rPr>
        <w:t>甲方</w:t>
      </w:r>
      <w:r>
        <w:rPr>
          <w:rFonts w:hint="eastAsia"/>
          <w:sz w:val="24"/>
        </w:rPr>
        <w:t>）</w:t>
      </w:r>
      <w:r w:rsidR="00686FD3" w:rsidRPr="00981DC3">
        <w:rPr>
          <w:sz w:val="24"/>
        </w:rPr>
        <w:t>、</w:t>
      </w:r>
      <w:r>
        <w:rPr>
          <w:sz w:val="24"/>
        </w:rPr>
        <w:t>____</w:t>
      </w:r>
      <w:r w:rsidR="00C06E42">
        <w:rPr>
          <w:sz w:val="24"/>
        </w:rPr>
        <w:t>_________</w:t>
      </w:r>
      <w:r>
        <w:rPr>
          <w:sz w:val="24"/>
        </w:rPr>
        <w:t>______</w:t>
      </w:r>
      <w:r w:rsidR="00AC5A99">
        <w:rPr>
          <w:rFonts w:hint="eastAsia"/>
          <w:sz w:val="24"/>
        </w:rPr>
        <w:t>（以下</w:t>
      </w:r>
      <w:r w:rsidR="00AC5A99">
        <w:rPr>
          <w:sz w:val="24"/>
        </w:rPr>
        <w:t>简称</w:t>
      </w:r>
      <w:r w:rsidR="00AC5A99">
        <w:rPr>
          <w:rFonts w:hint="eastAsia"/>
          <w:sz w:val="24"/>
        </w:rPr>
        <w:t>乙</w:t>
      </w:r>
      <w:r w:rsidR="00AC5A99" w:rsidRPr="00981DC3">
        <w:rPr>
          <w:rFonts w:hint="eastAsia"/>
          <w:sz w:val="24"/>
        </w:rPr>
        <w:t>方</w:t>
      </w:r>
      <w:r w:rsidR="00AC5A99">
        <w:rPr>
          <w:rFonts w:hint="eastAsia"/>
          <w:sz w:val="24"/>
        </w:rPr>
        <w:t>）</w:t>
      </w:r>
      <w:r w:rsidR="00686FD3" w:rsidRPr="00981DC3">
        <w:rPr>
          <w:sz w:val="24"/>
        </w:rPr>
        <w:t>和</w:t>
      </w:r>
      <w:r>
        <w:rPr>
          <w:sz w:val="24"/>
        </w:rPr>
        <w:t>______</w:t>
      </w:r>
      <w:r w:rsidR="00C06E42">
        <w:rPr>
          <w:sz w:val="24"/>
        </w:rPr>
        <w:t>_________</w:t>
      </w:r>
      <w:r>
        <w:rPr>
          <w:sz w:val="24"/>
        </w:rPr>
        <w:t>____</w:t>
      </w:r>
      <w:r w:rsidR="00DA4A3E">
        <w:rPr>
          <w:rFonts w:hint="eastAsia"/>
          <w:sz w:val="24"/>
        </w:rPr>
        <w:t>（以下</w:t>
      </w:r>
      <w:r w:rsidR="00DA4A3E">
        <w:rPr>
          <w:sz w:val="24"/>
        </w:rPr>
        <w:t>简称</w:t>
      </w:r>
      <w:r w:rsidR="00DA4A3E">
        <w:rPr>
          <w:rFonts w:hint="eastAsia"/>
          <w:sz w:val="24"/>
        </w:rPr>
        <w:t>丙</w:t>
      </w:r>
      <w:r w:rsidR="00DA4A3E" w:rsidRPr="00981DC3">
        <w:rPr>
          <w:rFonts w:hint="eastAsia"/>
          <w:sz w:val="24"/>
        </w:rPr>
        <w:t>方</w:t>
      </w:r>
      <w:r w:rsidR="00DA4A3E">
        <w:rPr>
          <w:rFonts w:hint="eastAsia"/>
          <w:sz w:val="24"/>
        </w:rPr>
        <w:t>）</w:t>
      </w:r>
      <w:r w:rsidR="00686FD3" w:rsidRPr="00981DC3">
        <w:rPr>
          <w:sz w:val="24"/>
        </w:rPr>
        <w:t>三方共同筹建和运营</w:t>
      </w:r>
      <w:r w:rsidR="00686FD3" w:rsidRPr="00981DC3">
        <w:rPr>
          <w:rFonts w:hint="eastAsia"/>
          <w:sz w:val="24"/>
        </w:rPr>
        <w:t>GlobalQuant</w:t>
      </w:r>
      <w:r w:rsidR="00686FD3" w:rsidRPr="00981DC3">
        <w:rPr>
          <w:sz w:val="24"/>
        </w:rPr>
        <w:t>数字货币投资基金</w:t>
      </w:r>
      <w:r w:rsidR="0033360D">
        <w:rPr>
          <w:rFonts w:hint="eastAsia"/>
          <w:sz w:val="24"/>
        </w:rPr>
        <w:t>（</w:t>
      </w:r>
      <w:r w:rsidR="005A5251">
        <w:rPr>
          <w:rFonts w:hint="eastAsia"/>
          <w:sz w:val="24"/>
        </w:rPr>
        <w:t>以下</w:t>
      </w:r>
      <w:r w:rsidR="0033360D">
        <w:rPr>
          <w:rFonts w:hint="eastAsia"/>
          <w:sz w:val="24"/>
        </w:rPr>
        <w:t>简称</w:t>
      </w:r>
      <w:r w:rsidR="0033360D">
        <w:rPr>
          <w:sz w:val="24"/>
        </w:rPr>
        <w:t>GQ</w:t>
      </w:r>
      <w:r w:rsidR="00660373">
        <w:rPr>
          <w:rFonts w:hint="eastAsia"/>
          <w:sz w:val="24"/>
        </w:rPr>
        <w:t>数币</w:t>
      </w:r>
      <w:r w:rsidR="0033360D">
        <w:rPr>
          <w:sz w:val="24"/>
        </w:rPr>
        <w:t>基金</w:t>
      </w:r>
      <w:r w:rsidR="0033360D">
        <w:rPr>
          <w:rFonts w:hint="eastAsia"/>
          <w:sz w:val="24"/>
        </w:rPr>
        <w:t>）</w:t>
      </w:r>
      <w:r w:rsidR="00686FD3" w:rsidRPr="00981DC3">
        <w:rPr>
          <w:rFonts w:hint="eastAsia"/>
          <w:sz w:val="24"/>
        </w:rPr>
        <w:t>。</w:t>
      </w:r>
    </w:p>
    <w:p w:rsidR="00884986" w:rsidRPr="00131A67" w:rsidRDefault="00884986" w:rsidP="00884986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4"/>
        </w:rPr>
      </w:pPr>
      <w:r w:rsidRPr="00131A67">
        <w:rPr>
          <w:rFonts w:hint="eastAsia"/>
          <w:b/>
          <w:sz w:val="24"/>
        </w:rPr>
        <w:t>参与方</w:t>
      </w:r>
      <w:r w:rsidRPr="00131A67">
        <w:rPr>
          <w:b/>
          <w:sz w:val="24"/>
        </w:rPr>
        <w:t>权利与义务</w:t>
      </w:r>
    </w:p>
    <w:p w:rsidR="00250A2F" w:rsidRDefault="00DF0422" w:rsidP="00F51CB9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三方</w:t>
      </w:r>
      <w:r>
        <w:rPr>
          <w:sz w:val="24"/>
        </w:rPr>
        <w:t>各自的权利和义务</w:t>
      </w:r>
      <w:r>
        <w:rPr>
          <w:rFonts w:hint="eastAsia"/>
          <w:sz w:val="24"/>
        </w:rPr>
        <w:t>如下</w:t>
      </w:r>
      <w:r>
        <w:rPr>
          <w:sz w:val="24"/>
        </w:rPr>
        <w:t>所述。</w:t>
      </w:r>
    </w:p>
    <w:p w:rsidR="00750C66" w:rsidRPr="00DF0422" w:rsidRDefault="00750C66" w:rsidP="00DF042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DF0422">
        <w:rPr>
          <w:rFonts w:hint="eastAsia"/>
          <w:sz w:val="24"/>
        </w:rPr>
        <w:t>甲方的</w:t>
      </w:r>
      <w:r w:rsidRPr="00DF0422">
        <w:rPr>
          <w:sz w:val="24"/>
        </w:rPr>
        <w:t>权利和义务</w:t>
      </w:r>
      <w:r w:rsidR="00DF0422" w:rsidRPr="00DF0422">
        <w:rPr>
          <w:rFonts w:hint="eastAsia"/>
          <w:sz w:val="24"/>
        </w:rPr>
        <w:t>：</w:t>
      </w:r>
    </w:p>
    <w:p w:rsidR="00DF0422" w:rsidRPr="00DF0422" w:rsidRDefault="00DF0422" w:rsidP="00DF0422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DF0422">
        <w:rPr>
          <w:rFonts w:hint="eastAsia"/>
          <w:sz w:val="24"/>
        </w:rPr>
        <w:t>甲方的</w:t>
      </w:r>
      <w:r>
        <w:rPr>
          <w:sz w:val="24"/>
        </w:rPr>
        <w:t>权利</w:t>
      </w:r>
      <w:r w:rsidRPr="00DF0422">
        <w:rPr>
          <w:rFonts w:hint="eastAsia"/>
          <w:sz w:val="24"/>
        </w:rPr>
        <w:t>：</w:t>
      </w:r>
    </w:p>
    <w:p w:rsidR="00CD5C2C" w:rsidRPr="00CD5C2C" w:rsidRDefault="00E262EC" w:rsidP="00CD5C2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CD5C2C">
        <w:rPr>
          <w:rFonts w:hint="eastAsia"/>
          <w:sz w:val="24"/>
        </w:rPr>
        <w:t>按照《</w:t>
      </w:r>
      <w:r w:rsidRPr="00CD5C2C">
        <w:rPr>
          <w:rFonts w:hint="eastAsia"/>
          <w:sz w:val="24"/>
        </w:rPr>
        <w:t>GlobalQuant</w:t>
      </w:r>
      <w:r w:rsidRPr="00CD5C2C">
        <w:rPr>
          <w:sz w:val="24"/>
        </w:rPr>
        <w:t>数字货币一期</w:t>
      </w:r>
      <w:r w:rsidRPr="00CD5C2C">
        <w:rPr>
          <w:rFonts w:hint="eastAsia"/>
          <w:sz w:val="24"/>
        </w:rPr>
        <w:t>投资</w:t>
      </w:r>
      <w:r w:rsidRPr="00CD5C2C">
        <w:rPr>
          <w:sz w:val="24"/>
        </w:rPr>
        <w:t>基金</w:t>
      </w:r>
      <w:r w:rsidRPr="00CD5C2C">
        <w:rPr>
          <w:rFonts w:hint="eastAsia"/>
          <w:sz w:val="24"/>
        </w:rPr>
        <w:t>》合同</w:t>
      </w:r>
      <w:r w:rsidRPr="00CD5C2C">
        <w:rPr>
          <w:sz w:val="24"/>
        </w:rPr>
        <w:t>对丙方管理基金</w:t>
      </w:r>
      <w:r w:rsidRPr="00CD5C2C">
        <w:rPr>
          <w:rFonts w:hint="eastAsia"/>
          <w:sz w:val="24"/>
        </w:rPr>
        <w:t>过程</w:t>
      </w:r>
      <w:r w:rsidRPr="00CD5C2C">
        <w:rPr>
          <w:sz w:val="24"/>
        </w:rPr>
        <w:t>进行监督</w:t>
      </w:r>
      <w:r w:rsidRPr="00CD5C2C">
        <w:rPr>
          <w:rFonts w:hint="eastAsia"/>
          <w:sz w:val="24"/>
        </w:rPr>
        <w:t>，</w:t>
      </w:r>
      <w:r w:rsidRPr="00CD5C2C">
        <w:rPr>
          <w:sz w:val="24"/>
        </w:rPr>
        <w:t>如有发现丙方有</w:t>
      </w:r>
      <w:r w:rsidRPr="00CD5C2C">
        <w:rPr>
          <w:rFonts w:hint="eastAsia"/>
          <w:sz w:val="24"/>
        </w:rPr>
        <w:t>违反</w:t>
      </w:r>
      <w:r w:rsidRPr="00CD5C2C">
        <w:rPr>
          <w:sz w:val="24"/>
        </w:rPr>
        <w:t>规定行为</w:t>
      </w:r>
      <w:r w:rsidRPr="00CD5C2C">
        <w:rPr>
          <w:rFonts w:hint="eastAsia"/>
          <w:sz w:val="24"/>
        </w:rPr>
        <w:t>，</w:t>
      </w:r>
      <w:r w:rsidRPr="00CD5C2C">
        <w:rPr>
          <w:sz w:val="24"/>
        </w:rPr>
        <w:t>有权强制停止基金运行。</w:t>
      </w:r>
    </w:p>
    <w:p w:rsidR="00CD5C2C" w:rsidRPr="00CD5C2C" w:rsidRDefault="00E262EC" w:rsidP="00CD5C2C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</w:rPr>
      </w:pPr>
      <w:r w:rsidRPr="00CD5C2C">
        <w:rPr>
          <w:rFonts w:hint="eastAsia"/>
          <w:sz w:val="24"/>
        </w:rPr>
        <w:t>以</w:t>
      </w:r>
      <w:r w:rsidRPr="00CD5C2C">
        <w:rPr>
          <w:sz w:val="24"/>
        </w:rPr>
        <w:t>个人名义投资</w:t>
      </w:r>
      <w:r w:rsidR="00E317A6">
        <w:rPr>
          <w:sz w:val="24"/>
        </w:rPr>
        <w:t>GQ</w:t>
      </w:r>
      <w:r w:rsidR="00E317A6">
        <w:rPr>
          <w:rFonts w:hint="eastAsia"/>
          <w:sz w:val="24"/>
        </w:rPr>
        <w:t>数币</w:t>
      </w:r>
      <w:r w:rsidR="00E317A6">
        <w:rPr>
          <w:sz w:val="24"/>
        </w:rPr>
        <w:t>基金</w:t>
      </w:r>
      <w:r w:rsidRPr="00CD5C2C">
        <w:rPr>
          <w:rFonts w:hint="eastAsia"/>
          <w:sz w:val="24"/>
        </w:rPr>
        <w:t>，</w:t>
      </w:r>
      <w:r w:rsidRPr="00CD5C2C">
        <w:rPr>
          <w:sz w:val="24"/>
        </w:rPr>
        <w:t>免</w:t>
      </w:r>
      <w:r w:rsidR="005E557B" w:rsidRPr="00CD5C2C">
        <w:rPr>
          <w:rFonts w:hint="eastAsia"/>
          <w:sz w:val="24"/>
        </w:rPr>
        <w:t>除</w:t>
      </w:r>
      <w:r w:rsidRPr="00CD5C2C">
        <w:rPr>
          <w:sz w:val="24"/>
        </w:rPr>
        <w:t>管理费</w:t>
      </w:r>
      <w:r w:rsidR="00431594" w:rsidRPr="00CD5C2C">
        <w:rPr>
          <w:rFonts w:hint="eastAsia"/>
          <w:sz w:val="24"/>
        </w:rPr>
        <w:t>，业绩</w:t>
      </w:r>
      <w:r w:rsidR="00431594" w:rsidRPr="00CD5C2C">
        <w:rPr>
          <w:sz w:val="24"/>
        </w:rPr>
        <w:t>报酬按照</w:t>
      </w:r>
      <w:r w:rsidR="00431594" w:rsidRPr="00CD5C2C">
        <w:rPr>
          <w:rFonts w:hint="eastAsia"/>
          <w:sz w:val="24"/>
        </w:rPr>
        <w:t>本合同</w:t>
      </w:r>
      <w:r w:rsidR="00431594" w:rsidRPr="00CD5C2C">
        <w:rPr>
          <w:sz w:val="24"/>
        </w:rPr>
        <w:t>第二部分约定分成。</w:t>
      </w:r>
    </w:p>
    <w:p w:rsidR="00347248" w:rsidRPr="00DF0422" w:rsidRDefault="00347248" w:rsidP="0034724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DF0422">
        <w:rPr>
          <w:rFonts w:hint="eastAsia"/>
          <w:sz w:val="24"/>
        </w:rPr>
        <w:t>甲方的</w:t>
      </w:r>
      <w:r>
        <w:rPr>
          <w:rFonts w:hint="eastAsia"/>
          <w:sz w:val="24"/>
        </w:rPr>
        <w:t>义务</w:t>
      </w:r>
      <w:r w:rsidRPr="00DF0422">
        <w:rPr>
          <w:rFonts w:hint="eastAsia"/>
          <w:sz w:val="24"/>
        </w:rPr>
        <w:t>：</w:t>
      </w:r>
    </w:p>
    <w:p w:rsidR="00D94661" w:rsidRPr="00CD5C2C" w:rsidRDefault="00005A1B" w:rsidP="00CD5C2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CD5C2C">
        <w:rPr>
          <w:rFonts w:hint="eastAsia"/>
          <w:sz w:val="24"/>
        </w:rPr>
        <w:t>为</w:t>
      </w:r>
      <w:r w:rsidR="00E317A6">
        <w:rPr>
          <w:sz w:val="24"/>
        </w:rPr>
        <w:t>GQ</w:t>
      </w:r>
      <w:r w:rsidR="00E317A6">
        <w:rPr>
          <w:rFonts w:hint="eastAsia"/>
          <w:sz w:val="24"/>
        </w:rPr>
        <w:t>数币</w:t>
      </w:r>
      <w:r w:rsidR="00E317A6">
        <w:rPr>
          <w:sz w:val="24"/>
        </w:rPr>
        <w:t>基金</w:t>
      </w:r>
      <w:r w:rsidR="00A867E6" w:rsidRPr="00CD5C2C">
        <w:rPr>
          <w:rFonts w:hint="eastAsia"/>
          <w:sz w:val="24"/>
        </w:rPr>
        <w:t>募集资金</w:t>
      </w:r>
      <w:r w:rsidR="00A867E6" w:rsidRPr="00CD5C2C">
        <w:rPr>
          <w:sz w:val="24"/>
        </w:rPr>
        <w:t>，</w:t>
      </w:r>
      <w:r w:rsidR="0078412A">
        <w:rPr>
          <w:rFonts w:hint="eastAsia"/>
          <w:sz w:val="24"/>
        </w:rPr>
        <w:t>并</w:t>
      </w:r>
      <w:r w:rsidR="0078412A">
        <w:rPr>
          <w:sz w:val="24"/>
        </w:rPr>
        <w:t>获取本合同第二部分约定的收益分成。</w:t>
      </w:r>
    </w:p>
    <w:p w:rsidR="00CD5C2C" w:rsidRPr="00CD5C2C" w:rsidRDefault="00CD5C2C" w:rsidP="00CD5C2C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丙方在操作</w:t>
      </w:r>
      <w:r>
        <w:rPr>
          <w:rFonts w:hint="eastAsia"/>
          <w:sz w:val="24"/>
        </w:rPr>
        <w:t>过程</w:t>
      </w:r>
      <w:r>
        <w:rPr>
          <w:sz w:val="24"/>
        </w:rPr>
        <w:t>中</w:t>
      </w:r>
      <w:r>
        <w:rPr>
          <w:rFonts w:hint="eastAsia"/>
          <w:sz w:val="24"/>
        </w:rPr>
        <w:t>未</w:t>
      </w:r>
      <w:r>
        <w:rPr>
          <w:sz w:val="24"/>
        </w:rPr>
        <w:t>发生违规</w:t>
      </w:r>
      <w:r>
        <w:rPr>
          <w:rFonts w:hint="eastAsia"/>
          <w:sz w:val="24"/>
        </w:rPr>
        <w:t>行为</w:t>
      </w:r>
      <w:r>
        <w:rPr>
          <w:sz w:val="24"/>
        </w:rPr>
        <w:t>，不得干涉丙方的投资操作决定。</w:t>
      </w:r>
    </w:p>
    <w:p w:rsidR="00750C66" w:rsidRPr="00D94661" w:rsidRDefault="00750C66" w:rsidP="00F51CB9">
      <w:pPr>
        <w:spacing w:line="360" w:lineRule="auto"/>
        <w:ind w:firstLine="420"/>
        <w:rPr>
          <w:sz w:val="24"/>
        </w:rPr>
      </w:pPr>
    </w:p>
    <w:p w:rsidR="00750C66" w:rsidRDefault="00750C66" w:rsidP="006D653B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乙方</w:t>
      </w:r>
      <w:r>
        <w:rPr>
          <w:rFonts w:hint="eastAsia"/>
          <w:sz w:val="24"/>
        </w:rPr>
        <w:t>的</w:t>
      </w:r>
      <w:r>
        <w:rPr>
          <w:sz w:val="24"/>
        </w:rPr>
        <w:t>权利和义务</w:t>
      </w:r>
    </w:p>
    <w:p w:rsidR="006D653B" w:rsidRPr="00DF0422" w:rsidRDefault="00A87938" w:rsidP="006D653B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乙</w:t>
      </w:r>
      <w:r w:rsidR="006D653B" w:rsidRPr="00DF0422">
        <w:rPr>
          <w:rFonts w:hint="eastAsia"/>
          <w:sz w:val="24"/>
        </w:rPr>
        <w:t>方的</w:t>
      </w:r>
      <w:r w:rsidR="006D653B">
        <w:rPr>
          <w:sz w:val="24"/>
        </w:rPr>
        <w:t>权利</w:t>
      </w:r>
      <w:r w:rsidR="006D653B" w:rsidRPr="00DF0422">
        <w:rPr>
          <w:rFonts w:hint="eastAsia"/>
          <w:sz w:val="24"/>
        </w:rPr>
        <w:t>：</w:t>
      </w:r>
    </w:p>
    <w:p w:rsidR="00A87938" w:rsidRDefault="00A87938" w:rsidP="00E911B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）按照《</w:t>
      </w:r>
      <w:r>
        <w:rPr>
          <w:rFonts w:hint="eastAsia"/>
          <w:sz w:val="24"/>
        </w:rPr>
        <w:t>GlobalQuant</w:t>
      </w:r>
      <w:r>
        <w:rPr>
          <w:sz w:val="24"/>
        </w:rPr>
        <w:t>数字货币一期</w:t>
      </w:r>
      <w:r>
        <w:rPr>
          <w:rFonts w:hint="eastAsia"/>
          <w:sz w:val="24"/>
        </w:rPr>
        <w:t>投资</w:t>
      </w:r>
      <w:r>
        <w:rPr>
          <w:sz w:val="24"/>
        </w:rPr>
        <w:t>基金</w:t>
      </w:r>
      <w:r>
        <w:rPr>
          <w:rFonts w:hint="eastAsia"/>
          <w:sz w:val="24"/>
        </w:rPr>
        <w:t>》合同</w:t>
      </w:r>
      <w:r>
        <w:rPr>
          <w:sz w:val="24"/>
        </w:rPr>
        <w:t>对丙方管理基金</w:t>
      </w:r>
      <w:r>
        <w:rPr>
          <w:rFonts w:hint="eastAsia"/>
          <w:sz w:val="24"/>
        </w:rPr>
        <w:t>过程</w:t>
      </w:r>
      <w:r>
        <w:rPr>
          <w:sz w:val="24"/>
        </w:rPr>
        <w:t>进行监督</w:t>
      </w:r>
      <w:r>
        <w:rPr>
          <w:rFonts w:hint="eastAsia"/>
          <w:sz w:val="24"/>
        </w:rPr>
        <w:t>，</w:t>
      </w:r>
      <w:r>
        <w:rPr>
          <w:sz w:val="24"/>
        </w:rPr>
        <w:t>如有发现丙方有</w:t>
      </w:r>
      <w:r>
        <w:rPr>
          <w:rFonts w:hint="eastAsia"/>
          <w:sz w:val="24"/>
        </w:rPr>
        <w:t>违反</w:t>
      </w:r>
      <w:r>
        <w:rPr>
          <w:sz w:val="24"/>
        </w:rPr>
        <w:t>规定行为</w:t>
      </w:r>
      <w:r>
        <w:rPr>
          <w:rFonts w:hint="eastAsia"/>
          <w:sz w:val="24"/>
        </w:rPr>
        <w:t>，</w:t>
      </w:r>
      <w:r>
        <w:rPr>
          <w:sz w:val="24"/>
        </w:rPr>
        <w:t>有权强制停止基金运行。</w:t>
      </w:r>
    </w:p>
    <w:p w:rsidR="006D653B" w:rsidRPr="00A87938" w:rsidRDefault="00A87938" w:rsidP="00B874B8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）以</w:t>
      </w:r>
      <w:r>
        <w:rPr>
          <w:sz w:val="24"/>
        </w:rPr>
        <w:t>个人名义投资</w:t>
      </w:r>
      <w:r w:rsidR="00CA61AE">
        <w:rPr>
          <w:sz w:val="24"/>
        </w:rPr>
        <w:t>GQ</w:t>
      </w:r>
      <w:r w:rsidR="00CA61AE">
        <w:rPr>
          <w:rFonts w:hint="eastAsia"/>
          <w:sz w:val="24"/>
        </w:rPr>
        <w:t>数币</w:t>
      </w:r>
      <w:r w:rsidR="00CA61AE">
        <w:rPr>
          <w:sz w:val="24"/>
        </w:rPr>
        <w:t>基金</w:t>
      </w:r>
      <w:r>
        <w:rPr>
          <w:rFonts w:hint="eastAsia"/>
          <w:sz w:val="24"/>
        </w:rPr>
        <w:t>，</w:t>
      </w:r>
      <w:r>
        <w:rPr>
          <w:sz w:val="24"/>
        </w:rPr>
        <w:t>免</w:t>
      </w:r>
      <w:r>
        <w:rPr>
          <w:rFonts w:hint="eastAsia"/>
          <w:sz w:val="24"/>
        </w:rPr>
        <w:t>除</w:t>
      </w:r>
      <w:r>
        <w:rPr>
          <w:sz w:val="24"/>
        </w:rPr>
        <w:t>管理费</w:t>
      </w:r>
      <w:r>
        <w:rPr>
          <w:rFonts w:hint="eastAsia"/>
          <w:sz w:val="24"/>
        </w:rPr>
        <w:t>，业绩</w:t>
      </w:r>
      <w:r>
        <w:rPr>
          <w:sz w:val="24"/>
        </w:rPr>
        <w:t>报酬按照</w:t>
      </w:r>
      <w:r>
        <w:rPr>
          <w:rFonts w:hint="eastAsia"/>
          <w:sz w:val="24"/>
        </w:rPr>
        <w:t>本合同</w:t>
      </w:r>
      <w:r>
        <w:rPr>
          <w:sz w:val="24"/>
        </w:rPr>
        <w:t>第二部分约定分成。</w:t>
      </w:r>
    </w:p>
    <w:p w:rsidR="006D653B" w:rsidRPr="00DF0422" w:rsidRDefault="008247BF" w:rsidP="006D653B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乙</w:t>
      </w:r>
      <w:r w:rsidR="006D653B" w:rsidRPr="00DF0422">
        <w:rPr>
          <w:rFonts w:hint="eastAsia"/>
          <w:sz w:val="24"/>
        </w:rPr>
        <w:t>方的</w:t>
      </w:r>
      <w:r w:rsidR="006D653B">
        <w:rPr>
          <w:rFonts w:hint="eastAsia"/>
          <w:sz w:val="24"/>
        </w:rPr>
        <w:t>义务</w:t>
      </w:r>
      <w:r w:rsidR="006D653B" w:rsidRPr="00DF0422">
        <w:rPr>
          <w:rFonts w:hint="eastAsia"/>
          <w:sz w:val="24"/>
        </w:rPr>
        <w:t>：</w:t>
      </w:r>
    </w:p>
    <w:p w:rsidR="006D653B" w:rsidRPr="001A284C" w:rsidRDefault="00422357" w:rsidP="001A284C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1A284C">
        <w:rPr>
          <w:rFonts w:hint="eastAsia"/>
          <w:sz w:val="24"/>
        </w:rPr>
        <w:t>为</w:t>
      </w:r>
      <w:r w:rsidR="005831A8">
        <w:rPr>
          <w:sz w:val="24"/>
        </w:rPr>
        <w:t>GQ</w:t>
      </w:r>
      <w:r w:rsidR="005831A8">
        <w:rPr>
          <w:rFonts w:hint="eastAsia"/>
          <w:sz w:val="24"/>
        </w:rPr>
        <w:t>数币</w:t>
      </w:r>
      <w:r w:rsidR="005831A8">
        <w:rPr>
          <w:sz w:val="24"/>
        </w:rPr>
        <w:t>基金</w:t>
      </w:r>
      <w:r w:rsidRPr="001A284C">
        <w:rPr>
          <w:rFonts w:hint="eastAsia"/>
          <w:sz w:val="24"/>
        </w:rPr>
        <w:t>募集资金</w:t>
      </w:r>
      <w:r w:rsidRPr="001A284C">
        <w:rPr>
          <w:sz w:val="24"/>
        </w:rPr>
        <w:t>，</w:t>
      </w:r>
      <w:r w:rsidR="0078412A">
        <w:rPr>
          <w:rFonts w:hint="eastAsia"/>
          <w:sz w:val="24"/>
        </w:rPr>
        <w:t>并</w:t>
      </w:r>
      <w:r w:rsidR="0078412A">
        <w:rPr>
          <w:sz w:val="24"/>
        </w:rPr>
        <w:t>获取本合同第二部分约定的收益分成。</w:t>
      </w:r>
    </w:p>
    <w:p w:rsidR="001A284C" w:rsidRPr="001A284C" w:rsidRDefault="001A284C" w:rsidP="001A284C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若</w:t>
      </w:r>
      <w:r>
        <w:rPr>
          <w:sz w:val="24"/>
        </w:rPr>
        <w:t>丙方在操作</w:t>
      </w:r>
      <w:r>
        <w:rPr>
          <w:rFonts w:hint="eastAsia"/>
          <w:sz w:val="24"/>
        </w:rPr>
        <w:t>过程</w:t>
      </w:r>
      <w:r>
        <w:rPr>
          <w:sz w:val="24"/>
        </w:rPr>
        <w:t>中</w:t>
      </w:r>
      <w:r>
        <w:rPr>
          <w:rFonts w:hint="eastAsia"/>
          <w:sz w:val="24"/>
        </w:rPr>
        <w:t>未</w:t>
      </w:r>
      <w:r>
        <w:rPr>
          <w:sz w:val="24"/>
        </w:rPr>
        <w:t>发生违规</w:t>
      </w:r>
      <w:r>
        <w:rPr>
          <w:rFonts w:hint="eastAsia"/>
          <w:sz w:val="24"/>
        </w:rPr>
        <w:t>行为</w:t>
      </w:r>
      <w:r>
        <w:rPr>
          <w:sz w:val="24"/>
        </w:rPr>
        <w:t>，不得干涉丙方的投资操作决定。</w:t>
      </w:r>
    </w:p>
    <w:p w:rsidR="00C85A03" w:rsidRDefault="00C85A03" w:rsidP="00884986">
      <w:pPr>
        <w:spacing w:line="360" w:lineRule="auto"/>
        <w:rPr>
          <w:rFonts w:hint="eastAsia"/>
          <w:sz w:val="24"/>
        </w:rPr>
      </w:pPr>
    </w:p>
    <w:p w:rsidR="00C85A03" w:rsidRDefault="00C85A03" w:rsidP="006D653B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丙方</w:t>
      </w:r>
      <w:r>
        <w:rPr>
          <w:rFonts w:hint="eastAsia"/>
          <w:sz w:val="24"/>
        </w:rPr>
        <w:t>的</w:t>
      </w:r>
      <w:r>
        <w:rPr>
          <w:sz w:val="24"/>
        </w:rPr>
        <w:t>权利和义务</w:t>
      </w:r>
    </w:p>
    <w:p w:rsidR="00EF1C18" w:rsidRPr="00DF0422" w:rsidRDefault="000B7847" w:rsidP="00EF1C1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丙</w:t>
      </w:r>
      <w:r w:rsidR="00EF1C18" w:rsidRPr="00DF0422">
        <w:rPr>
          <w:rFonts w:hint="eastAsia"/>
          <w:sz w:val="24"/>
        </w:rPr>
        <w:t>方的</w:t>
      </w:r>
      <w:r w:rsidR="00EF1C18">
        <w:rPr>
          <w:sz w:val="24"/>
        </w:rPr>
        <w:t>权利</w:t>
      </w:r>
      <w:r w:rsidR="00EF1C18" w:rsidRPr="00DF0422">
        <w:rPr>
          <w:rFonts w:hint="eastAsia"/>
          <w:sz w:val="24"/>
        </w:rPr>
        <w:t>：</w:t>
      </w:r>
    </w:p>
    <w:p w:rsidR="00EF1C18" w:rsidRDefault="00B40589" w:rsidP="00B40589">
      <w:pPr>
        <w:spacing w:line="360" w:lineRule="auto"/>
        <w:ind w:left="5"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）按照《</w:t>
      </w:r>
      <w:r>
        <w:rPr>
          <w:rFonts w:hint="eastAsia"/>
          <w:sz w:val="24"/>
        </w:rPr>
        <w:t>GlobalQuant</w:t>
      </w:r>
      <w:r>
        <w:rPr>
          <w:sz w:val="24"/>
        </w:rPr>
        <w:t>数字货币一期</w:t>
      </w:r>
      <w:r>
        <w:rPr>
          <w:rFonts w:hint="eastAsia"/>
          <w:sz w:val="24"/>
        </w:rPr>
        <w:t>投资</w:t>
      </w:r>
      <w:r>
        <w:rPr>
          <w:sz w:val="24"/>
        </w:rPr>
        <w:t>基金</w:t>
      </w:r>
      <w:r>
        <w:rPr>
          <w:rFonts w:hint="eastAsia"/>
          <w:sz w:val="24"/>
        </w:rPr>
        <w:t>》合同</w:t>
      </w:r>
      <w:r>
        <w:rPr>
          <w:sz w:val="24"/>
        </w:rPr>
        <w:t>管理</w:t>
      </w:r>
      <w:r w:rsidR="00BC5038">
        <w:rPr>
          <w:sz w:val="24"/>
        </w:rPr>
        <w:t>GQ</w:t>
      </w:r>
      <w:r w:rsidR="00BC5038">
        <w:rPr>
          <w:rFonts w:hint="eastAsia"/>
          <w:sz w:val="24"/>
        </w:rPr>
        <w:t>数币</w:t>
      </w:r>
      <w:r w:rsidR="00BC5038">
        <w:rPr>
          <w:sz w:val="24"/>
        </w:rPr>
        <w:t>基金</w:t>
      </w:r>
      <w:r w:rsidR="00464E48">
        <w:rPr>
          <w:rFonts w:hint="eastAsia"/>
          <w:sz w:val="24"/>
        </w:rPr>
        <w:t>，并</w:t>
      </w:r>
      <w:r w:rsidR="00464E48">
        <w:rPr>
          <w:sz w:val="24"/>
        </w:rPr>
        <w:t>获取本合同第二部分约定的收益分成。</w:t>
      </w:r>
    </w:p>
    <w:p w:rsidR="00EF1C18" w:rsidRPr="00DF0422" w:rsidRDefault="000B7847" w:rsidP="00EF1C1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丙</w:t>
      </w:r>
      <w:r w:rsidR="00EF1C18" w:rsidRPr="00DF0422">
        <w:rPr>
          <w:rFonts w:hint="eastAsia"/>
          <w:sz w:val="24"/>
        </w:rPr>
        <w:t>方的</w:t>
      </w:r>
      <w:r w:rsidR="00EF1C18">
        <w:rPr>
          <w:rFonts w:hint="eastAsia"/>
          <w:sz w:val="24"/>
        </w:rPr>
        <w:t>义务</w:t>
      </w:r>
      <w:r w:rsidR="00EF1C18" w:rsidRPr="00DF0422">
        <w:rPr>
          <w:rFonts w:hint="eastAsia"/>
          <w:sz w:val="24"/>
        </w:rPr>
        <w:t>：</w:t>
      </w:r>
    </w:p>
    <w:p w:rsidR="003773FE" w:rsidRDefault="00EA324F" w:rsidP="00EA324F">
      <w:pPr>
        <w:spacing w:line="360" w:lineRule="auto"/>
        <w:ind w:left="5"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C5903">
        <w:rPr>
          <w:rFonts w:hint="eastAsia"/>
          <w:sz w:val="24"/>
        </w:rPr>
        <w:t>开设数字货币</w:t>
      </w:r>
      <w:r w:rsidR="00BC5903">
        <w:rPr>
          <w:sz w:val="24"/>
        </w:rPr>
        <w:t>托管账户</w:t>
      </w:r>
      <w:r w:rsidR="009F0917">
        <w:rPr>
          <w:rFonts w:hint="eastAsia"/>
          <w:sz w:val="24"/>
        </w:rPr>
        <w:t>（包括</w:t>
      </w:r>
      <w:r w:rsidR="009F0917">
        <w:rPr>
          <w:sz w:val="24"/>
        </w:rPr>
        <w:t>Type A</w:t>
      </w:r>
      <w:r w:rsidR="009F0917">
        <w:rPr>
          <w:sz w:val="24"/>
        </w:rPr>
        <w:t>基金</w:t>
      </w:r>
      <w:r w:rsidR="009F0917">
        <w:rPr>
          <w:rFonts w:hint="eastAsia"/>
          <w:sz w:val="24"/>
        </w:rPr>
        <w:t>托管</w:t>
      </w:r>
      <w:r w:rsidR="009F0917">
        <w:rPr>
          <w:sz w:val="24"/>
        </w:rPr>
        <w:t>账户和</w:t>
      </w:r>
      <w:r w:rsidR="009F0917">
        <w:rPr>
          <w:sz w:val="24"/>
        </w:rPr>
        <w:t>Type B</w:t>
      </w:r>
      <w:r w:rsidR="009F0917">
        <w:rPr>
          <w:sz w:val="24"/>
        </w:rPr>
        <w:t>基金托管账户</w:t>
      </w:r>
      <w:r w:rsidR="009F0917">
        <w:rPr>
          <w:rFonts w:hint="eastAsia"/>
          <w:sz w:val="24"/>
        </w:rPr>
        <w:t>）</w:t>
      </w:r>
    </w:p>
    <w:p w:rsidR="00EB78AF" w:rsidRDefault="003773FE" w:rsidP="00EA324F">
      <w:pPr>
        <w:spacing w:line="360" w:lineRule="auto"/>
        <w:ind w:left="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024F1">
        <w:rPr>
          <w:rFonts w:hint="eastAsia"/>
          <w:sz w:val="24"/>
        </w:rPr>
        <w:t>严格</w:t>
      </w:r>
      <w:r w:rsidR="009024F1">
        <w:rPr>
          <w:sz w:val="24"/>
        </w:rPr>
        <w:t>遵守</w:t>
      </w:r>
      <w:r w:rsidR="00EA324F">
        <w:rPr>
          <w:rFonts w:hint="eastAsia"/>
          <w:sz w:val="24"/>
        </w:rPr>
        <w:t>《</w:t>
      </w:r>
      <w:r w:rsidR="00EA324F">
        <w:rPr>
          <w:rFonts w:hint="eastAsia"/>
          <w:sz w:val="24"/>
        </w:rPr>
        <w:t>GlobalQuant</w:t>
      </w:r>
      <w:r w:rsidR="00EA324F">
        <w:rPr>
          <w:sz w:val="24"/>
        </w:rPr>
        <w:t>数字货币一期</w:t>
      </w:r>
      <w:r w:rsidR="00EA324F">
        <w:rPr>
          <w:rFonts w:hint="eastAsia"/>
          <w:sz w:val="24"/>
        </w:rPr>
        <w:t>投资</w:t>
      </w:r>
      <w:r w:rsidR="00EA324F">
        <w:rPr>
          <w:sz w:val="24"/>
        </w:rPr>
        <w:t>基金</w:t>
      </w:r>
      <w:r w:rsidR="00EA324F">
        <w:rPr>
          <w:rFonts w:hint="eastAsia"/>
          <w:sz w:val="24"/>
        </w:rPr>
        <w:t>》合同</w:t>
      </w:r>
      <w:r w:rsidR="009024F1">
        <w:rPr>
          <w:rFonts w:hint="eastAsia"/>
          <w:sz w:val="24"/>
        </w:rPr>
        <w:t>中规定</w:t>
      </w:r>
      <w:r w:rsidR="009024F1">
        <w:rPr>
          <w:sz w:val="24"/>
        </w:rPr>
        <w:t>的操作限制，</w:t>
      </w:r>
      <w:r w:rsidR="00EB78AF">
        <w:rPr>
          <w:rFonts w:hint="eastAsia"/>
          <w:sz w:val="24"/>
        </w:rPr>
        <w:t>为</w:t>
      </w:r>
      <w:r w:rsidR="00EB78AF">
        <w:rPr>
          <w:sz w:val="24"/>
        </w:rPr>
        <w:t>投资者创造高收益。</w:t>
      </w:r>
    </w:p>
    <w:p w:rsidR="00EA324F" w:rsidRDefault="003B6134" w:rsidP="00EA324F">
      <w:pPr>
        <w:spacing w:line="360" w:lineRule="auto"/>
        <w:ind w:left="5"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3773FE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75A8B">
        <w:rPr>
          <w:rFonts w:hint="eastAsia"/>
          <w:sz w:val="24"/>
        </w:rPr>
        <w:t>每周日</w:t>
      </w:r>
      <w:r w:rsidR="00875A8B">
        <w:rPr>
          <w:sz w:val="24"/>
        </w:rPr>
        <w:t>晚</w:t>
      </w:r>
      <w:r w:rsidR="00875A8B">
        <w:rPr>
          <w:rFonts w:hint="eastAsia"/>
          <w:sz w:val="24"/>
        </w:rPr>
        <w:t>8</w:t>
      </w:r>
      <w:r w:rsidR="00875A8B">
        <w:rPr>
          <w:rFonts w:hint="eastAsia"/>
          <w:sz w:val="24"/>
        </w:rPr>
        <w:t>点</w:t>
      </w:r>
      <w:r w:rsidR="00875A8B">
        <w:rPr>
          <w:sz w:val="24"/>
        </w:rPr>
        <w:t>之前向甲方</w:t>
      </w:r>
      <w:r w:rsidR="00875A8B">
        <w:rPr>
          <w:rFonts w:hint="eastAsia"/>
          <w:sz w:val="24"/>
        </w:rPr>
        <w:t>和</w:t>
      </w:r>
      <w:r w:rsidR="00875A8B">
        <w:rPr>
          <w:sz w:val="24"/>
        </w:rPr>
        <w:t>乙方</w:t>
      </w:r>
      <w:r w:rsidR="00875A8B">
        <w:rPr>
          <w:rFonts w:hint="eastAsia"/>
          <w:sz w:val="24"/>
        </w:rPr>
        <w:t>发送</w:t>
      </w:r>
      <w:r w:rsidR="00875A8B">
        <w:rPr>
          <w:sz w:val="24"/>
        </w:rPr>
        <w:t>本周基金运行报告，分析盈亏结果和原因。</w:t>
      </w:r>
    </w:p>
    <w:p w:rsidR="00EF1C18" w:rsidRPr="00875A8B" w:rsidRDefault="00EF1C18" w:rsidP="00EF1C18">
      <w:pPr>
        <w:spacing w:line="360" w:lineRule="auto"/>
        <w:ind w:firstLine="420"/>
        <w:rPr>
          <w:sz w:val="24"/>
        </w:rPr>
      </w:pPr>
    </w:p>
    <w:p w:rsidR="00C85A03" w:rsidRPr="00131A67" w:rsidRDefault="00884986" w:rsidP="0088498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131A67">
        <w:rPr>
          <w:rFonts w:hint="eastAsia"/>
          <w:b/>
          <w:sz w:val="24"/>
        </w:rPr>
        <w:t>收益</w:t>
      </w:r>
      <w:r w:rsidRPr="00131A67">
        <w:rPr>
          <w:b/>
          <w:sz w:val="24"/>
        </w:rPr>
        <w:t>分成方式</w:t>
      </w:r>
    </w:p>
    <w:p w:rsidR="00675016" w:rsidRDefault="005E2E4F" w:rsidP="001541A5">
      <w:pPr>
        <w:pStyle w:val="a3"/>
        <w:spacing w:line="360" w:lineRule="auto"/>
        <w:ind w:firstLineChars="0"/>
        <w:rPr>
          <w:sz w:val="24"/>
        </w:rPr>
      </w:pPr>
      <w:r>
        <w:rPr>
          <w:sz w:val="24"/>
        </w:rPr>
        <w:t>GQ</w:t>
      </w:r>
      <w:r>
        <w:rPr>
          <w:rFonts w:hint="eastAsia"/>
          <w:sz w:val="24"/>
        </w:rPr>
        <w:t>数币</w:t>
      </w:r>
      <w:r>
        <w:rPr>
          <w:sz w:val="24"/>
        </w:rPr>
        <w:t>基金</w:t>
      </w:r>
      <w:r w:rsidR="001541A5">
        <w:rPr>
          <w:sz w:val="24"/>
        </w:rPr>
        <w:t>的收益包括管理费和业绩报酬两部分。</w:t>
      </w:r>
      <w:r w:rsidR="00343AF6">
        <w:rPr>
          <w:rFonts w:hint="eastAsia"/>
          <w:sz w:val="24"/>
        </w:rPr>
        <w:t>甲</w:t>
      </w:r>
      <w:r w:rsidR="001541A5">
        <w:rPr>
          <w:rFonts w:hint="eastAsia"/>
          <w:sz w:val="24"/>
        </w:rPr>
        <w:t>、</w:t>
      </w:r>
      <w:r w:rsidR="00343AF6">
        <w:rPr>
          <w:rFonts w:hint="eastAsia"/>
          <w:sz w:val="24"/>
        </w:rPr>
        <w:t>乙</w:t>
      </w:r>
      <w:r w:rsidR="001541A5">
        <w:rPr>
          <w:rFonts w:hint="eastAsia"/>
          <w:sz w:val="24"/>
        </w:rPr>
        <w:t>、</w:t>
      </w:r>
      <w:r w:rsidR="00343AF6">
        <w:rPr>
          <w:rFonts w:hint="eastAsia"/>
          <w:sz w:val="24"/>
        </w:rPr>
        <w:t>丙</w:t>
      </w:r>
      <w:r w:rsidR="00343AF6">
        <w:rPr>
          <w:sz w:val="24"/>
        </w:rPr>
        <w:t>三方按照</w:t>
      </w:r>
      <w:r w:rsidR="00032495">
        <w:rPr>
          <w:sz w:val="24"/>
        </w:rPr>
        <w:t>管理费和业绩报酬</w:t>
      </w:r>
      <w:r w:rsidR="00032495">
        <w:rPr>
          <w:rFonts w:hint="eastAsia"/>
          <w:sz w:val="24"/>
        </w:rPr>
        <w:t>总和</w:t>
      </w:r>
      <w:r w:rsidR="00032495">
        <w:rPr>
          <w:sz w:val="24"/>
        </w:rPr>
        <w:t>的</w:t>
      </w:r>
      <w:bookmarkStart w:id="0" w:name="_GoBack"/>
      <w:bookmarkEnd w:id="0"/>
      <w:r w:rsidR="0072764B">
        <w:rPr>
          <w:rFonts w:hint="eastAsia"/>
          <w:sz w:val="24"/>
        </w:rPr>
        <w:t>34</w:t>
      </w:r>
      <w:r w:rsidR="00343AF6">
        <w:rPr>
          <w:sz w:val="24"/>
        </w:rPr>
        <w:t>%</w:t>
      </w:r>
      <w:r w:rsidR="00343AF6">
        <w:rPr>
          <w:sz w:val="24"/>
        </w:rPr>
        <w:t>、</w:t>
      </w:r>
      <w:r w:rsidR="0072764B">
        <w:rPr>
          <w:rFonts w:hint="eastAsia"/>
          <w:sz w:val="24"/>
        </w:rPr>
        <w:t>33</w:t>
      </w:r>
      <w:r w:rsidR="00343AF6">
        <w:rPr>
          <w:sz w:val="24"/>
        </w:rPr>
        <w:t>%</w:t>
      </w:r>
      <w:r w:rsidR="00343AF6">
        <w:rPr>
          <w:sz w:val="24"/>
        </w:rPr>
        <w:t>和</w:t>
      </w:r>
      <w:r w:rsidR="0072764B">
        <w:rPr>
          <w:rFonts w:hint="eastAsia"/>
          <w:sz w:val="24"/>
        </w:rPr>
        <w:t>33</w:t>
      </w:r>
      <w:r w:rsidR="00343AF6">
        <w:rPr>
          <w:sz w:val="24"/>
        </w:rPr>
        <w:t>%</w:t>
      </w:r>
      <w:r w:rsidR="00343AF6">
        <w:rPr>
          <w:sz w:val="24"/>
        </w:rPr>
        <w:t>的方式进行分成。</w:t>
      </w:r>
    </w:p>
    <w:p w:rsidR="00862558" w:rsidRPr="0072764B" w:rsidRDefault="00FD7B6A" w:rsidP="00675016">
      <w:pPr>
        <w:pStyle w:val="a3"/>
        <w:spacing w:line="360" w:lineRule="auto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投资</w:t>
      </w:r>
      <w:r w:rsidR="00D62142">
        <w:rPr>
          <w:sz w:val="24"/>
        </w:rPr>
        <w:t>基金每</w:t>
      </w:r>
      <w:r w:rsidR="00D62142">
        <w:rPr>
          <w:rFonts w:hint="eastAsia"/>
          <w:sz w:val="24"/>
        </w:rPr>
        <w:t>次</w:t>
      </w:r>
      <w:r w:rsidR="00D62142">
        <w:rPr>
          <w:sz w:val="24"/>
        </w:rPr>
        <w:t>提取</w:t>
      </w:r>
      <w:r>
        <w:rPr>
          <w:sz w:val="24"/>
        </w:rPr>
        <w:t>业绩报酬</w:t>
      </w:r>
      <w:r w:rsidR="00D62142">
        <w:rPr>
          <w:rFonts w:hint="eastAsia"/>
          <w:sz w:val="24"/>
        </w:rPr>
        <w:t>后</w:t>
      </w:r>
      <w:r w:rsidR="00D62142">
        <w:rPr>
          <w:sz w:val="24"/>
        </w:rPr>
        <w:t>，</w:t>
      </w:r>
      <w:r w:rsidR="009C2464">
        <w:rPr>
          <w:rFonts w:hint="eastAsia"/>
          <w:sz w:val="24"/>
        </w:rPr>
        <w:t>即</w:t>
      </w:r>
      <w:r w:rsidR="009C2464">
        <w:rPr>
          <w:sz w:val="24"/>
        </w:rPr>
        <w:t>按上述方式进行分成。</w:t>
      </w:r>
    </w:p>
    <w:p w:rsidR="00862558" w:rsidRDefault="00862558" w:rsidP="00675016">
      <w:pPr>
        <w:pStyle w:val="a3"/>
        <w:spacing w:line="360" w:lineRule="auto"/>
        <w:ind w:left="420" w:firstLineChars="0" w:firstLine="0"/>
        <w:rPr>
          <w:sz w:val="24"/>
        </w:rPr>
      </w:pPr>
    </w:p>
    <w:p w:rsidR="002F7E4B" w:rsidRPr="00131A67" w:rsidRDefault="002F7E4B" w:rsidP="002F7E4B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131A67">
        <w:rPr>
          <w:b/>
          <w:sz w:val="24"/>
        </w:rPr>
        <w:t>合同</w:t>
      </w:r>
      <w:r w:rsidRPr="00131A67">
        <w:rPr>
          <w:rFonts w:hint="eastAsia"/>
          <w:b/>
          <w:sz w:val="24"/>
        </w:rPr>
        <w:t>效力</w:t>
      </w:r>
    </w:p>
    <w:p w:rsidR="00862558" w:rsidRPr="0047291E" w:rsidRDefault="002F7E4B" w:rsidP="0047291E">
      <w:pPr>
        <w:spacing w:line="360" w:lineRule="auto"/>
        <w:ind w:firstLine="420"/>
        <w:rPr>
          <w:rFonts w:hint="eastAsia"/>
          <w:sz w:val="24"/>
        </w:rPr>
      </w:pPr>
      <w:r w:rsidRPr="0047291E">
        <w:rPr>
          <w:rFonts w:hint="eastAsia"/>
          <w:sz w:val="24"/>
        </w:rPr>
        <w:t>本基金</w:t>
      </w:r>
      <w:r w:rsidR="00BF381B" w:rsidRPr="0047291E">
        <w:rPr>
          <w:rFonts w:hint="eastAsia"/>
          <w:sz w:val="24"/>
        </w:rPr>
        <w:t>一式三份</w:t>
      </w:r>
      <w:r w:rsidR="00BF381B" w:rsidRPr="0047291E">
        <w:rPr>
          <w:sz w:val="24"/>
        </w:rPr>
        <w:t>，甲、乙、丙三方</w:t>
      </w:r>
      <w:r w:rsidR="00BF381B" w:rsidRPr="0047291E">
        <w:rPr>
          <w:rFonts w:hint="eastAsia"/>
          <w:sz w:val="24"/>
        </w:rPr>
        <w:t>各持</w:t>
      </w:r>
      <w:r w:rsidR="00BF381B" w:rsidRPr="0047291E">
        <w:rPr>
          <w:sz w:val="24"/>
        </w:rPr>
        <w:t>一份</w:t>
      </w:r>
      <w:r w:rsidR="0012565E">
        <w:rPr>
          <w:rFonts w:hint="eastAsia"/>
          <w:sz w:val="24"/>
        </w:rPr>
        <w:t>，</w:t>
      </w:r>
      <w:r w:rsidR="00553B22">
        <w:rPr>
          <w:rFonts w:hint="eastAsia"/>
          <w:sz w:val="24"/>
        </w:rPr>
        <w:t>三方</w:t>
      </w:r>
      <w:r w:rsidR="00553B22">
        <w:rPr>
          <w:sz w:val="24"/>
        </w:rPr>
        <w:t>均</w:t>
      </w:r>
      <w:r w:rsidR="003273DC">
        <w:rPr>
          <w:sz w:val="24"/>
        </w:rPr>
        <w:t>签字后</w:t>
      </w:r>
      <w:r w:rsidR="003273DC">
        <w:rPr>
          <w:rFonts w:hint="eastAsia"/>
          <w:sz w:val="24"/>
        </w:rPr>
        <w:t>立即</w:t>
      </w:r>
      <w:r w:rsidR="0012565E">
        <w:rPr>
          <w:sz w:val="24"/>
        </w:rPr>
        <w:t>生效</w:t>
      </w:r>
      <w:r w:rsidR="00BF381B" w:rsidRPr="0047291E">
        <w:rPr>
          <w:sz w:val="24"/>
        </w:rPr>
        <w:t>。</w:t>
      </w:r>
      <w:r w:rsidR="003273DC" w:rsidRPr="00CD5C2C">
        <w:rPr>
          <w:rFonts w:hint="eastAsia"/>
          <w:sz w:val="24"/>
        </w:rPr>
        <w:t>《</w:t>
      </w:r>
      <w:r w:rsidR="003273DC" w:rsidRPr="00CD5C2C">
        <w:rPr>
          <w:rFonts w:hint="eastAsia"/>
          <w:sz w:val="24"/>
        </w:rPr>
        <w:t>GlobalQuant</w:t>
      </w:r>
      <w:r w:rsidR="003273DC" w:rsidRPr="00CD5C2C">
        <w:rPr>
          <w:sz w:val="24"/>
        </w:rPr>
        <w:t>数字货币一期</w:t>
      </w:r>
      <w:r w:rsidR="003273DC" w:rsidRPr="00CD5C2C">
        <w:rPr>
          <w:rFonts w:hint="eastAsia"/>
          <w:sz w:val="24"/>
        </w:rPr>
        <w:t>投资</w:t>
      </w:r>
      <w:r w:rsidR="003273DC" w:rsidRPr="00CD5C2C">
        <w:rPr>
          <w:sz w:val="24"/>
        </w:rPr>
        <w:t>基金</w:t>
      </w:r>
      <w:r w:rsidR="003273DC" w:rsidRPr="00CD5C2C">
        <w:rPr>
          <w:rFonts w:hint="eastAsia"/>
          <w:sz w:val="24"/>
        </w:rPr>
        <w:t>》</w:t>
      </w:r>
      <w:r w:rsidR="003273DC">
        <w:rPr>
          <w:rFonts w:hint="eastAsia"/>
          <w:sz w:val="24"/>
        </w:rPr>
        <w:t>合同</w:t>
      </w:r>
      <w:r w:rsidR="003273DC">
        <w:rPr>
          <w:sz w:val="24"/>
        </w:rPr>
        <w:t>结束后，本合同立即失效。</w:t>
      </w:r>
    </w:p>
    <w:p w:rsidR="0047291E" w:rsidRPr="0047291E" w:rsidRDefault="0047291E" w:rsidP="0047291E">
      <w:pPr>
        <w:pStyle w:val="a3"/>
        <w:spacing w:line="360" w:lineRule="auto"/>
        <w:ind w:left="420" w:firstLineChars="0" w:firstLine="0"/>
        <w:rPr>
          <w:rFonts w:hint="eastAsia"/>
          <w:sz w:val="24"/>
        </w:rPr>
      </w:pP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1"/>
        <w:gridCol w:w="2630"/>
        <w:gridCol w:w="2631"/>
      </w:tblGrid>
      <w:tr w:rsidR="00862558" w:rsidTr="00E017E4">
        <w:tc>
          <w:tcPr>
            <w:tcW w:w="2767" w:type="dxa"/>
          </w:tcPr>
          <w:p w:rsidR="00862558" w:rsidRPr="00862558" w:rsidRDefault="00862558" w:rsidP="00862558">
            <w:pPr>
              <w:spacing w:line="360" w:lineRule="auto"/>
              <w:rPr>
                <w:sz w:val="24"/>
              </w:rPr>
            </w:pPr>
            <w:r w:rsidRPr="00862558">
              <w:rPr>
                <w:rFonts w:hint="eastAsia"/>
                <w:sz w:val="24"/>
              </w:rPr>
              <w:t>甲方</w:t>
            </w:r>
            <w:r w:rsidRPr="00862558"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（盖章）</w:t>
            </w:r>
            <w:r w:rsidRPr="00862558">
              <w:rPr>
                <w:sz w:val="24"/>
              </w:rPr>
              <w:t>：</w:t>
            </w:r>
          </w:p>
          <w:p w:rsidR="00862558" w:rsidRDefault="00862558" w:rsidP="00675016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</w:p>
          <w:p w:rsidR="00862558" w:rsidRDefault="00862558" w:rsidP="00675016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</w:p>
        </w:tc>
        <w:tc>
          <w:tcPr>
            <w:tcW w:w="2767" w:type="dxa"/>
          </w:tcPr>
          <w:p w:rsidR="00862558" w:rsidRPr="00862558" w:rsidRDefault="00862558" w:rsidP="00862558">
            <w:pPr>
              <w:spacing w:line="360" w:lineRule="auto"/>
              <w:rPr>
                <w:rFonts w:hint="eastAsia"/>
                <w:sz w:val="24"/>
              </w:rPr>
            </w:pPr>
            <w:r w:rsidRPr="00862558">
              <w:rPr>
                <w:rFonts w:hint="eastAsia"/>
                <w:sz w:val="24"/>
              </w:rPr>
              <w:t>乙方</w:t>
            </w:r>
            <w:r w:rsidRPr="00862558"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（盖章）</w:t>
            </w:r>
            <w:r>
              <w:rPr>
                <w:rFonts w:hint="eastAsia"/>
                <w:sz w:val="24"/>
              </w:rPr>
              <w:t>：</w:t>
            </w:r>
          </w:p>
          <w:p w:rsidR="00862558" w:rsidRDefault="00862558" w:rsidP="00675016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</w:p>
        </w:tc>
        <w:tc>
          <w:tcPr>
            <w:tcW w:w="2768" w:type="dxa"/>
          </w:tcPr>
          <w:p w:rsidR="00862558" w:rsidRDefault="00862558" w:rsidP="00675016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丙方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（盖章）</w:t>
            </w:r>
            <w:r>
              <w:rPr>
                <w:sz w:val="24"/>
              </w:rPr>
              <w:t>：</w:t>
            </w:r>
          </w:p>
        </w:tc>
      </w:tr>
      <w:tr w:rsidR="00862558" w:rsidTr="00E017E4">
        <w:tc>
          <w:tcPr>
            <w:tcW w:w="2767" w:type="dxa"/>
          </w:tcPr>
          <w:p w:rsidR="00862558" w:rsidRDefault="00862558" w:rsidP="00675016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：</w:t>
            </w:r>
          </w:p>
        </w:tc>
        <w:tc>
          <w:tcPr>
            <w:tcW w:w="2767" w:type="dxa"/>
          </w:tcPr>
          <w:p w:rsidR="00862558" w:rsidRDefault="00862558" w:rsidP="00675016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：</w:t>
            </w:r>
          </w:p>
        </w:tc>
        <w:tc>
          <w:tcPr>
            <w:tcW w:w="2768" w:type="dxa"/>
          </w:tcPr>
          <w:p w:rsidR="00862558" w:rsidRDefault="00862558" w:rsidP="00675016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：</w:t>
            </w:r>
          </w:p>
        </w:tc>
      </w:tr>
    </w:tbl>
    <w:p w:rsidR="00862558" w:rsidRDefault="00862558" w:rsidP="00675016">
      <w:pPr>
        <w:pStyle w:val="a3"/>
        <w:spacing w:line="360" w:lineRule="auto"/>
        <w:ind w:left="420" w:firstLineChars="0" w:firstLine="0"/>
        <w:rPr>
          <w:sz w:val="24"/>
        </w:rPr>
      </w:pPr>
    </w:p>
    <w:sectPr w:rsidR="00862558" w:rsidSect="002634A8">
      <w:pgSz w:w="11906" w:h="16838" w:code="9"/>
      <w:pgMar w:top="1440" w:right="1797" w:bottom="1440" w:left="1797" w:header="851" w:footer="992" w:gutter="0"/>
      <w:cols w:space="425"/>
      <w:docGrid w:type="linesAndChars" w:linePitch="3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914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6E86F27"/>
    <w:multiLevelType w:val="hybridMultilevel"/>
    <w:tmpl w:val="1424EE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79D"/>
    <w:multiLevelType w:val="hybridMultilevel"/>
    <w:tmpl w:val="AA643030"/>
    <w:lvl w:ilvl="0" w:tplc="694C0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864A90"/>
    <w:multiLevelType w:val="hybridMultilevel"/>
    <w:tmpl w:val="FECEB238"/>
    <w:lvl w:ilvl="0" w:tplc="618254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884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65743FD"/>
    <w:multiLevelType w:val="hybridMultilevel"/>
    <w:tmpl w:val="50AC4606"/>
    <w:lvl w:ilvl="0" w:tplc="9B0E11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CF5482"/>
    <w:multiLevelType w:val="hybridMultilevel"/>
    <w:tmpl w:val="B8F2B65C"/>
    <w:lvl w:ilvl="0" w:tplc="41604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31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A8"/>
    <w:rsid w:val="00005A1B"/>
    <w:rsid w:val="00032495"/>
    <w:rsid w:val="0005356B"/>
    <w:rsid w:val="00053629"/>
    <w:rsid w:val="00055293"/>
    <w:rsid w:val="000906BB"/>
    <w:rsid w:val="000B09AB"/>
    <w:rsid w:val="000B7847"/>
    <w:rsid w:val="000C4AD9"/>
    <w:rsid w:val="001238D3"/>
    <w:rsid w:val="0012565E"/>
    <w:rsid w:val="00131A67"/>
    <w:rsid w:val="001415E0"/>
    <w:rsid w:val="0014715D"/>
    <w:rsid w:val="001541A5"/>
    <w:rsid w:val="0016582D"/>
    <w:rsid w:val="00186D8B"/>
    <w:rsid w:val="001A284C"/>
    <w:rsid w:val="001A34ED"/>
    <w:rsid w:val="001A76A0"/>
    <w:rsid w:val="001B4566"/>
    <w:rsid w:val="0025033B"/>
    <w:rsid w:val="00250A2F"/>
    <w:rsid w:val="0025334B"/>
    <w:rsid w:val="002634A8"/>
    <w:rsid w:val="00273BAE"/>
    <w:rsid w:val="00292F82"/>
    <w:rsid w:val="002B4423"/>
    <w:rsid w:val="002F7E4B"/>
    <w:rsid w:val="00322F7A"/>
    <w:rsid w:val="003273DC"/>
    <w:rsid w:val="0033360D"/>
    <w:rsid w:val="00341B07"/>
    <w:rsid w:val="00343AF6"/>
    <w:rsid w:val="0034489B"/>
    <w:rsid w:val="00347248"/>
    <w:rsid w:val="003773FE"/>
    <w:rsid w:val="003B6134"/>
    <w:rsid w:val="00422357"/>
    <w:rsid w:val="00431594"/>
    <w:rsid w:val="00463B36"/>
    <w:rsid w:val="00464E48"/>
    <w:rsid w:val="0047291E"/>
    <w:rsid w:val="004A7A63"/>
    <w:rsid w:val="004F420E"/>
    <w:rsid w:val="00526634"/>
    <w:rsid w:val="00553B22"/>
    <w:rsid w:val="00571F75"/>
    <w:rsid w:val="005831A8"/>
    <w:rsid w:val="005A5251"/>
    <w:rsid w:val="005C0837"/>
    <w:rsid w:val="005E0B66"/>
    <w:rsid w:val="005E22ED"/>
    <w:rsid w:val="005E2E4F"/>
    <w:rsid w:val="005E557B"/>
    <w:rsid w:val="00650115"/>
    <w:rsid w:val="00660373"/>
    <w:rsid w:val="0067330C"/>
    <w:rsid w:val="00675016"/>
    <w:rsid w:val="00686FD3"/>
    <w:rsid w:val="0068757F"/>
    <w:rsid w:val="006974EF"/>
    <w:rsid w:val="006A15F8"/>
    <w:rsid w:val="006A607A"/>
    <w:rsid w:val="006B5C81"/>
    <w:rsid w:val="006D653B"/>
    <w:rsid w:val="0070756B"/>
    <w:rsid w:val="0072764B"/>
    <w:rsid w:val="00750C66"/>
    <w:rsid w:val="007578D4"/>
    <w:rsid w:val="0078412A"/>
    <w:rsid w:val="007B4E33"/>
    <w:rsid w:val="008247BF"/>
    <w:rsid w:val="00835A24"/>
    <w:rsid w:val="00851C19"/>
    <w:rsid w:val="00862558"/>
    <w:rsid w:val="00875A8B"/>
    <w:rsid w:val="00875F62"/>
    <w:rsid w:val="00884986"/>
    <w:rsid w:val="008A200E"/>
    <w:rsid w:val="008B100B"/>
    <w:rsid w:val="008B26EB"/>
    <w:rsid w:val="008E07CC"/>
    <w:rsid w:val="009024F1"/>
    <w:rsid w:val="009409C0"/>
    <w:rsid w:val="00981DC3"/>
    <w:rsid w:val="00993624"/>
    <w:rsid w:val="009A22CF"/>
    <w:rsid w:val="009A5D1F"/>
    <w:rsid w:val="009B231E"/>
    <w:rsid w:val="009C2464"/>
    <w:rsid w:val="009F0917"/>
    <w:rsid w:val="00A1740E"/>
    <w:rsid w:val="00A31B59"/>
    <w:rsid w:val="00A867E6"/>
    <w:rsid w:val="00A87938"/>
    <w:rsid w:val="00AC5A99"/>
    <w:rsid w:val="00B13D96"/>
    <w:rsid w:val="00B20FF2"/>
    <w:rsid w:val="00B40589"/>
    <w:rsid w:val="00B55BC8"/>
    <w:rsid w:val="00B74E1D"/>
    <w:rsid w:val="00B874B8"/>
    <w:rsid w:val="00BC5038"/>
    <w:rsid w:val="00BC5903"/>
    <w:rsid w:val="00BC5AC3"/>
    <w:rsid w:val="00BE6C50"/>
    <w:rsid w:val="00BF381B"/>
    <w:rsid w:val="00C06E42"/>
    <w:rsid w:val="00C253CD"/>
    <w:rsid w:val="00C70989"/>
    <w:rsid w:val="00C85A03"/>
    <w:rsid w:val="00C93CFD"/>
    <w:rsid w:val="00CA61AE"/>
    <w:rsid w:val="00CD5C2C"/>
    <w:rsid w:val="00D62142"/>
    <w:rsid w:val="00D94661"/>
    <w:rsid w:val="00DA1AC1"/>
    <w:rsid w:val="00DA4A3E"/>
    <w:rsid w:val="00DF0422"/>
    <w:rsid w:val="00E017E4"/>
    <w:rsid w:val="00E10480"/>
    <w:rsid w:val="00E12DFF"/>
    <w:rsid w:val="00E262EC"/>
    <w:rsid w:val="00E317A6"/>
    <w:rsid w:val="00E55A99"/>
    <w:rsid w:val="00E66B45"/>
    <w:rsid w:val="00E911B2"/>
    <w:rsid w:val="00EA324F"/>
    <w:rsid w:val="00EB78AF"/>
    <w:rsid w:val="00EF1C18"/>
    <w:rsid w:val="00F04C15"/>
    <w:rsid w:val="00F41684"/>
    <w:rsid w:val="00F51CB9"/>
    <w:rsid w:val="00F935DE"/>
    <w:rsid w:val="00FA6B70"/>
    <w:rsid w:val="00FA7134"/>
    <w:rsid w:val="00FD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AD69F-DC51-4B81-8C02-DFF1480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422"/>
    <w:pPr>
      <w:ind w:firstLineChars="200" w:firstLine="420"/>
    </w:pPr>
  </w:style>
  <w:style w:type="table" w:styleId="a4">
    <w:name w:val="Table Grid"/>
    <w:basedOn w:val="a1"/>
    <w:uiPriority w:val="39"/>
    <w:rsid w:val="00862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何丽峰</dc:creator>
  <cp:keywords/>
  <dc:description/>
  <cp:lastModifiedBy>何丽峰</cp:lastModifiedBy>
  <cp:revision>96</cp:revision>
  <dcterms:created xsi:type="dcterms:W3CDTF">2018-04-24T10:55:00Z</dcterms:created>
  <dcterms:modified xsi:type="dcterms:W3CDTF">2018-04-24T11:27:00Z</dcterms:modified>
</cp:coreProperties>
</file>