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5276" w:sz="1"/>
              <w:left w:val="single" w:color="1A5276" w:sz="1"/>
              <w:bottom w:val="single" w:color="1A5276" w:sz="1"/>
              <w:right w:val="single" w:color="1A5276" w:sz="1"/>
            </w:tcBorders>
            <w:shd w:fill="1A5276" w:val="clear"/>
            <w:tcMar>
              <w:top w:type="dxa" w:w="200"/>
              <w:left w:type="dxa" w:w="240"/>
              <w:bottom w:type="dxa" w:w="200"/>
              <w:right w:type="dxa" w:w="240"/>
            </w:tcMar>
          </w:tcPr>
          <w:p>
            <w:pPr>
              <w:spacing w:after="40" w:before="60"/>
              <w:jc w:val="center"/>
            </w:pPr>
            <w:r>
              <w:rPr>
                <w:rFonts w:ascii="Arial" w:cs="Arial" w:eastAsia="Arial" w:hAnsi="Arial"/>
                <w:b/>
                <w:bCs/>
                <w:color w:val="FFFFFF"/>
                <w:sz w:val="20"/>
                <w:szCs w:val="20"/>
              </w:rPr>
              <w:t xml:space="preserve">ODOO 17 CUSTOM MODULE SPECIFICATION</w:t>
            </w:r>
          </w:p>
          <w:p>
            <w:pPr>
              <w:spacing w:after="60" w:before="0"/>
              <w:jc w:val="center"/>
            </w:pPr>
            <w:r>
              <w:rPr>
                <w:rFonts w:ascii="Arial" w:cs="Arial" w:eastAsia="Arial" w:hAnsi="Arial"/>
                <w:color w:val="BBCCBB"/>
                <w:sz w:val="18"/>
                <w:szCs w:val="18"/>
              </w:rPr>
              <w:t xml:space="preserve">Module 14 of 25  |  Finance Series</w:t>
            </w:r>
          </w:p>
          <w:p>
            <w:pPr>
              <w:spacing w:after="40" w:before="40"/>
              <w:jc w:val="center"/>
            </w:pPr>
            <w:r>
              <w:rPr>
                <w:rFonts w:ascii="Arial" w:cs="Arial" w:eastAsia="Arial" w:hAnsi="Arial"/>
                <w:b/>
                <w:bCs/>
                <w:color w:val="E8A020"/>
                <w:sz w:val="36"/>
                <w:szCs w:val="36"/>
              </w:rPr>
              <w:t xml:space="preserve">C8  |  BatchJobs</w:t>
            </w:r>
          </w:p>
          <w:p>
            <w:pPr>
              <w:spacing w:after="60" w:before="20"/>
              <w:jc w:val="center"/>
            </w:pPr>
            <w:r>
              <w:rPr>
                <w:rFonts w:ascii="Arial" w:cs="Arial" w:eastAsia="Arial" w:hAnsi="Arial"/>
                <w:color w:val="BBCCBB"/>
                <w:sz w:val="22"/>
                <w:szCs w:val="22"/>
              </w:rPr>
              <w:t xml:space="preserve">Scheduled Batch Jobs — المهام المجدولة — 6 ir.cron jobs replacing D365 AOS batch</w:t>
            </w:r>
          </w:p>
          <w:p>
            <w:pPr>
              <w:spacing w:after="40" w:before="40"/>
              <w:jc w:val="center"/>
            </w:pPr>
            <w:r>
              <w:rPr>
                <w:rFonts w:ascii="Arial" w:cs="Arial" w:eastAsia="Arial" w:hAnsi="Arial"/>
                <w:color w:val="FFFFFF"/>
                <w:sz w:val="19"/>
                <w:szCs w:val="19"/>
              </w:rPr>
              <w:t xml:space="preserve">الديوان العام لمحافظة بورسعيد  |  Paradise Integrated Solutions</w:t>
            </w:r>
          </w:p>
          <w:p>
            <w:pPr>
              <w:spacing w:after="80" w:before="0"/>
              <w:jc w:val="center"/>
            </w:pPr>
            <w:r>
              <w:rPr>
                <w:rFonts w:ascii="Arial" w:cs="Arial" w:eastAsia="Arial" w:hAnsi="Arial"/>
                <w:color w:val="99AAAA"/>
                <w:sz w:val="17"/>
                <w:szCs w:val="17"/>
              </w:rPr>
              <w:t xml:space="preserve">D365 F&amp;O → Odoo 17  |  Finance Module C8 — ir.cron equivalents of D365 scheduled tasks</w:t>
            </w:r>
          </w:p>
        </w:tc>
      </w:tr>
    </w:tbl>
    <w:p>
      <w:pPr>
        <w:spacing w:after="50" w:before="50"/>
        <w:jc w:val="left"/>
      </w:pPr>
      <w:r>
        <w:rPr>
          <w:rFonts w:ascii="Arial" w:cs="Arial" w:eastAsia="Arial" w:hAnsi="Arial"/>
          <w:b w:val="false"/>
          <w:bCs w:val="false"/>
          <w:i w:val="false"/>
          <w:iCs w:val="false"/>
          <w:color w:val="1A1A1A"/>
          <w:sz w:val="20"/>
          <w:szCs w:val="20"/>
        </w:rPr>
        <w:t xml:space="preserve"/>
      </w:r>
    </w:p>
    <w:p>
      <w:pPr>
        <w:spacing w:after="50" w:before="50"/>
        <w:jc w:val="left"/>
      </w:pPr>
      <w:r>
        <w:rPr>
          <w:rFonts w:ascii="Arial" w:cs="Arial" w:eastAsia="Arial" w:hAnsi="Arial"/>
          <w:b w:val="false"/>
          <w:bCs w:val="false"/>
          <w:i w:val="false"/>
          <w:iCs w:val="false"/>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00"/>
        <w:gridCol w:w="2660"/>
      </w:tblGrid>
      <w:tr>
        <w:tc>
          <w:tcPr>
            <w:tcW w:type="dxa" w:w="2000"/>
            <w:tcBorders>
              <w:top w:val="single" w:color="DDDDDD" w:sz="1"/>
              <w:left w:val="single" w:color="DDDDDD" w:sz="1"/>
              <w:bottom w:val="single" w:color="DDDDDD" w:sz="1"/>
              <w:right w:val="single" w:color="DDDDDD" w:sz="1"/>
            </w:tcBorders>
            <w:shd w:fill="D4E6F1"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Module ID</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C8</w:t>
            </w:r>
          </w:p>
        </w:tc>
        <w:tc>
          <w:tcPr>
            <w:tcW w:type="dxa" w:w="2000"/>
            <w:tcBorders>
              <w:top w:val="single" w:color="DDDDDD" w:sz="1"/>
              <w:left w:val="single" w:color="DDDDDD" w:sz="1"/>
              <w:bottom w:val="single" w:color="DDDDDD" w:sz="1"/>
              <w:right w:val="single" w:color="DDDDDD" w:sz="1"/>
            </w:tcBorders>
            <w:shd w:fill="D4E6F1"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Version</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1.0</w:t>
            </w:r>
          </w:p>
        </w:tc>
      </w:tr>
      <w:tr>
        <w:tc>
          <w:tcPr>
            <w:tcW w:type="dxa" w:w="2000"/>
            <w:tcBorders>
              <w:top w:val="single" w:color="DDDDDD" w:sz="1"/>
              <w:left w:val="single" w:color="DDDDDD" w:sz="1"/>
              <w:bottom w:val="single" w:color="DDDDDD" w:sz="1"/>
              <w:right w:val="single" w:color="DDDDDD" w:sz="1"/>
            </w:tcBorders>
            <w:shd w:fill="D4E6F1"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Module Name</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BatchJobs</w:t>
            </w:r>
          </w:p>
        </w:tc>
        <w:tc>
          <w:tcPr>
            <w:tcW w:type="dxa" w:w="2000"/>
            <w:tcBorders>
              <w:top w:val="single" w:color="DDDDDD" w:sz="1"/>
              <w:left w:val="single" w:color="DDDDDD" w:sz="1"/>
              <w:bottom w:val="single" w:color="DDDDDD" w:sz="1"/>
              <w:right w:val="single" w:color="DDDDDD" w:sz="1"/>
            </w:tcBorders>
            <w:shd w:fill="D4E6F1"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Status</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Approved</w:t>
            </w:r>
          </w:p>
        </w:tc>
      </w:tr>
      <w:tr>
        <w:tc>
          <w:tcPr>
            <w:tcW w:type="dxa" w:w="2000"/>
            <w:tcBorders>
              <w:top w:val="single" w:color="DDDDDD" w:sz="1"/>
              <w:left w:val="single" w:color="DDDDDD" w:sz="1"/>
              <w:bottom w:val="single" w:color="DDDDDD" w:sz="1"/>
              <w:right w:val="single" w:color="DDDDDD" w:sz="1"/>
            </w:tcBorders>
            <w:shd w:fill="D4E6F1"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Est. Hours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35h</w:t>
            </w:r>
          </w:p>
        </w:tc>
        <w:tc>
          <w:tcPr>
            <w:tcW w:type="dxa" w:w="2000"/>
            <w:tcBorders>
              <w:top w:val="single" w:color="DDDDDD" w:sz="1"/>
              <w:left w:val="single" w:color="DDDDDD" w:sz="1"/>
              <w:bottom w:val="single" w:color="DDDDDD" w:sz="1"/>
              <w:right w:val="single" w:color="DDDDDD" w:sz="1"/>
            </w:tcBorders>
            <w:shd w:fill="D4E6F1"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Priority</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3"/>
                <w:sz w:val="17"/>
                <w:szCs w:val="17"/>
              </w:rPr>
              <w:t xml:space="preserve">HIGH</w:t>
            </w:r>
          </w:p>
        </w:tc>
      </w:tr>
      <w:tr>
        <w:tc>
          <w:tcPr>
            <w:tcW w:type="dxa" w:w="2000"/>
            <w:tcBorders>
              <w:top w:val="single" w:color="DDDDDD" w:sz="1"/>
              <w:left w:val="single" w:color="DDDDDD" w:sz="1"/>
              <w:bottom w:val="single" w:color="DDDDDD" w:sz="1"/>
              <w:right w:val="single" w:color="DDDDDD" w:sz="1"/>
            </w:tcBorders>
            <w:shd w:fill="D4E6F1"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Developer</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OD-D (Omar H.)</w:t>
            </w:r>
          </w:p>
        </w:tc>
        <w:tc>
          <w:tcPr>
            <w:tcW w:type="dxa" w:w="2000"/>
            <w:tcBorders>
              <w:top w:val="single" w:color="DDDDDD" w:sz="1"/>
              <w:left w:val="single" w:color="DDDDDD" w:sz="1"/>
              <w:bottom w:val="single" w:color="DDDDDD" w:sz="1"/>
              <w:right w:val="single" w:color="DDDDDD" w:sz="1"/>
            </w:tcBorders>
            <w:shd w:fill="D4E6F1"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Phase</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Phase 5 — Week 13</w:t>
            </w:r>
          </w:p>
        </w:tc>
      </w:tr>
      <w:tr>
        <w:tc>
          <w:tcPr>
            <w:tcW w:type="dxa" w:w="2000"/>
            <w:tcBorders>
              <w:top w:val="single" w:color="DDDDDD" w:sz="1"/>
              <w:left w:val="single" w:color="DDDDDD" w:sz="1"/>
              <w:bottom w:val="single" w:color="DDDDDD" w:sz="1"/>
              <w:right w:val="single" w:color="DDDDDD" w:sz="1"/>
            </w:tcBorders>
            <w:shd w:fill="D4E6F1"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D365 Equiv.</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6 AOS batch classes: CommitmentSync, TaxPortalSync, InventoryAging, CustodyReport, BudgetReconciliation, VendorStatement</w:t>
            </w:r>
          </w:p>
        </w:tc>
        <w:tc>
          <w:tcPr>
            <w:tcW w:type="dxa" w:w="2000"/>
            <w:tcBorders>
              <w:top w:val="single" w:color="DDDDDD" w:sz="1"/>
              <w:left w:val="single" w:color="DDDDDD" w:sz="1"/>
              <w:bottom w:val="single" w:color="DDDDDD" w:sz="1"/>
              <w:right w:val="single" w:color="DDDDDD" w:sz="1"/>
            </w:tcBorders>
            <w:shd w:fill="D4E6F1"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Odoo Approach</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6 ir.cron records calling methods on existing C1/C4/C12 models</w:t>
            </w:r>
          </w:p>
        </w:tc>
      </w:tr>
      <w:tr>
        <w:tc>
          <w:tcPr>
            <w:tcW w:type="dxa" w:w="2000"/>
            <w:tcBorders>
              <w:top w:val="single" w:color="DDDDDD" w:sz="1"/>
              <w:left w:val="single" w:color="DDDDDD" w:sz="1"/>
              <w:bottom w:val="single" w:color="DDDDDD" w:sz="1"/>
              <w:right w:val="single" w:color="DDDDDD" w:sz="1"/>
            </w:tcBorders>
            <w:shd w:fill="D4E6F1"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Depends On</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C1 CommitmentLedger, C4 AgingReport, C12 PersonalCustody, account_budget</w:t>
            </w:r>
          </w:p>
        </w:tc>
        <w:tc>
          <w:tcPr>
            <w:tcW w:type="dxa" w:w="2000"/>
            <w:tcBorders>
              <w:top w:val="single" w:color="DDDDDD" w:sz="1"/>
              <w:left w:val="single" w:color="DDDDDD" w:sz="1"/>
              <w:bottom w:val="single" w:color="DDDDDD" w:sz="1"/>
              <w:right w:val="single" w:color="DDDDDD" w:sz="1"/>
            </w:tcBorders>
            <w:shd w:fill="D4E6F1"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Git Tag</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v1.0-C8</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A5276" w:sz="8" w:space="4"/>
        </w:pBdr>
        <w:spacing w:after="150" w:before="300"/>
      </w:pPr>
      <w:r>
        <w:rPr>
          <w:rFonts w:ascii="Arial" w:cs="Arial" w:eastAsia="Arial" w:hAnsi="Arial"/>
          <w:b/>
          <w:bCs/>
          <w:color w:val="1A5276"/>
          <w:sz w:val="28"/>
          <w:szCs w:val="28"/>
        </w:rPr>
        <w:t xml:space="preserve">1. Purpose &amp; Overview</w:t>
      </w:r>
    </w:p>
    <w:p>
      <w:pPr>
        <w:spacing w:after="80" w:before="80"/>
        <w:jc w:val="left"/>
      </w:pPr>
      <w:r>
        <w:rPr>
          <w:rFonts w:ascii="Arial" w:cs="Arial" w:eastAsia="Arial" w:hAnsi="Arial"/>
          <w:b w:val="false"/>
          <w:bCs w:val="false"/>
          <w:i w:val="false"/>
          <w:iCs w:val="false"/>
          <w:color w:val="1A1A1A"/>
          <w:sz w:val="20"/>
          <w:szCs w:val="20"/>
        </w:rPr>
        <w:t xml:space="preserve">C8 BatchJobs creates the Odoo ir.cron equivalents of the six scheduled batch jobs that ran nightly/weekly/monthly on the D365 AOS server. These jobs maintain data consistency, generate periodic reports, and handle integrations that cannot be run synchronously. C8 is a thin module — it contains no new models, only ir.cron records and the cron method implementations on models already defined in C1, C4, and C12.</w:t>
      </w:r>
    </w:p>
    <w:p>
      <w:pPr>
        <w:spacing w:after="50" w:before="50"/>
        <w:jc w:val="left"/>
      </w:pPr>
      <w:r>
        <w:rPr>
          <w:rFonts w:ascii="Arial" w:cs="Arial" w:eastAsia="Arial" w:hAnsi="Arial"/>
          <w:b w:val="false"/>
          <w:bCs w:val="false"/>
          <w:i w:val="false"/>
          <w:iCs w:val="false"/>
          <w:color w:val="1A1A1A"/>
          <w:sz w:val="20"/>
          <w:szCs w:val="20"/>
        </w:rPr>
        <w:t xml:space="preserve"/>
      </w:r>
    </w:p>
    <w:p>
      <w:pPr>
        <w:spacing w:after="80" w:before="80"/>
        <w:jc w:val="left"/>
      </w:pPr>
      <w:r>
        <w:rPr>
          <w:rFonts w:ascii="Arial" w:cs="Arial" w:eastAsia="Arial" w:hAnsi="Arial"/>
          <w:b/>
          <w:bCs/>
          <w:i w:val="false"/>
          <w:iCs w:val="false"/>
          <w:color w:val="C0392B"/>
          <w:sz w:val="20"/>
          <w:szCs w:val="20"/>
        </w:rPr>
        <w:t xml:space="preserve">Note: TaxPortalSync (CR-001) was updated in Week 19 of the project to use OAuth2 authentication after the Egyptian Tax Authority changed their API endpoint. This update is included in C8 v1.0.</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A5276" w:sz="8" w:space="4"/>
        </w:pBdr>
        <w:spacing w:after="150" w:before="300"/>
      </w:pPr>
      <w:r>
        <w:rPr>
          <w:rFonts w:ascii="Arial" w:cs="Arial" w:eastAsia="Arial" w:hAnsi="Arial"/>
          <w:b/>
          <w:bCs/>
          <w:color w:val="1A5276"/>
          <w:sz w:val="28"/>
          <w:szCs w:val="28"/>
        </w:rPr>
        <w:t xml:space="preserve">2. Cron Job Registry — 6 Jobs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2200"/>
        <w:gridCol w:w="2760"/>
      </w:tblGrid>
      <w:tr>
        <w:tc>
          <w:tcPr>
            <w:tcW w:type="dxa" w:w="18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Job ID</w:t>
            </w:r>
          </w:p>
        </w:tc>
        <w:tc>
          <w:tcPr>
            <w:tcW w:type="dxa" w:w="20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Arabic Name</w:t>
            </w:r>
          </w:p>
        </w:tc>
        <w:tc>
          <w:tcPr>
            <w:tcW w:type="dxa" w:w="14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Schedule</w:t>
            </w:r>
          </w:p>
        </w:tc>
        <w:tc>
          <w:tcPr>
            <w:tcW w:type="dxa" w:w="22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 Called</w:t>
            </w:r>
          </w:p>
        </w:tc>
        <w:tc>
          <w:tcPr>
            <w:tcW w:type="dxa" w:w="276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5276"/>
                <w:sz w:val="16"/>
                <w:szCs w:val="16"/>
              </w:rPr>
              <w:t xml:space="preserve">CommitmentSync</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مزامنة الالتزامات</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5"/>
                <w:szCs w:val="15"/>
              </w:rPr>
              <w:t xml:space="preserve">Daily 23:00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C3483"/>
                <w:sz w:val="14"/>
                <w:szCs w:val="14"/>
              </w:rPr>
              <w:t xml:space="preserve">l10n_eg_commitment._sync_commitment_balances()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Reconciles commitment.line amounts vs actual stock.move and account.move data. Logs discrepancies for finance team review.</w:t>
            </w:r>
          </w:p>
        </w:tc>
      </w:tr>
      <w:tr>
        <w:tc>
          <w:tcPr>
            <w:tcW w:type="dxa" w:w="1800"/>
            <w:tcBorders>
              <w:top w:val="single" w:color="DDDDDD" w:sz="1"/>
              <w:left w:val="single" w:color="DDDDDD" w:sz="1"/>
              <w:bottom w:val="single" w:color="DDDDDD" w:sz="1"/>
              <w:right w:val="single" w:color="DDDDDD" w:sz="1"/>
            </w:tcBorders>
            <w:shd w:fill="D4E6F1" w:val="clear"/>
            <w:tcMar>
              <w:top w:type="dxa" w:w="80"/>
              <w:left w:type="dxa" w:w="120"/>
              <w:bottom w:type="dxa" w:w="80"/>
              <w:right w:type="dxa" w:w="120"/>
            </w:tcMar>
            <w:vAlign w:val="center"/>
          </w:tcPr>
          <w:p>
            <w:pPr>
              <w:jc w:val="left"/>
            </w:pPr>
            <w:r>
              <w:rPr>
                <w:rFonts w:ascii="Arial" w:cs="Arial" w:eastAsia="Arial" w:hAnsi="Arial"/>
                <w:b/>
                <w:bCs/>
                <w:color w:val="1A5276"/>
                <w:sz w:val="16"/>
                <w:szCs w:val="16"/>
              </w:rPr>
              <w:t xml:space="preserve">TaxPortalSync</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مزامنة بوابة الضرائب</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5"/>
                <w:szCs w:val="15"/>
              </w:rPr>
              <w:t xml:space="preserve">Monthly (1st, 02:00)</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6C3483"/>
                <w:sz w:val="14"/>
                <w:szCs w:val="14"/>
              </w:rPr>
              <w:t xml:space="preserve">l10n_eg_tax_portal._sync_tax_portal()</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EDI sync with Egyptian Tax Authority portal. OAuth2 authentication (CR-001 fix applied). Submits VAT return data for the previous month.</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5276"/>
                <w:sz w:val="16"/>
                <w:szCs w:val="16"/>
              </w:rPr>
              <w:t xml:space="preserve">InventoryAging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تقرير أعمار المخزون</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5"/>
                <w:szCs w:val="15"/>
              </w:rPr>
              <w:t xml:space="preserve">Weekly Sunday 01:00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C3483"/>
                <w:sz w:val="14"/>
                <w:szCs w:val="14"/>
              </w:rPr>
              <w:t xml:space="preserve">l10n_eg_aging._compute_inventory_aging()</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Runs slow-moving stock aging computation. Flags items with zero movement &gt;180 days. Sends report to أمين المخزن by email.</w:t>
            </w:r>
          </w:p>
        </w:tc>
      </w:tr>
      <w:tr>
        <w:tc>
          <w:tcPr>
            <w:tcW w:type="dxa" w:w="1800"/>
            <w:tcBorders>
              <w:top w:val="single" w:color="DDDDDD" w:sz="1"/>
              <w:left w:val="single" w:color="DDDDDD" w:sz="1"/>
              <w:bottom w:val="single" w:color="DDDDDD" w:sz="1"/>
              <w:right w:val="single" w:color="DDDDDD" w:sz="1"/>
            </w:tcBorders>
            <w:shd w:fill="D4E6F1" w:val="clear"/>
            <w:tcMar>
              <w:top w:type="dxa" w:w="80"/>
              <w:left w:type="dxa" w:w="120"/>
              <w:bottom w:type="dxa" w:w="80"/>
              <w:right w:type="dxa" w:w="120"/>
            </w:tcMar>
            <w:vAlign w:val="center"/>
          </w:tcPr>
          <w:p>
            <w:pPr>
              <w:jc w:val="left"/>
            </w:pPr>
            <w:r>
              <w:rPr>
                <w:rFonts w:ascii="Arial" w:cs="Arial" w:eastAsia="Arial" w:hAnsi="Arial"/>
                <w:b/>
                <w:bCs/>
                <w:color w:val="1A5276"/>
                <w:sz w:val="16"/>
                <w:szCs w:val="16"/>
              </w:rPr>
              <w:t xml:space="preserve">CustodyReport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تقرير العهدة الدورية</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5"/>
                <w:szCs w:val="15"/>
              </w:rPr>
              <w:t xml:space="preserve">Quarterly (1st of Q, 06:00)</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6C3483"/>
                <w:sz w:val="14"/>
                <w:szCs w:val="14"/>
              </w:rPr>
              <w:t xml:space="preserve">l10n_eg_custody._generate_quarterly_report()</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Generates full كشف عهدة per department. Emails Director of Finance and department heads.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5276"/>
                <w:sz w:val="16"/>
                <w:szCs w:val="16"/>
              </w:rPr>
              <w:t xml:space="preserve">BudgetReconciliation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مطابقة الميزانية</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5"/>
                <w:szCs w:val="15"/>
              </w:rPr>
              <w:t xml:space="preserve">Daily 01:00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C3483"/>
                <w:sz w:val="14"/>
                <w:szCs w:val="14"/>
              </w:rPr>
              <w:t xml:space="preserve">l10n_eg_commitment._reconcile_budget_vs_committed()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Compares crossovered.budget.lines.planned_amount vs committed+invoiced. Alerts finance team if any budget line exceeds 90% utilisation.</w:t>
            </w:r>
          </w:p>
        </w:tc>
      </w:tr>
      <w:tr>
        <w:tc>
          <w:tcPr>
            <w:tcW w:type="dxa" w:w="1800"/>
            <w:tcBorders>
              <w:top w:val="single" w:color="DDDDDD" w:sz="1"/>
              <w:left w:val="single" w:color="DDDDDD" w:sz="1"/>
              <w:bottom w:val="single" w:color="DDDDDD" w:sz="1"/>
              <w:right w:val="single" w:color="DDDDDD" w:sz="1"/>
            </w:tcBorders>
            <w:shd w:fill="D4E6F1" w:val="clear"/>
            <w:tcMar>
              <w:top w:type="dxa" w:w="80"/>
              <w:left w:type="dxa" w:w="120"/>
              <w:bottom w:type="dxa" w:w="80"/>
              <w:right w:type="dxa" w:w="120"/>
            </w:tcMar>
            <w:vAlign w:val="center"/>
          </w:tcPr>
          <w:p>
            <w:pPr>
              <w:jc w:val="left"/>
            </w:pPr>
            <w:r>
              <w:rPr>
                <w:rFonts w:ascii="Arial" w:cs="Arial" w:eastAsia="Arial" w:hAnsi="Arial"/>
                <w:b/>
                <w:bCs/>
                <w:color w:val="1A5276"/>
                <w:sz w:val="16"/>
                <w:szCs w:val="16"/>
              </w:rPr>
              <w:t xml:space="preserve">VendorStatement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كشف حساب الموردين</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5"/>
                <w:szCs w:val="15"/>
              </w:rPr>
              <w:t xml:space="preserve">Monthly (28th, 03:00)</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6C3483"/>
                <w:sz w:val="14"/>
                <w:szCs w:val="14"/>
              </w:rPr>
              <w:t xml:space="preserve">l10n_eg_aging._generate_vendor_statements()</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5"/>
                <w:szCs w:val="15"/>
              </w:rPr>
              <w:t xml:space="preserve">Generates AP aging statement per vendor. Emails statements to vendors with outstanding balances.</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A5276" w:sz="8" w:space="4"/>
        </w:pBdr>
        <w:spacing w:after="150" w:before="300"/>
      </w:pPr>
      <w:r>
        <w:rPr>
          <w:rFonts w:ascii="Arial" w:cs="Arial" w:eastAsia="Arial" w:hAnsi="Arial"/>
          <w:b/>
          <w:bCs/>
          <w:color w:val="1A5276"/>
          <w:sz w:val="28"/>
          <w:szCs w:val="28"/>
        </w:rPr>
        <w:t xml:space="preserve">3. ir.cron Data XML</w:t>
      </w:r>
    </w:p>
    <w:p>
      <w:pPr>
        <w:pBdr>
          <w:left w:val="single" w:color="1A5276" w:sz="12" w:space="8"/>
        </w:pBdr>
        <w:shd w:fill="F8F8F8" w:val="clear"/>
        <w:spacing w:after="80" w:before="80"/>
      </w:pPr>
      <w:r>
        <w:rPr>
          <w:rFonts w:ascii="Courier New" w:cs="Courier New" w:eastAsia="Courier New" w:hAnsi="Courier New"/>
          <w:color w:val="1A1A1A"/>
          <w:sz w:val="15"/>
          <w:szCs w:val="15"/>
        </w:rPr>
        <w:t xml:space="preserve">&lt;!-- l10n_eg_batch/data/cron_jobs.xml --&gt;
&lt;odoo&gt;&lt;data noupdate='1'&gt;
  &lt;record id='cron_commitment_sync' model='ir.cron'&gt;
    &lt;field name='name'&gt;CommitmentSync — مزامنة الالتزامات اليومية&lt;/field&gt;
    &lt;field name='model_id' ref='l10n_eg_commitment.model_commitment_line'/&gt;
    &lt;field name='state'&gt;code&lt;/field&gt;
    &lt;field name='code'&gt;model._sync_commitment_balances()&lt;/field&gt;
    &lt;field name='interval_number'&gt;1&lt;/field&gt;
    &lt;field name='interval_type'&gt;days&lt;/field&gt;
    &lt;field name='nextcall' eval="datetime(2025,1,1,23,0,0)"/&gt;
    &lt;field name='active'&gt;True&lt;/field&gt;
    &lt;field name='numbercall'&gt;-1&lt;/field&gt;
  &lt;/record&gt;
  &lt;record id='cron_tax_portal_sync' model='ir.cron'&gt;
    &lt;field name='name'&gt;TaxPortalSync — مزامنة بوابة الضرائب الشهرية&lt;/field&gt;
    &lt;field name='model_id' ref='l10n_eg_batch.model_tax_portal_sync'/&gt;
    &lt;field name='state'&gt;code&lt;/field&gt;
    &lt;field name='code'&gt;model._sync_tax_portal()&lt;/field&gt;
    &lt;field name='interval_number'&gt;1&lt;/field&gt;
    &lt;field name='interval_type'&gt;months&lt;/field&gt;
    &lt;field name='nextcall' eval="datetime(2025,1,1,2,0,0)"/&gt;
    &lt;field name='active'&gt;True&lt;/field&gt;
  &lt;/record&gt;
  &lt;record id='cron_inventory_aging' model='ir.cron'&gt;
    &lt;field name='name'&gt;InventoryAging — تقرير أعمار المخزون الأسبوعي&lt;/field&gt;
    &lt;field name='model_id' ref='l10n_eg_batch.model_inventory_aging'/&gt;
    &lt;field name='state'&gt;code&lt;/field&gt;
    &lt;field name='code'&gt;model._compute_inventory_aging()&lt;/field&gt;
    &lt;field name='interval_number'&gt;7&lt;/field&gt;
    &lt;field name='interval_type'&gt;days&lt;/field&gt;
    &lt;field name='nextcall' eval="datetime(2025,1,5,1,0,0)"/&gt;
    &lt;field name='active'&gt;True&lt;/field&gt;
  &lt;/record&gt;
  &lt;record id='cron_budget_reconciliation' model='ir.cron'&gt;
    &lt;field name='name'&gt;BudgetReconciliation — مطابقة الميزانية اليومية&lt;/field&gt;
    &lt;field name='model_id' ref='l10n_eg_commitment.model_crossovered_budget_lines'/&gt;
    &lt;field name='state'&gt;code&lt;/field&gt;
    &lt;field name='code'&gt;model._reconcile_budget_vs_committed()&lt;/field&gt;
    &lt;field name='interval_number'&gt;1&lt;/field&gt;
    &lt;field name='interval_type'&gt;days&lt;/field&gt;
    &lt;field name='nextcall' eval="datetime(2025,1,1,1,0,0)"/&gt;
    &lt;field name='active'&gt;True&lt;/field&gt;
  &lt;/record&gt;
&lt;/data&gt;&lt;/odoo&gt;</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A5276" w:sz="8" w:space="4"/>
        </w:pBdr>
        <w:spacing w:after="150" w:before="300"/>
      </w:pPr>
      <w:r>
        <w:rPr>
          <w:rFonts w:ascii="Arial" w:cs="Arial" w:eastAsia="Arial" w:hAnsi="Arial"/>
          <w:b/>
          <w:bCs/>
          <w:color w:val="1A5276"/>
          <w:sz w:val="28"/>
          <w:szCs w:val="28"/>
        </w:rPr>
        <w:t xml:space="preserve">4. TaxPortalSync — OAuth2 Implementation (CR-001 Fix)</w:t>
      </w:r>
    </w:p>
    <w:p>
      <w:pPr>
        <w:spacing w:after="80" w:before="80"/>
        <w:jc w:val="left"/>
      </w:pPr>
      <w:r>
        <w:rPr>
          <w:rFonts w:ascii="Arial" w:cs="Arial" w:eastAsia="Arial" w:hAnsi="Arial"/>
          <w:b w:val="false"/>
          <w:bCs w:val="false"/>
          <w:i w:val="false"/>
          <w:iCs w:val="false"/>
          <w:color w:val="C0392B"/>
          <w:sz w:val="20"/>
          <w:szCs w:val="20"/>
        </w:rPr>
        <w:t xml:space="preserve">The Egyptian Tax Authority changed their API from basic authentication to OAuth2 bearer token in 2025. This update was deployed in Week 19 of the project. The implementation is included in C8 v1.0.</w:t>
      </w:r>
    </w:p>
    <w:p>
      <w:pPr>
        <w:pBdr>
          <w:left w:val="single" w:color="1A5276" w:sz="12" w:space="8"/>
        </w:pBdr>
        <w:shd w:fill="F8F8F8" w:val="clear"/>
        <w:spacing w:after="80" w:before="80"/>
      </w:pPr>
      <w:r>
        <w:rPr>
          <w:rFonts w:ascii="Courier New" w:cs="Courier New" w:eastAsia="Courier New" w:hAnsi="Courier New"/>
          <w:color w:val="1A1A1A"/>
          <w:sz w:val="15"/>
          <w:szCs w:val="15"/>
        </w:rPr>
        <w:t xml:space="preserve"># l10n_eg_batch/models/tax_portal_sync.py
import requests
from odoo import models, fields, _
from odoo.exceptions import UserError
class TaxPortalSync(models.Model):
    _name = 'tax.portal.sync'
    _description = 'Egyptian Tax Authority Portal Sync (CR-001)'
    def _get_oauth2_token(self):
        """Fetch OAuth2 bearer token from ETA portal."""
        config = self.env['ir.config_parameter'].sudo()
        client_id     = config.get_param('eta.client_id')
        client_secret = config.get_param('eta.client_secret')
        token_url     = config.get_param('eta.token_url',
            'https://api.invoicing.eta.gov.eg/connect/token')
        resp = requests.post(token_url, data={
            'grant_type':    'client_credentials',
            'client_id':     client_id,
            'client_secret': client_secret,
        }, timeout=30)
        resp.raise_for_status()
        return resp.json().get('access_token')
    def _sync_tax_portal(self):
        """Monthly EDI sync — submit previous month VAT data to ETA."""
        try:
            token = self._get_oauth2_token()
            api_url = self.env['ir.config_parameter'].sudo().get_param(
                'eta.api_url',
                'https://api.invoicing.eta.gov.eg/api/v1/documents/requests/submit')
            # Build VAT submission payload from posted account.move records
            moves = self.env['account.move'].search([
                ('move_type','in',['out_invoice','out_refund','in_invoice']),
                ('state','=','posted'),
                ('eta_synced','=',False),
            ])
            if not moves:
                return
            payload = {'documents': [m._to_eta_format() for m in moves]}
            resp = requests.post(api_url, json=payload,
                headers={'Authorization': f'Bearer {token}'},
                timeout=60)
            resp.raise_for_status()
            moves.write({'eta_synced': True,
                         'eta_sync_date': fields.Datetime.now()})
        except Exception as e:
            self.env['mail.message'].create({
                'subject': 'TaxPortalSync Error — CR-001',
                'body': str(e),
                'model': 'res.partner',
            })</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A5276" w:sz="8" w:space="4"/>
        </w:pBdr>
        <w:spacing w:after="150" w:before="300"/>
      </w:pPr>
      <w:r>
        <w:rPr>
          <w:rFonts w:ascii="Arial" w:cs="Arial" w:eastAsia="Arial" w:hAnsi="Arial"/>
          <w:b/>
          <w:bCs/>
          <w:color w:val="1A5276"/>
          <w:sz w:val="28"/>
          <w:szCs w:val="28"/>
        </w:rPr>
        <w:t xml:space="preserve">5. Unit Tests — 6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500"/>
        <w:gridCol w:w="2660"/>
      </w:tblGrid>
      <w:tr>
        <w:tc>
          <w:tcPr>
            <w:tcW w:type="dxa" w:w="9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w:t>
            </w:r>
          </w:p>
        </w:tc>
        <w:tc>
          <w:tcPr>
            <w:tcW w:type="dxa" w:w="31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Case</w:t>
            </w:r>
          </w:p>
        </w:tc>
        <w:tc>
          <w:tcPr>
            <w:tcW w:type="dxa" w:w="25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266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 Criteria</w:t>
            </w:r>
          </w:p>
        </w:tc>
      </w:tr>
      <w:tr>
        <w:tc>
          <w:tcPr>
            <w:tcW w:type="dxa" w:w="9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TC-01</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Run CommitmentSync cron manually — verify completes without error on 100 commitment lines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No exceptions, sync log created</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CommitmentSync cron stable</w:t>
            </w:r>
          </w:p>
        </w:tc>
      </w:tr>
      <w:tr>
        <w:tc>
          <w:tcPr>
            <w:tcW w:type="dxa" w:w="9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TC-02</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Run BudgetReconciliation — verify alert email sent when budget line &gt;90% utilised</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mail.message created with 'تجاوز 90% من الميزانية' subject</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90% alert triggered</w:t>
            </w:r>
          </w:p>
        </w:tc>
      </w:tr>
      <w:tr>
        <w:tc>
          <w:tcPr>
            <w:tcW w:type="dxa" w:w="9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TC-03</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Run InventoryAging — verify stock items with zero movement &gt;180 days are flagged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inventory.aging records created for qualifying items</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Slow-moving aging computation correct</w:t>
            </w:r>
          </w:p>
        </w:tc>
      </w:tr>
      <w:tr>
        <w:tc>
          <w:tcPr>
            <w:tcW w:type="dxa" w:w="9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TC-04</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TaxPortalSync: mock OAuth2 endpoint returning valid token — verify bearer token used in API call</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requests.post called with Authorization: Bearer &lt;token&gt;</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OAuth2 token flow correct</w:t>
            </w:r>
          </w:p>
        </w:tc>
      </w:tr>
      <w:tr>
        <w:tc>
          <w:tcPr>
            <w:tcW w:type="dxa" w:w="9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TC-05</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TaxPortalSync: mock API returns 401 — verify error logged to mail.message, no exception propagated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mail.message created with error detail, cron continues</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Error handling prevents cron crash</w:t>
            </w:r>
          </w:p>
        </w:tc>
      </w:tr>
      <w:tr>
        <w:tc>
          <w:tcPr>
            <w:tcW w:type="dxa" w:w="9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TC-06</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CustodyReport cron — verify quarterly report generates PDF and sends email to Director of Finance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ir.attachment created + mail.message sent to finance director</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Custody report cron works</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A5276" w:sz="8" w:space="4"/>
        </w:pBdr>
        <w:spacing w:after="150" w:before="300"/>
      </w:pPr>
      <w:r>
        <w:rPr>
          <w:rFonts w:ascii="Arial" w:cs="Arial" w:eastAsia="Arial" w:hAnsi="Arial"/>
          <w:b/>
          <w:bCs/>
          <w:color w:val="1A5276"/>
          <w:sz w:val="28"/>
          <w:szCs w:val="28"/>
        </w:rPr>
        <w:t xml:space="preserve">6. __manifest__.py</w:t>
      </w:r>
    </w:p>
    <w:p>
      <w:pPr>
        <w:pBdr>
          <w:left w:val="single" w:color="6C3483" w:sz="12" w:space="8"/>
        </w:pBdr>
        <w:shd w:fill="F8F8F8" w:val="clear"/>
        <w:spacing w:after="80" w:before="80"/>
      </w:pPr>
      <w:r>
        <w:rPr>
          <w:rFonts w:ascii="Courier New" w:cs="Courier New" w:eastAsia="Courier New" w:hAnsi="Courier New"/>
          <w:color w:val="1A1A1A"/>
          <w:sz w:val="15"/>
          <w:szCs w:val="15"/>
        </w:rPr>
        <w:t xml:space="preserve">{'name':'Batch Jobs — المهام المجدولة (C8)','version':'17.0.1.0.0',
 'summary':'6 ir.cron jobs: CommitmentSync, TaxPortalSync(OAuth2), InventoryAging, CustodyReport, BudgetReconciliation, VendorStatement',
 'depends':['l10n_eg_commitment','l10n_eg_aging','l10n_eg_custody','account_budget','mail'],
 'category':'Accounting','author':'Paradise Integrated Solutions','license':'LGPL-3',
 'data':['security/ir.model.access.csv','data/cron_jobs.xml',
         'views/tax_portal_config_views.xml'],'installable':True}</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A5276" w:sz="8" w:space="4"/>
        </w:pBdr>
        <w:spacing w:after="150" w:before="300"/>
      </w:pPr>
      <w:r>
        <w:rPr>
          <w:rFonts w:ascii="Arial" w:cs="Arial" w:eastAsia="Arial" w:hAnsi="Arial"/>
          <w:b/>
          <w:bCs/>
          <w:color w:val="1A5276"/>
          <w:sz w:val="28"/>
          <w:szCs w:val="28"/>
        </w:rPr>
        <w:t xml:space="preserve">7. Review &amp; Sign-off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c>
          <w:tcPr>
            <w:tcW w:type="dxa" w:w="24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24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24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196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Signature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Lead Developer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Omar H. (OD-D)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Odoo Functional Lead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Nadia K. (OD-F)</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Project Manager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Karim A. (PM)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Client Approval</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Dir. Al-Masri (CL)</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bl>
    <w:p>
      <w:pPr>
        <w:spacing w:after="50" w:before="50"/>
        <w:jc w:val="left"/>
      </w:pPr>
      <w:r>
        <w:rPr>
          <w:rFonts w:ascii="Arial" w:cs="Arial" w:eastAsia="Arial" w:hAnsi="Arial"/>
          <w:b w:val="false"/>
          <w:bCs w:val="false"/>
          <w:i w:val="false"/>
          <w:iCs w:val="false"/>
          <w:color w:val="1A1A1A"/>
          <w:sz w:val="20"/>
          <w:szCs w:val="20"/>
        </w:rPr>
        <w:t xml:space="preserve"/>
      </w:r>
    </w:p>
    <w:p>
      <w:pPr>
        <w:spacing w:after="80" w:before="80"/>
        <w:jc w:val="center"/>
      </w:pPr>
      <w:r>
        <w:rPr>
          <w:rFonts w:ascii="Arial" w:cs="Arial" w:eastAsia="Arial" w:hAnsi="Arial"/>
          <w:b w:val="false"/>
          <w:bCs w:val="false"/>
          <w:i/>
          <w:iCs/>
          <w:color w:val="888888"/>
          <w:sz w:val="20"/>
          <w:szCs w:val="20"/>
        </w:rPr>
        <w:t xml:space="preserve">End of Specification — C8 BatchJobs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10080"/>
      </w:tabs>
      <w:spacing w:after="0" w:before="80"/>
    </w:pPr>
    <w:r>
      <w:rPr>
        <w:rFonts w:ascii="Arial" w:cs="Arial" w:eastAsia="Arial" w:hAnsi="Arial"/>
        <w:color w:val="888888"/>
        <w:sz w:val="15"/>
        <w:szCs w:val="15"/>
      </w:rPr>
      <w:t xml:space="preserve">CONFIDENTIAL — Paradise Integrated Solutions × الديوان العام لمحافظة بورسعيد</w:t>
    </w:r>
    <w:r>
      <w:rPr>
        <w:rFonts w:ascii="Arial" w:cs="Arial" w:eastAsia="Arial" w:hAnsi="Arial"/>
        <w:color w:val="1A5276"/>
        <w:sz w:val="15"/>
        <w:szCs w:val="15"/>
      </w:rPr>
      <w:t xml:space="preserve">	— C8 BatchJobs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spacing w:after="80" w:before="0"/>
      <w:jc w:val="right"/>
    </w:pPr>
    <w:r>
      <w:rPr>
        <w:rFonts w:ascii="Arial" w:cs="Arial" w:eastAsia="Arial" w:hAnsi="Arial"/>
        <w:color w:val="888888"/>
        <w:sz w:val="16"/>
        <w:szCs w:val="16"/>
      </w:rPr>
      <w:t xml:space="preserve">C8 BatchJobs  |  Paradise Integrated Solutions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A5276"/>
      <w:sz w:val="28"/>
      <w:szCs w:val="28"/>
    </w:rPr>
  </w:style>
  <w:style w:type="paragraph" w:styleId="Heading2">
    <w:name w:val="Heading 2"/>
    <w:basedOn w:val="Normal"/>
    <w:next w:val="Normal"/>
    <w:qFormat/>
    <w:pPr>
      <w:spacing w:after="110" w:before="220"/>
      <w:outlineLvl w:val="1"/>
    </w:pPr>
    <w:rPr>
      <w:rFonts w:ascii="Arial" w:cs="Arial" w:eastAsia="Arial" w:hAnsi="Arial"/>
      <w:b/>
      <w:bCs/>
      <w:color w:val="2E5FA3"/>
      <w:sz w:val="24"/>
      <w:szCs w:val="24"/>
    </w:rPr>
  </w:style>
  <w:style w:type="paragraph" w:styleId="Heading3">
    <w:name w:val="Heading 3"/>
    <w:basedOn w:val="Normal"/>
    <w:next w:val="Normal"/>
    <w:qFormat/>
    <w:pPr>
      <w:spacing w:after="75" w:before="150"/>
      <w:outlineLvl w:val="2"/>
    </w:pPr>
    <w:rPr>
      <w:rFonts w:ascii="Arial" w:cs="Arial" w:eastAsia="Arial" w:hAnsi="Arial"/>
      <w:b/>
      <w:bCs/>
      <w:color w:val="6C348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2026-04-03T20:15:47.481Z</dcterms:created>
  <dcterms:modified xsi:type="dcterms:W3CDTF">2026-04-03T20:15:47.481Z</dcterms:modified>
</cp:coreProperties>
</file>

<file path=docProps/custom.xml><?xml version="1.0" encoding="utf-8"?>
<Properties xmlns="http://schemas.openxmlformats.org/officeDocument/2006/custom-properties" xmlns:vt="http://schemas.openxmlformats.org/officeDocument/2006/docPropsVTypes"/>
</file>