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8"/>
          <w:sz w:val="56"/>
          <w:szCs w:val="56"/>
        </w:rPr>
        <w:t xml:space="preserve">MicroPulse Lite Mode</w:t>
      </w:r>
    </w:p>
    <w:p>
      <w:pPr>
        <w:spacing w:after="1200"/>
        <w:jc w:val="center"/>
      </w:pPr>
      <w:r>
        <w:rPr>
          <w:rFonts w:ascii="Calibri" w:cs="Calibri" w:eastAsia="Calibri" w:hAnsi="Calibri"/>
          <w:color w:val="555555"/>
          <w:sz w:val="32"/>
          <w:szCs w:val="32"/>
        </w:rPr>
        <w:t xml:space="preserve">Comprehensive Coach Guide</w:t>
      </w:r>
    </w:p>
    <w:p>
      <w:pPr>
        <w:spacing w:after="200"/>
        <w:jc w:val="center"/>
      </w:pPr>
      <w:r>
        <w:rPr>
          <w:rFonts w:ascii="Calibri" w:cs="Calibri" w:eastAsia="Calibri" w:hAnsi="Calibri"/>
          <w:i/>
          <w:iCs/>
          <w:color w:val="777777"/>
          <w:sz w:val="24"/>
          <w:szCs w:val="24"/>
        </w:rPr>
        <w:t xml:space="preserve">Sport-science suite for clubs on Catapult Lite plans</w:t>
      </w:r>
    </w:p>
    <w:p>
      <w:pPr>
        <w:spacing w:before="2000"/>
        <w:jc w:val="center"/>
      </w:pPr>
      <w:r>
        <w:rPr>
          <w:rFonts w:ascii="Calibri" w:cs="Calibri" w:eastAsia="Calibri" w:hAnsi="Calibri"/>
          <w:color w:val="999999"/>
          <w:sz w:val="20"/>
          <w:szCs w:val="20"/>
        </w:rPr>
        <w:t xml:space="preserve">Published 2026-05-03</w:t>
      </w:r>
    </w:p>
    <w:p>
      <w:r>
        <w:br w:type="page"/>
      </w:r>
    </w:p>
    <w:p>
      <w:pPr>
        <w:pStyle w:val="Heading1"/>
        <w:spacing w:after="200" w:before="320"/>
      </w:pPr>
      <w:r>
        <w:rPr>
          <w:rFonts w:ascii="Calibri" w:cs="Calibri" w:eastAsia="Calibri" w:hAnsi="Calibri"/>
          <w:b/>
          <w:bCs/>
          <w:sz w:val="32"/>
          <w:szCs w:val="32"/>
        </w:rPr>
        <w:t xml:space="preserve">1. Introduction — What is Lite Mode?</w:t>
      </w:r>
    </w:p>
    <w:p>
      <w:pPr>
        <w:spacing w:after="120"/>
      </w:pPr>
      <w:r>
        <w:rPr>
          <w:rFonts w:ascii="Calibri" w:cs="Calibri" w:eastAsia="Calibri" w:hAnsi="Calibri"/>
          <w:sz w:val="22"/>
          <w:szCs w:val="22"/>
        </w:rPr>
        <w:t xml:space="preserve">MicroPulse Lite Mode is a sport-science suite specifically designed for football and basketball clubs that use Catapult OpenField with a standard subscription (Lite plan). Lite plans don't expose Acceleration &amp; Deceleration B2-3 efforts (Gen 2) or IMA Free Running stride bands that higher-tier plans include — but every other GPS metric needed for evidence-based load monitoring is available.</w:t>
      </w:r>
    </w:p>
    <w:p>
      <w:pPr>
        <w:spacing w:after="120"/>
      </w:pPr>
      <w:r>
        <w:rPr>
          <w:rFonts w:ascii="Calibri" w:cs="Calibri" w:eastAsia="Calibri" w:hAnsi="Calibri"/>
          <w:sz w:val="22"/>
          <w:szCs w:val="22"/>
        </w:rPr>
        <w:t xml:space="preserve">This handbook explains how MicroPulse detects whether your team is on the Lite tier, which features are available, how to use them in your daily workflow, and how to upgrade when your Catapult plan changes.</w:t>
      </w:r>
    </w:p>
    <w:p>
      <w:pPr>
        <w:pStyle w:val="Heading2"/>
        <w:spacing w:after="140" w:before="240"/>
      </w:pPr>
      <w:r>
        <w:rPr>
          <w:rFonts w:ascii="Calibri" w:cs="Calibri" w:eastAsia="Calibri" w:hAnsi="Calibri"/>
          <w:b/>
          <w:bCs/>
          <w:sz w:val="26"/>
          <w:szCs w:val="26"/>
        </w:rPr>
        <w:t xml:space="preserve">Who is Lite Mode for?</w:t>
      </w:r>
    </w:p>
    <w:p>
      <w:pPr>
        <w:pStyle w:val="ListParagraph"/>
        <w:numPr>
          <w:ilvl w:val="0"/>
          <w:numId w:val="2"/>
        </w:numPr>
        <w:spacing w:after="80"/>
      </w:pPr>
      <w:r>
        <w:rPr>
          <w:rFonts w:ascii="Calibri" w:cs="Calibri" w:eastAsia="Calibri" w:hAnsi="Calibri"/>
          <w:sz w:val="22"/>
          <w:szCs w:val="22"/>
        </w:rPr>
        <w:t xml:space="preserve">Lower-division clubs that don't have budget for Premium Catapult subscriptions</w:t>
      </w:r>
    </w:p>
    <w:p>
      <w:pPr>
        <w:pStyle w:val="ListParagraph"/>
        <w:numPr>
          <w:ilvl w:val="0"/>
          <w:numId w:val="2"/>
        </w:numPr>
        <w:spacing w:after="80"/>
      </w:pPr>
      <w:r>
        <w:rPr>
          <w:rFonts w:ascii="Calibri" w:cs="Calibri" w:eastAsia="Calibri" w:hAnsi="Calibri"/>
          <w:sz w:val="22"/>
          <w:szCs w:val="22"/>
        </w:rPr>
        <w:t xml:space="preserve">Academies and youth squads using standard GPS packages</w:t>
      </w:r>
    </w:p>
    <w:p>
      <w:pPr>
        <w:pStyle w:val="ListParagraph"/>
        <w:numPr>
          <w:ilvl w:val="0"/>
          <w:numId w:val="2"/>
        </w:numPr>
        <w:spacing w:after="80"/>
      </w:pPr>
      <w:r>
        <w:rPr>
          <w:rFonts w:ascii="Calibri" w:cs="Calibri" w:eastAsia="Calibri" w:hAnsi="Calibri"/>
          <w:sz w:val="22"/>
          <w:szCs w:val="22"/>
        </w:rPr>
        <w:t xml:space="preserve">Pre-season or rebuilding teams just starting to use GPS data who don't immediately need the most complex metrics</w:t>
      </w:r>
    </w:p>
    <w:p>
      <w:pPr>
        <w:pStyle w:val="ListParagraph"/>
        <w:numPr>
          <w:ilvl w:val="0"/>
          <w:numId w:val="2"/>
        </w:numPr>
        <w:spacing w:after="80"/>
      </w:pPr>
      <w:r>
        <w:rPr>
          <w:rFonts w:ascii="Calibri" w:cs="Calibri" w:eastAsia="Calibri" w:hAnsi="Calibri"/>
          <w:sz w:val="22"/>
          <w:szCs w:val="22"/>
        </w:rPr>
        <w:t xml:space="preserve">Personal trainers with smaller groups where the standard Catapult plan is sufficient</w:t>
      </w:r>
    </w:p>
    <w:p>
      <w:pPr>
        <w:pStyle w:val="Heading2"/>
        <w:spacing w:after="140" w:before="240"/>
      </w:pPr>
      <w:r>
        <w:rPr>
          <w:rFonts w:ascii="Calibri" w:cs="Calibri" w:eastAsia="Calibri" w:hAnsi="Calibri"/>
          <w:b/>
          <w:bCs/>
          <w:sz w:val="26"/>
          <w:szCs w:val="26"/>
        </w:rPr>
        <w:t xml:space="preserve">What you get with Lite Mode</w:t>
      </w:r>
    </w:p>
    <w:p>
      <w:pPr>
        <w:spacing w:after="120"/>
      </w:pPr>
      <w:r>
        <w:rPr>
          <w:rFonts w:ascii="Calibri" w:cs="Calibri" w:eastAsia="Calibri" w:hAnsi="Calibri"/>
          <w:sz w:val="22"/>
          <w:szCs w:val="22"/>
        </w:rPr>
        <w:t xml:space="preserve">Every Lite-tier feature is built on the same scientific evidence base as the Premium-tier counterparts — just different input variables. Quick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Page</w:t>
            </w:r>
          </w:p>
        </w:tc>
        <w:tc>
          <w:tcPr>
            <w:tcW w:type="dxa" w:w="2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Science</w:t>
            </w:r>
          </w:p>
        </w:tc>
        <w:tc>
          <w:tcPr>
            <w:tcW w:type="dxa" w:w="47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What it measures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Quadrant view</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Gabbett 2016 (BJSM)</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External load (distance) × internal cost (sRPE) → 4-quadrant classification</w:t>
            </w:r>
          </w:p>
        </w:tc>
      </w:tr>
      <w:tr>
        <w:tc>
          <w:tcPr>
            <w:tcW w:type="dxa" w:w="22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HSR Intelligence</w:t>
            </w:r>
          </w:p>
        </w:tc>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Malone 2017 + Buchheit 2014</w:t>
            </w:r>
          </w:p>
        </w:tc>
        <w:tc>
          <w:tcPr>
            <w:tcW w:type="dxa" w:w="47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Hamstring / soft-tissue injury risk from HSR + sprint + max-V</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Foster Monotony + Strain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Foster 1998 (MSSE)</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Overtraining risk from daily load patterns</w:t>
            </w:r>
          </w:p>
        </w:tc>
      </w:tr>
      <w:tr>
        <w:tc>
          <w:tcPr>
            <w:tcW w:type="dxa" w:w="22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MD HSR Comparison</w:t>
            </w:r>
          </w:p>
        </w:tc>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Buchheit 2018 + Stares 2018</w:t>
            </w:r>
          </w:p>
        </w:tc>
        <w:tc>
          <w:tcPr>
            <w:tcW w:type="dxa" w:w="47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Periodization helper — % of MD HSR reached this week</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All standard surfaces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Daily</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Wellness check-ins, Today briefing, Squad Load, Q&amp;A AI, VALD, Notifications</w:t>
            </w:r>
          </w:p>
        </w:tc>
      </w:tr>
    </w:tbl>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sz w:val="22"/>
          <w:szCs w:val="22"/>
        </w:rPr>
        <w:t xml:space="preserve">This is not a </w:t>
      </w:r>
      <w:r>
        <w:rPr>
          <w:rFonts w:ascii="Calibri" w:cs="Calibri" w:eastAsia="Calibri" w:hAnsi="Calibri"/>
          <w:b/>
          <w:bCs/>
          <w:sz w:val="22"/>
          <w:szCs w:val="22"/>
        </w:rPr>
        <w:t xml:space="preserve">stripped-down version</w:t>
      </w:r>
      <w:r>
        <w:rPr>
          <w:rFonts w:ascii="Calibri" w:cs="Calibri" w:eastAsia="Calibri" w:hAnsi="Calibri"/>
          <w:sz w:val="22"/>
          <w:szCs w:val="22"/>
        </w:rPr>
        <w:t xml:space="preserve"> — it's a valid sport-science platform in its own right, built on 25+ years of research that elite clubs have used for decades (Foster 1998 was the foundation of AC Milan's monitoring under Sacchi and Capello).</w:t>
      </w:r>
    </w:p>
    <w:p>
      <w:r>
        <w:br w:type="page"/>
      </w:r>
    </w:p>
    <w:p>
      <w:pPr>
        <w:pStyle w:val="Heading1"/>
        <w:spacing w:after="200" w:before="320"/>
      </w:pPr>
      <w:r>
        <w:rPr>
          <w:rFonts w:ascii="Calibri" w:cs="Calibri" w:eastAsia="Calibri" w:hAnsi="Calibri"/>
          <w:b/>
          <w:bCs/>
          <w:sz w:val="32"/>
          <w:szCs w:val="32"/>
        </w:rPr>
        <w:t xml:space="preserve">2. How does the system know whether your team is on Lite?</w:t>
      </w:r>
    </w:p>
    <w:p>
      <w:pPr>
        <w:spacing w:after="120"/>
      </w:pPr>
      <w:r>
        <w:rPr>
          <w:rFonts w:ascii="Calibri" w:cs="Calibri" w:eastAsia="Calibri" w:hAnsi="Calibri"/>
          <w:sz w:val="22"/>
          <w:szCs w:val="22"/>
        </w:rPr>
        <w:t xml:space="preserve">MicroPulse uses a four-layer resolution chain to decide whether a team is on Lite or Full tier. This runs through the SQL function get_catapult_data_tier(team_id) and is called by every coach surface (sidebar, top tabs, settings page, AI Summary).</w:t>
      </w:r>
    </w:p>
    <w:p>
      <w:pPr>
        <w:pStyle w:val="Heading2"/>
        <w:spacing w:after="140" w:before="240"/>
      </w:pPr>
      <w:r>
        <w:rPr>
          <w:rFonts w:ascii="Calibri" w:cs="Calibri" w:eastAsia="Calibri" w:hAnsi="Calibri"/>
          <w:b/>
          <w:bCs/>
          <w:sz w:val="26"/>
          <w:szCs w:val="26"/>
        </w:rPr>
        <w:t xml:space="preserve">Resolution chain — in priority order</w:t>
      </w:r>
    </w:p>
    <w:p>
      <w:pPr>
        <w:spacing w:after="120"/>
      </w:pPr>
      <w:r>
        <w:rPr>
          <w:rFonts w:ascii="Calibri" w:cs="Calibri" w:eastAsia="Calibri" w:hAnsi="Calibri"/>
          <w:b/>
          <w:bCs/>
          <w:sz w:val="22"/>
          <w:szCs w:val="22"/>
        </w:rPr>
        <w:t xml:space="preserve">1. Manual override </w:t>
      </w:r>
      <w:r>
        <w:rPr>
          <w:rFonts w:ascii="Calibri" w:cs="Calibri" w:eastAsia="Calibri" w:hAnsi="Calibri"/>
          <w:sz w:val="22"/>
          <w:szCs w:val="22"/>
        </w:rPr>
        <w:t xml:space="preserve">(escape hatch for QA and data fix-ups). An admin can set </w:t>
      </w:r>
      <w:r>
        <w:rPr>
          <w:rFonts w:ascii="Consolas" w:cs="Consolas" w:eastAsia="Consolas" w:hAnsi="Consolas"/>
          <w:color w:val="C7254E"/>
          <w:sz w:val="22"/>
          <w:szCs w:val="22"/>
        </w:rPr>
        <w:t xml:space="preserve">teams.catapult_data_tier_override</w:t>
      </w:r>
      <w:r>
        <w:rPr>
          <w:rFonts w:ascii="Calibri" w:cs="Calibri" w:eastAsia="Calibri" w:hAnsi="Calibri"/>
          <w:sz w:val="22"/>
          <w:szCs w:val="22"/>
        </w:rPr>
        <w:t xml:space="preserve"> to 'lite', 'full', or 'auto'. If set to anything other than 'auto' it wins 100% — even over the declared plan.</w:t>
      </w:r>
    </w:p>
    <w:p>
      <w:pPr>
        <w:spacing w:after="120"/>
      </w:pPr>
      <w:r>
        <w:rPr>
          <w:rFonts w:ascii="Calibri" w:cs="Calibri" w:eastAsia="Calibri" w:hAnsi="Calibri"/>
          <w:b/>
          <w:bCs/>
          <w:sz w:val="22"/>
          <w:szCs w:val="22"/>
        </w:rPr>
        <w:t xml:space="preserve">2. Declared plan </w:t>
      </w:r>
      <w:r>
        <w:rPr>
          <w:rFonts w:ascii="Calibri" w:cs="Calibri" w:eastAsia="Calibri" w:hAnsi="Calibri"/>
          <w:sz w:val="22"/>
          <w:szCs w:val="22"/>
        </w:rPr>
        <w:t xml:space="preserve">(the right knob for normal use). Admin picks an explicit Catapult plan in settings: </w:t>
      </w:r>
      <w:r>
        <w:rPr>
          <w:rFonts w:ascii="Consolas" w:cs="Consolas" w:eastAsia="Consolas" w:hAnsi="Consolas"/>
          <w:color w:val="C7254E"/>
          <w:sz w:val="22"/>
          <w:szCs w:val="22"/>
        </w:rPr>
        <w:t xml:space="preserve">lite</w:t>
      </w:r>
      <w:r>
        <w:rPr>
          <w:rFonts w:ascii="Calibri" w:cs="Calibri" w:eastAsia="Calibri" w:hAnsi="Calibri"/>
          <w:sz w:val="22"/>
          <w:szCs w:val="22"/>
        </w:rPr>
        <w:t xml:space="preserve">, </w:t>
      </w:r>
      <w:r>
        <w:rPr>
          <w:rFonts w:ascii="Consolas" w:cs="Consolas" w:eastAsia="Consolas" w:hAnsi="Consolas"/>
          <w:color w:val="C7254E"/>
          <w:sz w:val="22"/>
          <w:szCs w:val="22"/>
        </w:rPr>
        <w:t xml:space="preserve">pro</w:t>
      </w:r>
      <w:r>
        <w:rPr>
          <w:rFonts w:ascii="Calibri" w:cs="Calibri" w:eastAsia="Calibri" w:hAnsi="Calibri"/>
          <w:sz w:val="22"/>
          <w:szCs w:val="22"/>
        </w:rPr>
        <w:t xml:space="preserve">, </w:t>
      </w:r>
      <w:r>
        <w:rPr>
          <w:rFonts w:ascii="Consolas" w:cs="Consolas" w:eastAsia="Consolas" w:hAnsi="Consolas"/>
          <w:color w:val="C7254E"/>
          <w:sz w:val="22"/>
          <w:szCs w:val="22"/>
        </w:rPr>
        <w:t xml:space="preserve">premium</w:t>
      </w:r>
      <w:r>
        <w:rPr>
          <w:rFonts w:ascii="Calibri" w:cs="Calibri" w:eastAsia="Calibri" w:hAnsi="Calibri"/>
          <w:sz w:val="22"/>
          <w:szCs w:val="22"/>
        </w:rPr>
        <w:t xml:space="preserve"> or </w:t>
      </w:r>
      <w:r>
        <w:rPr>
          <w:rFonts w:ascii="Consolas" w:cs="Consolas" w:eastAsia="Consolas" w:hAnsi="Consolas"/>
          <w:color w:val="C7254E"/>
          <w:sz w:val="22"/>
          <w:szCs w:val="22"/>
        </w:rPr>
        <w:t xml:space="preserve">unknown</w:t>
      </w:r>
      <w:r>
        <w:rPr>
          <w:rFonts w:ascii="Calibri" w:cs="Calibri" w:eastAsia="Calibri" w:hAnsi="Calibri"/>
          <w:sz w:val="22"/>
          <w:szCs w:val="22"/>
        </w:rPr>
        <w:t xml:space="preserve">. Lite → LITE; Pro / Premium → FULL.</w:t>
      </w:r>
    </w:p>
    <w:p>
      <w:pPr>
        <w:spacing w:after="120"/>
      </w:pPr>
      <w:r>
        <w:rPr>
          <w:rFonts w:ascii="Calibri" w:cs="Calibri" w:eastAsia="Calibri" w:hAnsi="Calibri"/>
          <w:b/>
          <w:bCs/>
          <w:sz w:val="22"/>
          <w:szCs w:val="22"/>
        </w:rPr>
        <w:t xml:space="preserve">3. Heuristic </w:t>
      </w:r>
      <w:r>
        <w:rPr>
          <w:rFonts w:ascii="Calibri" w:cs="Calibri" w:eastAsia="Calibri" w:hAnsi="Calibri"/>
          <w:sz w:val="22"/>
          <w:szCs w:val="22"/>
        </w:rPr>
        <w:t xml:space="preserve">(fallback when plan = unknown). Counts rows in </w:t>
      </w:r>
      <w:r>
        <w:rPr>
          <w:rFonts w:ascii="Consolas" w:cs="Consolas" w:eastAsia="Consolas" w:hAnsi="Consolas"/>
          <w:color w:val="C7254E"/>
          <w:sz w:val="22"/>
          <w:szCs w:val="22"/>
        </w:rPr>
        <w:t xml:space="preserve">player_external_load_daily</w:t>
      </w:r>
      <w:r>
        <w:rPr>
          <w:rFonts w:ascii="Calibri" w:cs="Calibri" w:eastAsia="Calibri" w:hAnsi="Calibri"/>
          <w:sz w:val="22"/>
          <w:szCs w:val="22"/>
        </w:rPr>
        <w:t xml:space="preserve"> over the last 30 days where </w:t>
      </w:r>
      <w:r>
        <w:rPr>
          <w:rFonts w:ascii="Consolas" w:cs="Consolas" w:eastAsia="Consolas" w:hAnsi="Consolas"/>
          <w:color w:val="C7254E"/>
          <w:sz w:val="22"/>
          <w:szCs w:val="22"/>
        </w:rPr>
        <w:t xml:space="preserve">accel_b2_3_tot_effs_gen2 &gt; 0</w:t>
      </w:r>
      <w:r>
        <w:rPr>
          <w:rFonts w:ascii="Calibri" w:cs="Calibri" w:eastAsia="Calibri" w:hAnsi="Calibri"/>
          <w:sz w:val="22"/>
          <w:szCs w:val="22"/>
        </w:rPr>
        <w:t xml:space="preserve"> or </w:t>
      </w:r>
      <w:r>
        <w:rPr>
          <w:rFonts w:ascii="Consolas" w:cs="Consolas" w:eastAsia="Consolas" w:hAnsi="Consolas"/>
          <w:color w:val="C7254E"/>
          <w:sz w:val="22"/>
          <w:szCs w:val="22"/>
        </w:rPr>
        <w:t xml:space="preserve">decel_b2_3_tot_effs_gen2 &gt; 0</w:t>
      </w:r>
      <w:r>
        <w:rPr>
          <w:rFonts w:ascii="Calibri" w:cs="Calibri" w:eastAsia="Calibri" w:hAnsi="Calibri"/>
          <w:sz w:val="22"/>
          <w:szCs w:val="22"/>
        </w:rPr>
        <w:t xml:space="preserve">. 5+ rows → FULL, otherwise LITE.</w:t>
      </w:r>
    </w:p>
    <w:p>
      <w:pPr>
        <w:spacing w:after="120"/>
      </w:pPr>
      <w:r>
        <w:rPr>
          <w:rFonts w:ascii="Calibri" w:cs="Calibri" w:eastAsia="Calibri" w:hAnsi="Calibri"/>
          <w:b/>
          <w:bCs/>
          <w:sz w:val="22"/>
          <w:szCs w:val="22"/>
        </w:rPr>
        <w:t xml:space="preserve">4. Default </w:t>
      </w:r>
      <w:r>
        <w:rPr>
          <w:rFonts w:ascii="Calibri" w:cs="Calibri" w:eastAsia="Calibri" w:hAnsi="Calibri"/>
          <w:sz w:val="22"/>
          <w:szCs w:val="22"/>
        </w:rPr>
        <w:t xml:space="preserve">→ LITE (conservative — better to hide features than break them).</w:t>
      </w:r>
    </w:p>
    <w:p>
      <w:pPr>
        <w:pStyle w:val="Heading2"/>
        <w:spacing w:after="140" w:before="240"/>
      </w:pPr>
      <w:r>
        <w:rPr>
          <w:rFonts w:ascii="Calibri" w:cs="Calibri" w:eastAsia="Calibri" w:hAnsi="Calibri"/>
          <w:b/>
          <w:bCs/>
          <w:sz w:val="26"/>
          <w:szCs w:val="26"/>
        </w:rPr>
        <w:t xml:space="preserve">Why three layers?</w:t>
      </w:r>
    </w:p>
    <w:p>
      <w:pPr>
        <w:spacing w:after="120"/>
      </w:pPr>
      <w:r>
        <w:rPr>
          <w:rFonts w:ascii="Calibri" w:cs="Calibri" w:eastAsia="Calibri" w:hAnsi="Calibri"/>
          <w:sz w:val="22"/>
          <w:szCs w:val="22"/>
        </w:rPr>
        <w:t xml:space="preserve">Without the declared plan, the system had a hard time telling the difference between an actual Pro team and a Lite team that received corrupted B2-3 data. The heuristic would then guess FULL incorrectly and unlock Premium pages that were empty or misleading.</w:t>
      </w:r>
    </w:p>
    <w:p>
      <w:pPr>
        <w:spacing w:after="120"/>
      </w:pPr>
      <w:r>
        <w:rPr>
          <w:rFonts w:ascii="Calibri" w:cs="Calibri" w:eastAsia="Calibri" w:hAnsi="Calibri"/>
          <w:sz w:val="22"/>
          <w:szCs w:val="22"/>
        </w:rPr>
        <w:t xml:space="preserve">The declared plan solves this — admin tells the system explicitly "this is a Lite plan" and the system can never auto-promote even if bogus B2-3 data flows in. The heuristic is still there as a fallback for brand-new teams that haven't declared yet.</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Practical rule: </w:t>
      </w:r>
      <w:r>
        <w:rPr>
          <w:rFonts w:ascii="Calibri" w:cs="Calibri" w:eastAsia="Calibri" w:hAnsi="Calibri"/>
          <w:sz w:val="22"/>
          <w:szCs w:val="22"/>
        </w:rPr>
        <w:t xml:space="preserve">Set the declared plan immediately when the team is onboarded. It's one click and eliminates all of these edge cases forever.</w:t>
      </w:r>
    </w:p>
    <w:p>
      <w:pPr>
        <w:pStyle w:val="Heading2"/>
        <w:spacing w:after="140" w:before="240"/>
      </w:pPr>
      <w:r>
        <w:rPr>
          <w:rFonts w:ascii="Calibri" w:cs="Calibri" w:eastAsia="Calibri" w:hAnsi="Calibri"/>
          <w:b/>
          <w:bCs/>
          <w:sz w:val="26"/>
          <w:szCs w:val="26"/>
        </w:rPr>
        <w:t xml:space="preserve">Where can the coach see this?</w:t>
      </w:r>
    </w:p>
    <w:p>
      <w:pPr>
        <w:spacing w:after="120"/>
      </w:pPr>
      <w:r>
        <w:rPr>
          <w:rFonts w:ascii="Calibri" w:cs="Calibri" w:eastAsia="Calibri" w:hAnsi="Calibri"/>
          <w:sz w:val="22"/>
          <w:szCs w:val="22"/>
        </w:rPr>
        <w:t xml:space="preserve">On the /coach/settings page there's a "Catapult data tier" card that shows:</w:t>
      </w:r>
    </w:p>
    <w:p>
      <w:pPr>
        <w:pStyle w:val="ListParagraph"/>
        <w:numPr>
          <w:ilvl w:val="0"/>
          <w:numId w:val="2"/>
        </w:numPr>
        <w:spacing w:after="80"/>
      </w:pPr>
      <w:r>
        <w:rPr>
          <w:rFonts w:ascii="Calibri" w:cs="Calibri" w:eastAsia="Calibri" w:hAnsi="Calibri"/>
          <w:sz w:val="22"/>
          <w:szCs w:val="22"/>
        </w:rPr>
        <w:t xml:space="preserve">Active tier (LITE or FULL) with a colour-coded badge</w:t>
      </w:r>
    </w:p>
    <w:p>
      <w:pPr>
        <w:pStyle w:val="ListParagraph"/>
        <w:numPr>
          <w:ilvl w:val="0"/>
          <w:numId w:val="2"/>
        </w:numPr>
        <w:spacing w:after="80"/>
      </w:pPr>
      <w:r>
        <w:rPr>
          <w:rFonts w:ascii="Calibri" w:cs="Calibri" w:eastAsia="Calibri" w:hAnsi="Calibri"/>
          <w:sz w:val="22"/>
          <w:szCs w:val="22"/>
        </w:rPr>
        <w:t xml:space="preserve">Resolution source — "from declared plan", "from data heuristic", or "from manual override"</w:t>
      </w:r>
    </w:p>
    <w:p>
      <w:pPr>
        <w:pStyle w:val="ListParagraph"/>
        <w:numPr>
          <w:ilvl w:val="0"/>
          <w:numId w:val="2"/>
        </w:numPr>
        <w:spacing w:after="80"/>
      </w:pPr>
      <w:r>
        <w:rPr>
          <w:rFonts w:ascii="Calibri" w:cs="Calibri" w:eastAsia="Calibri" w:hAnsi="Calibri"/>
          <w:sz w:val="22"/>
          <w:szCs w:val="22"/>
        </w:rPr>
        <w:t xml:space="preserve">B2-3 row count diagnostic from the last 30 days</w:t>
      </w:r>
    </w:p>
    <w:p>
      <w:pPr>
        <w:pStyle w:val="ListParagraph"/>
        <w:numPr>
          <w:ilvl w:val="0"/>
          <w:numId w:val="2"/>
        </w:numPr>
        <w:spacing w:after="80"/>
      </w:pPr>
      <w:r>
        <w:rPr>
          <w:rFonts w:ascii="Calibri" w:cs="Calibri" w:eastAsia="Calibri" w:hAnsi="Calibri"/>
          <w:sz w:val="22"/>
          <w:szCs w:val="22"/>
        </w:rPr>
        <w:t xml:space="preserve">Mismatch warning when declared plan and data disagree</w:t>
      </w:r>
    </w:p>
    <w:p>
      <w:pPr>
        <w:pStyle w:val="ListParagraph"/>
        <w:numPr>
          <w:ilvl w:val="0"/>
          <w:numId w:val="2"/>
        </w:numPr>
        <w:spacing w:after="80"/>
      </w:pPr>
      <w:r>
        <w:rPr>
          <w:rFonts w:ascii="Calibri" w:cs="Calibri" w:eastAsia="Calibri" w:hAnsi="Calibri"/>
          <w:sz w:val="22"/>
          <w:szCs w:val="22"/>
        </w:rPr>
        <w:t xml:space="preserve">Plan selector with four options and feature descriptions</w:t>
      </w:r>
    </w:p>
    <w:p>
      <w:pPr>
        <w:pStyle w:val="ListParagraph"/>
        <w:numPr>
          <w:ilvl w:val="0"/>
          <w:numId w:val="2"/>
        </w:numPr>
        <w:spacing w:after="80"/>
      </w:pPr>
      <w:r>
        <w:rPr>
          <w:rFonts w:ascii="Calibri" w:cs="Calibri" w:eastAsia="Calibri" w:hAnsi="Calibri"/>
          <w:sz w:val="22"/>
          <w:szCs w:val="22"/>
        </w:rPr>
        <w:t xml:space="preserve">Advanced section with manual override (collapsed by default)</w:t>
      </w:r>
    </w:p>
    <w:p>
      <w:r>
        <w:br w:type="page"/>
      </w:r>
    </w:p>
    <w:p>
      <w:pPr>
        <w:pStyle w:val="Heading1"/>
        <w:spacing w:after="200" w:before="320"/>
      </w:pPr>
      <w:r>
        <w:rPr>
          <w:rFonts w:ascii="Calibri" w:cs="Calibri" w:eastAsia="Calibri" w:hAnsi="Calibri"/>
          <w:b/>
          <w:bCs/>
          <w:sz w:val="32"/>
          <w:szCs w:val="32"/>
        </w:rPr>
        <w:t xml:space="preserve">3. Settings — How to pick your Catapult plan</w:t>
      </w:r>
    </w:p>
    <w:p>
      <w:pPr>
        <w:spacing w:after="120"/>
      </w:pPr>
      <w:r>
        <w:rPr>
          <w:rFonts w:ascii="Calibri" w:cs="Calibri" w:eastAsia="Calibri" w:hAnsi="Calibri"/>
          <w:sz w:val="22"/>
          <w:szCs w:val="22"/>
        </w:rPr>
        <w:t xml:space="preserve">All Catapult-tier settings for the team live on /coach/settings. The Catapult data tier card has four options:</w:t>
      </w:r>
    </w:p>
    <w:p>
      <w:pPr>
        <w:pStyle w:val="Heading3"/>
        <w:spacing w:after="100" w:before="180"/>
      </w:pPr>
      <w:r>
        <w:rPr>
          <w:rFonts w:ascii="Calibri" w:cs="Calibri" w:eastAsia="Calibri" w:hAnsi="Calibri"/>
          <w:b/>
          <w:bCs/>
          <w:color w:val="333333"/>
          <w:sz w:val="22"/>
          <w:szCs w:val="22"/>
        </w:rPr>
        <w:t xml:space="preserve">[Auto] Auto-detect (default for new teams)</w:t>
      </w:r>
    </w:p>
    <w:p>
      <w:pPr>
        <w:spacing w:after="120"/>
      </w:pPr>
      <w:r>
        <w:rPr>
          <w:rFonts w:ascii="Calibri" w:cs="Calibri" w:eastAsia="Calibri" w:hAnsi="Calibri"/>
          <w:sz w:val="22"/>
          <w:szCs w:val="22"/>
        </w:rPr>
        <w:t xml:space="preserve">Lets MicroPulse decide based on the data flowing in. Falls back to LITE when uncertain. Useful for teams that have just started uploading Catapult data and don't yet know what plan they're on.</w:t>
      </w:r>
    </w:p>
    <w:p>
      <w:pPr>
        <w:pStyle w:val="Heading3"/>
        <w:spacing w:after="100" w:before="180"/>
      </w:pPr>
      <w:r>
        <w:rPr>
          <w:rFonts w:ascii="Calibri" w:cs="Calibri" w:eastAsia="Calibri" w:hAnsi="Calibri"/>
          <w:b/>
          <w:bCs/>
          <w:color w:val="333333"/>
          <w:sz w:val="22"/>
          <w:szCs w:val="22"/>
        </w:rPr>
        <w:t xml:space="preserve">[Lite] Standard Catapult Activity Reports</w:t>
      </w:r>
    </w:p>
    <w:p>
      <w:pPr>
        <w:spacing w:after="120"/>
      </w:pPr>
      <w:r>
        <w:rPr>
          <w:rFonts w:ascii="Calibri" w:cs="Calibri" w:eastAsia="Calibri" w:hAnsi="Calibri"/>
          <w:sz w:val="22"/>
          <w:szCs w:val="22"/>
        </w:rPr>
        <w:t xml:space="preserve">Total / HSR / Sprint Distance, Velocity bands 1-6, Player Load, Max Velocity. Unlocks:</w:t>
      </w:r>
    </w:p>
    <w:p>
      <w:pPr>
        <w:pStyle w:val="ListParagraph"/>
        <w:numPr>
          <w:ilvl w:val="0"/>
          <w:numId w:val="2"/>
        </w:numPr>
        <w:spacing w:after="80"/>
      </w:pPr>
      <w:r>
        <w:rPr>
          <w:rFonts w:ascii="Calibri" w:cs="Calibri" w:eastAsia="Calibri" w:hAnsi="Calibri"/>
          <w:sz w:val="22"/>
          <w:szCs w:val="22"/>
        </w:rPr>
        <w:t xml:space="preserve">Quadrant view (Gabbett 2016 axis)</w:t>
      </w:r>
    </w:p>
    <w:p>
      <w:pPr>
        <w:pStyle w:val="ListParagraph"/>
        <w:numPr>
          <w:ilvl w:val="0"/>
          <w:numId w:val="2"/>
        </w:numPr>
        <w:spacing w:after="80"/>
      </w:pPr>
      <w:r>
        <w:rPr>
          <w:rFonts w:ascii="Calibri" w:cs="Calibri" w:eastAsia="Calibri" w:hAnsi="Calibri"/>
          <w:sz w:val="22"/>
          <w:szCs w:val="22"/>
        </w:rPr>
        <w:t xml:space="preserve">HSR Intelligence (Malone 2017)</w:t>
      </w:r>
    </w:p>
    <w:p>
      <w:pPr>
        <w:pStyle w:val="ListParagraph"/>
        <w:numPr>
          <w:ilvl w:val="0"/>
          <w:numId w:val="2"/>
        </w:numPr>
        <w:spacing w:after="80"/>
      </w:pPr>
      <w:r>
        <w:rPr>
          <w:rFonts w:ascii="Calibri" w:cs="Calibri" w:eastAsia="Calibri" w:hAnsi="Calibri"/>
          <w:sz w:val="22"/>
          <w:szCs w:val="22"/>
        </w:rPr>
        <w:t xml:space="preserve">Foster Monotony + Strain</w:t>
      </w:r>
    </w:p>
    <w:p>
      <w:pPr>
        <w:pStyle w:val="ListParagraph"/>
        <w:numPr>
          <w:ilvl w:val="0"/>
          <w:numId w:val="2"/>
        </w:numPr>
        <w:spacing w:after="80"/>
      </w:pPr>
      <w:r>
        <w:rPr>
          <w:rFonts w:ascii="Calibri" w:cs="Calibri" w:eastAsia="Calibri" w:hAnsi="Calibri"/>
          <w:sz w:val="22"/>
          <w:szCs w:val="22"/>
        </w:rPr>
        <w:t xml:space="preserve">MD HSR Comparison</w:t>
      </w:r>
    </w:p>
    <w:p>
      <w:pPr>
        <w:pStyle w:val="Heading3"/>
        <w:spacing w:after="100" w:before="180"/>
      </w:pPr>
      <w:r>
        <w:rPr>
          <w:rFonts w:ascii="Calibri" w:cs="Calibri" w:eastAsia="Calibri" w:hAnsi="Calibri"/>
          <w:b/>
          <w:bCs/>
          <w:color w:val="333333"/>
          <w:sz w:val="22"/>
          <w:szCs w:val="22"/>
        </w:rPr>
        <w:t xml:space="preserve">[Pro] Lite + Acceleration &amp; Deceleration Reporting (Gen 2)</w:t>
      </w:r>
    </w:p>
    <w:p>
      <w:pPr>
        <w:spacing w:after="120"/>
      </w:pPr>
      <w:r>
        <w:rPr>
          <w:rFonts w:ascii="Calibri" w:cs="Calibri" w:eastAsia="Calibri" w:hAnsi="Calibri"/>
          <w:sz w:val="22"/>
          <w:szCs w:val="22"/>
        </w:rPr>
        <w:t xml:space="preserve">Adds B2-3 effort counts. Unlocks:</w:t>
      </w:r>
    </w:p>
    <w:p>
      <w:pPr>
        <w:pStyle w:val="ListParagraph"/>
        <w:numPr>
          <w:ilvl w:val="0"/>
          <w:numId w:val="2"/>
        </w:numPr>
        <w:spacing w:after="80"/>
      </w:pPr>
      <w:r>
        <w:rPr>
          <w:rFonts w:ascii="Calibri" w:cs="Calibri" w:eastAsia="Calibri" w:hAnsi="Calibri"/>
          <w:sz w:val="22"/>
          <w:szCs w:val="22"/>
        </w:rPr>
        <w:t xml:space="preserve">Decel Intelligence (McBurnie 2022)</w:t>
      </w:r>
    </w:p>
    <w:p>
      <w:pPr>
        <w:pStyle w:val="ListParagraph"/>
        <w:numPr>
          <w:ilvl w:val="0"/>
          <w:numId w:val="2"/>
        </w:numPr>
        <w:spacing w:after="80"/>
      </w:pPr>
      <w:r>
        <w:rPr>
          <w:rFonts w:ascii="Calibri" w:cs="Calibri" w:eastAsia="Calibri" w:hAnsi="Calibri"/>
          <w:sz w:val="22"/>
          <w:szCs w:val="22"/>
        </w:rPr>
        <w:t xml:space="preserve">Quadrant view's Gabbett 2017 B2-3 axis (upgraded from Gabbett 2016 on Lite)</w:t>
      </w:r>
    </w:p>
    <w:p>
      <w:pPr>
        <w:pStyle w:val="Heading3"/>
        <w:spacing w:after="100" w:before="180"/>
      </w:pPr>
      <w:r>
        <w:rPr>
          <w:rFonts w:ascii="Calibri" w:cs="Calibri" w:eastAsia="Calibri" w:hAnsi="Calibri"/>
          <w:b/>
          <w:bCs/>
          <w:color w:val="333333"/>
          <w:sz w:val="22"/>
          <w:szCs w:val="22"/>
        </w:rPr>
        <w:t xml:space="preserve">[Premium] Pro + IMA Free Running + Metabolic Power + #MPE</w:t>
      </w:r>
    </w:p>
    <w:p>
      <w:pPr>
        <w:spacing w:after="120"/>
      </w:pPr>
      <w:r>
        <w:rPr>
          <w:rFonts w:ascii="Calibri" w:cs="Calibri" w:eastAsia="Calibri" w:hAnsi="Calibri"/>
          <w:sz w:val="22"/>
          <w:szCs w:val="22"/>
        </w:rPr>
        <w:t xml:space="preserve">Adds stride bands and metabolic recovery time. Unlocks:</w:t>
      </w:r>
    </w:p>
    <w:p>
      <w:pPr>
        <w:pStyle w:val="ListParagraph"/>
        <w:numPr>
          <w:ilvl w:val="0"/>
          <w:numId w:val="2"/>
        </w:numPr>
        <w:spacing w:after="80"/>
      </w:pPr>
      <w:r>
        <w:rPr>
          <w:rFonts w:ascii="Calibri" w:cs="Calibri" w:eastAsia="Calibri" w:hAnsi="Calibri"/>
          <w:sz w:val="22"/>
          <w:szCs w:val="22"/>
        </w:rPr>
        <w:t xml:space="preserve">Indoor Load (FMP-driven indoor mode)</w:t>
      </w:r>
    </w:p>
    <w:p>
      <w:pPr>
        <w:pStyle w:val="ListParagraph"/>
        <w:numPr>
          <w:ilvl w:val="0"/>
          <w:numId w:val="2"/>
        </w:numPr>
        <w:spacing w:after="80"/>
      </w:pPr>
      <w:r>
        <w:rPr>
          <w:rFonts w:ascii="Calibri" w:cs="Calibri" w:eastAsia="Calibri" w:hAnsi="Calibri"/>
          <w:sz w:val="22"/>
          <w:szCs w:val="22"/>
        </w:rPr>
        <w:t xml:space="preserve">Sharp Cut + MPE Recovery chips on Decel Intelligence</w:t>
      </w:r>
    </w:p>
    <w:p>
      <w:pPr>
        <w:pStyle w:val="Heading2"/>
        <w:spacing w:after="140" w:before="240"/>
      </w:pPr>
      <w:r>
        <w:rPr>
          <w:rFonts w:ascii="Calibri" w:cs="Calibri" w:eastAsia="Calibri" w:hAnsi="Calibri"/>
          <w:b/>
          <w:bCs/>
          <w:sz w:val="26"/>
          <w:szCs w:val="26"/>
        </w:rPr>
        <w:t xml:space="preserve">Mismatch warning</w:t>
      </w:r>
    </w:p>
    <w:p>
      <w:pPr>
        <w:spacing w:after="120"/>
      </w:pPr>
      <w:r>
        <w:rPr>
          <w:rFonts w:ascii="Calibri" w:cs="Calibri" w:eastAsia="Calibri" w:hAnsi="Calibri"/>
          <w:sz w:val="22"/>
          <w:szCs w:val="22"/>
        </w:rPr>
        <w:t xml:space="preserve">When the declared plan and the data disagree, an orange warning appears at the top of the card. Two cases:</w:t>
      </w:r>
    </w:p>
    <w:p>
      <w:pPr>
        <w:spacing w:after="120"/>
      </w:pPr>
      <w:r>
        <w:rPr>
          <w:rFonts w:ascii="Calibri" w:cs="Calibri" w:eastAsia="Calibri" w:hAnsi="Calibri"/>
          <w:b/>
          <w:bCs/>
          <w:sz w:val="22"/>
          <w:szCs w:val="22"/>
        </w:rPr>
        <w:t xml:space="preserve">Declared PRO/PREMIUM but no B2-3 data: </w:t>
      </w:r>
      <w:r>
        <w:rPr>
          <w:rFonts w:ascii="Calibri" w:cs="Calibri" w:eastAsia="Calibri" w:hAnsi="Calibri"/>
          <w:sz w:val="22"/>
          <w:szCs w:val="22"/>
        </w:rPr>
        <w:t xml:space="preserve">most likely the Reporting Parameters weren't activated correctly at Catapult. Contact your Catapult account manager and check "Acceleration B2-3 Total Efforts (Gen 2)" and "Deceleration B2-3 Total Efforts (Gen 2)" in OpenField → Reporting Parameters.</w:t>
      </w:r>
    </w:p>
    <w:p>
      <w:pPr>
        <w:spacing w:after="120"/>
      </w:pPr>
      <w:r>
        <w:rPr>
          <w:rFonts w:ascii="Calibri" w:cs="Calibri" w:eastAsia="Calibri" w:hAnsi="Calibri"/>
          <w:b/>
          <w:bCs/>
          <w:sz w:val="22"/>
          <w:szCs w:val="22"/>
        </w:rPr>
        <w:t xml:space="preserve">Declared LITE but B2-3 data is flowing in: </w:t>
      </w:r>
      <w:r>
        <w:rPr>
          <w:rFonts w:ascii="Calibri" w:cs="Calibri" w:eastAsia="Calibri" w:hAnsi="Calibri"/>
          <w:sz w:val="22"/>
          <w:szCs w:val="22"/>
        </w:rPr>
        <w:t xml:space="preserve">your Catapult plan was probably upgraded recently. Switch the declared plan to Pro or Premium to unlock the matching features.</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Manual override </w:t>
      </w:r>
      <w:r>
        <w:rPr>
          <w:rFonts w:ascii="Calibri" w:cs="Calibri" w:eastAsia="Calibri" w:hAnsi="Calibri"/>
          <w:sz w:val="22"/>
          <w:szCs w:val="22"/>
        </w:rPr>
        <w:t xml:space="preserve">should rarely be needed under normal circumstances — declared plan + auto override handles everything. Override only exists for cases when the declared plan is right but the data is temporarily wrong (e.g. force LITE on a Pro team while waiting for Catapult to fix a parameter, or force FULL on a brand-new Pro team before B2-3 data has arrived).</w:t>
      </w:r>
    </w:p>
    <w:p>
      <w:r>
        <w:br w:type="page"/>
      </w:r>
    </w:p>
    <w:p>
      <w:pPr>
        <w:pStyle w:val="Heading1"/>
        <w:spacing w:after="200" w:before="320"/>
      </w:pPr>
      <w:r>
        <w:rPr>
          <w:rFonts w:ascii="Calibri" w:cs="Calibri" w:eastAsia="Calibri" w:hAnsi="Calibri"/>
          <w:b/>
          <w:bCs/>
          <w:sz w:val="32"/>
          <w:szCs w:val="32"/>
        </w:rPr>
        <w:t xml:space="preserve">4. Quadrant View — Gabbett 2016 / Vanrenterghem 2017</w:t>
      </w:r>
    </w:p>
    <w:p>
      <w:pPr>
        <w:spacing w:after="120"/>
      </w:pPr>
      <w:r>
        <w:rPr>
          <w:rFonts w:ascii="Calibri" w:cs="Calibri" w:eastAsia="Calibri" w:hAnsi="Calibri"/>
          <w:sz w:val="22"/>
          <w:szCs w:val="22"/>
        </w:rPr>
        <w:t xml:space="preserve">Quadrant view plots every athlete on a 2x2 chart showing the relationship between external load (X-axis: total distance) and internal load (Y-axis: sRPE × duration). Quadrant lines are drawn at the team median so you can see where each player stands relative to teammates.</w:t>
      </w:r>
    </w:p>
    <w:p>
      <w:pPr>
        <w:pStyle w:val="Heading2"/>
        <w:spacing w:after="140" w:before="240"/>
      </w:pPr>
      <w:r>
        <w:rPr>
          <w:rFonts w:ascii="Calibri" w:cs="Calibri" w:eastAsia="Calibri" w:hAnsi="Calibri"/>
          <w:b/>
          <w:bCs/>
          <w:sz w:val="26"/>
          <w:szCs w:val="26"/>
        </w:rPr>
        <w:t xml:space="preserve">How to read Quadrant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Quadrant</w:t>
            </w:r>
          </w:p>
        </w:tc>
        <w:tc>
          <w:tcPr>
            <w:tcW w:type="dxa" w:w="43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Interpretation</w:t>
            </w:r>
          </w:p>
        </w:tc>
        <w:tc>
          <w:tcPr>
            <w:tcW w:type="dxa" w:w="26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Injury risk (top-right)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High external + high internal. Highest injury risk</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Reduced load in next session</w:t>
            </w:r>
          </w:p>
        </w:tc>
      </w:tr>
      <w:tr>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Decoupled (top-left)</w:t>
            </w:r>
          </w:p>
        </w:tc>
        <w:tc>
          <w:tcPr>
            <w:tcW w:type="dxa" w:w="43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Low external but high internal cost. Classic early-warning fatigue or illness signal (Halson 2014)</w:t>
            </w:r>
          </w:p>
        </w:tc>
        <w:tc>
          <w:tcPr>
            <w:tcW w:type="dxa" w:w="2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Check sleep, RPE, screen for illness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Peak fitness (bottom-right)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High external but low internal. Well-trained — at peak form</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Use as key player for next MD</w:t>
            </w:r>
          </w:p>
        </w:tc>
      </w:tr>
      <w:tr>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Under-stimulated (bottom-left)</w:t>
            </w:r>
          </w:p>
        </w:tc>
        <w:tc>
          <w:tcPr>
            <w:tcW w:type="dxa" w:w="43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Minimal load. No injury risk — but maybe not enough stimulus either</w:t>
            </w:r>
          </w:p>
        </w:tc>
        <w:tc>
          <w:tcPr>
            <w:tcW w:type="dxa" w:w="2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Needs more load in upcoming weeks</w:t>
            </w:r>
          </w:p>
        </w:tc>
      </w:tr>
    </w:tbl>
    <w:p>
      <w:pPr>
        <w:pStyle w:val="Heading2"/>
        <w:spacing w:after="140" w:before="240"/>
      </w:pPr>
      <w:r>
        <w:rPr>
          <w:rFonts w:ascii="Calibri" w:cs="Calibri" w:eastAsia="Calibri" w:hAnsi="Calibri"/>
          <w:b/>
          <w:bCs/>
          <w:sz w:val="26"/>
          <w:szCs w:val="26"/>
        </w:rPr>
        <w:t xml:space="preserve">Dot size = ACWR</w:t>
      </w:r>
    </w:p>
    <w:p>
      <w:pPr>
        <w:spacing w:after="120"/>
      </w:pPr>
      <w:r>
        <w:rPr>
          <w:rFonts w:ascii="Calibri" w:cs="Calibri" w:eastAsia="Calibri" w:hAnsi="Calibri"/>
          <w:sz w:val="22"/>
          <w:szCs w:val="22"/>
        </w:rPr>
        <w:t xml:space="preserve">Larger dot = ACWR (Acute:Chronic Workload Ratio) above 1.3. This means acute work (last 7 days) has outpaced the chronic baseline (last 28 days) — Gabbett's classic overload index.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ACWR</w:t>
            </w:r>
          </w:p>
        </w:tc>
        <w:tc>
          <w:tcPr>
            <w:tcW w:type="dxa" w:w="55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Interpretation</w:t>
            </w:r>
          </w:p>
        </w:tc>
        <w:tc>
          <w:tcPr>
            <w:tcW w:type="dxa" w:w="21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Colour</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 0.8</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Undertraining paradox (Gabbett 2016) — also raises injury risk</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Blue</w:t>
            </w:r>
          </w:p>
        </w:tc>
      </w:tr>
      <w:tr>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0.8 – 1.3</w:t>
            </w:r>
          </w:p>
        </w:tc>
        <w:tc>
          <w:tcPr>
            <w:tcW w:type="dxa" w:w="55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Sweet spot</w:t>
            </w:r>
          </w:p>
        </w:tc>
        <w:tc>
          <w:tcPr>
            <w:tcW w:type="dxa" w:w="21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Green</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1.3 – 1.5</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Watch</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Yellow</w:t>
            </w:r>
          </w:p>
        </w:tc>
      </w:tr>
      <w:tr>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&gt; 1.5</w:t>
            </w:r>
          </w:p>
        </w:tc>
        <w:tc>
          <w:tcPr>
            <w:tcW w:type="dxa" w:w="55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High overload — injury risk +200%</w:t>
            </w:r>
          </w:p>
        </w:tc>
        <w:tc>
          <w:tcPr>
            <w:tcW w:type="dxa" w:w="21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Red</w:t>
            </w:r>
          </w:p>
        </w:tc>
      </w:tr>
    </w:tbl>
    <w:p>
      <w:pPr>
        <w:pStyle w:val="Heading2"/>
        <w:spacing w:after="140" w:before="240"/>
      </w:pPr>
      <w:r>
        <w:rPr>
          <w:rFonts w:ascii="Calibri" w:cs="Calibri" w:eastAsia="Calibri" w:hAnsi="Calibri"/>
          <w:b/>
          <w:bCs/>
          <w:sz w:val="26"/>
          <w:szCs w:val="26"/>
        </w:rPr>
        <w:t xml:space="preserve">Lite vs Full versions</w:t>
      </w:r>
    </w:p>
    <w:p>
      <w:pPr>
        <w:spacing w:after="120"/>
      </w:pPr>
      <w:r>
        <w:rPr>
          <w:rFonts w:ascii="Calibri" w:cs="Calibri" w:eastAsia="Calibri" w:hAnsi="Calibri"/>
          <w:sz w:val="22"/>
          <w:szCs w:val="22"/>
        </w:rPr>
        <w:t xml:space="preserve">On Lite tier, Quadrant view uses the Gabbett 2016 volume-axis variant (total_distance × sRPE). On Pro / Premium it upgrades to Gabbett 2017 which adds B2-3 efforts to the X-axis for higher-fidelity classification. Both versions are BJSM-published and evidence-validated.</w:t>
      </w:r>
    </w:p>
    <w:p>
      <w:pPr>
        <w:pStyle w:val="Heading2"/>
        <w:spacing w:after="140" w:before="240"/>
      </w:pPr>
      <w:r>
        <w:rPr>
          <w:rFonts w:ascii="Calibri" w:cs="Calibri" w:eastAsia="Calibri" w:hAnsi="Calibri"/>
          <w:b/>
          <w:bCs/>
          <w:sz w:val="26"/>
          <w:szCs w:val="26"/>
        </w:rPr>
        <w:t xml:space="preserve">Squad Load table — under the Quadrant chart</w:t>
      </w:r>
    </w:p>
    <w:p>
      <w:pPr>
        <w:spacing w:after="120"/>
      </w:pPr>
      <w:r>
        <w:rPr>
          <w:rFonts w:ascii="Calibri" w:cs="Calibri" w:eastAsia="Calibri" w:hAnsi="Calibri"/>
          <w:sz w:val="22"/>
          <w:szCs w:val="22"/>
        </w:rPr>
        <w:t xml:space="preserve">Per-player table showing 7d acute / 28d chronic / ACWR for each key metric. On Lite tier it shows:</w:t>
      </w:r>
    </w:p>
    <w:p>
      <w:pPr>
        <w:pStyle w:val="ListParagraph"/>
        <w:numPr>
          <w:ilvl w:val="0"/>
          <w:numId w:val="2"/>
        </w:numPr>
        <w:spacing w:after="80"/>
      </w:pPr>
      <w:r>
        <w:rPr>
          <w:rFonts w:ascii="Calibri" w:cs="Calibri" w:eastAsia="Calibri" w:hAnsi="Calibri"/>
          <w:sz w:val="22"/>
          <w:szCs w:val="22"/>
        </w:rPr>
        <w:t xml:space="preserve">Total Distance (m)</w:t>
      </w:r>
    </w:p>
    <w:p>
      <w:pPr>
        <w:pStyle w:val="ListParagraph"/>
        <w:numPr>
          <w:ilvl w:val="0"/>
          <w:numId w:val="2"/>
        </w:numPr>
        <w:spacing w:after="80"/>
      </w:pPr>
      <w:r>
        <w:rPr>
          <w:rFonts w:ascii="Calibri" w:cs="Calibri" w:eastAsia="Calibri" w:hAnsi="Calibri"/>
          <w:sz w:val="22"/>
          <w:szCs w:val="22"/>
        </w:rPr>
        <w:t xml:space="preserve">HSR Distance (m) — High-Speed Running, &gt; 15 km/h</w:t>
      </w:r>
    </w:p>
    <w:p>
      <w:pPr>
        <w:pStyle w:val="ListParagraph"/>
        <w:numPr>
          <w:ilvl w:val="0"/>
          <w:numId w:val="2"/>
        </w:numPr>
        <w:spacing w:after="80"/>
      </w:pPr>
      <w:r>
        <w:rPr>
          <w:rFonts w:ascii="Calibri" w:cs="Calibri" w:eastAsia="Calibri" w:hAnsi="Calibri"/>
          <w:sz w:val="22"/>
          <w:szCs w:val="22"/>
        </w:rPr>
        <w:t xml:space="preserve">Sprint Distance (m) — &gt; 25 km/h</w:t>
      </w:r>
    </w:p>
    <w:p>
      <w:pPr>
        <w:pStyle w:val="ListParagraph"/>
        <w:numPr>
          <w:ilvl w:val="0"/>
          <w:numId w:val="2"/>
        </w:numPr>
        <w:spacing w:after="80"/>
      </w:pPr>
      <w:r>
        <w:rPr>
          <w:rFonts w:ascii="Calibri" w:cs="Calibri" w:eastAsia="Calibri" w:hAnsi="Calibri"/>
          <w:sz w:val="22"/>
          <w:szCs w:val="22"/>
        </w:rPr>
        <w:t xml:space="preserve">Vel Band 5 + 6 Distance (m)</w:t>
      </w:r>
    </w:p>
    <w:p>
      <w:pPr>
        <w:pStyle w:val="ListParagraph"/>
        <w:numPr>
          <w:ilvl w:val="0"/>
          <w:numId w:val="2"/>
        </w:numPr>
        <w:spacing w:after="80"/>
      </w:pPr>
      <w:r>
        <w:rPr>
          <w:rFonts w:ascii="Calibri" w:cs="Calibri" w:eastAsia="Calibri" w:hAnsi="Calibri"/>
          <w:sz w:val="22"/>
          <w:szCs w:val="22"/>
        </w:rPr>
        <w:t xml:space="preserve">Sprint Efforts (#) — count of sprint events</w:t>
      </w:r>
    </w:p>
    <w:p>
      <w:pPr>
        <w:pStyle w:val="ListParagraph"/>
        <w:numPr>
          <w:ilvl w:val="0"/>
          <w:numId w:val="2"/>
        </w:numPr>
        <w:spacing w:after="80"/>
      </w:pPr>
      <w:r>
        <w:rPr>
          <w:rFonts w:ascii="Calibri" w:cs="Calibri" w:eastAsia="Calibri" w:hAnsi="Calibri"/>
          <w:sz w:val="22"/>
          <w:szCs w:val="22"/>
        </w:rPr>
        <w:t xml:space="preserve">Max Velocity (km/h)</w:t>
      </w:r>
    </w:p>
    <w:p>
      <w:pPr>
        <w:spacing w:after="120"/>
      </w:pPr>
      <w:r>
        <w:rPr>
          <w:rFonts w:ascii="Calibri" w:cs="Calibri" w:eastAsia="Calibri" w:hAnsi="Calibri"/>
          <w:sz w:val="22"/>
          <w:szCs w:val="22"/>
        </w:rPr>
        <w:t xml:space="preserve">On Pro / Premium the B2-3 effort columns replace HSR/Sprint Distance — same number of columns, just higher fidelity.</w:t>
      </w:r>
    </w:p>
    <w:p>
      <w:r>
        <w:br w:type="page"/>
      </w:r>
    </w:p>
    <w:p>
      <w:pPr>
        <w:pStyle w:val="Heading1"/>
        <w:spacing w:after="200" w:before="320"/>
      </w:pPr>
      <w:r>
        <w:rPr>
          <w:rFonts w:ascii="Calibri" w:cs="Calibri" w:eastAsia="Calibri" w:hAnsi="Calibri"/>
          <w:b/>
          <w:bCs/>
          <w:sz w:val="32"/>
          <w:szCs w:val="32"/>
        </w:rPr>
        <w:t xml:space="preserve">5. HSR Intelligence — Malone 2017 + Buchheit 2014</w:t>
      </w:r>
    </w:p>
    <w:p>
      <w:pPr>
        <w:spacing w:after="120"/>
      </w:pPr>
      <w:r>
        <w:rPr>
          <w:rFonts w:ascii="Calibri" w:cs="Calibri" w:eastAsia="Calibri" w:hAnsi="Calibri"/>
          <w:sz w:val="22"/>
          <w:szCs w:val="22"/>
        </w:rPr>
        <w:t xml:space="preserve">HSR Intelligence is the McBurnie-equivalent page for Lite teams. It estimates hamstring and soft-tissue injury risk per player based on three independently-validated metrics. Same evidence quality (BJSM-published) as Decel Intelligence — just different inputs.</w:t>
      </w:r>
    </w:p>
    <w:p>
      <w:pPr>
        <w:pStyle w:val="Heading2"/>
        <w:spacing w:after="140" w:before="240"/>
      </w:pPr>
      <w:r>
        <w:rPr>
          <w:rFonts w:ascii="Calibri" w:cs="Calibri" w:eastAsia="Calibri" w:hAnsi="Calibri"/>
          <w:b/>
          <w:bCs/>
          <w:sz w:val="26"/>
          <w:szCs w:val="26"/>
        </w:rPr>
        <w:t xml:space="preserve">Three metrics the page computes</w:t>
      </w:r>
    </w:p>
    <w:p>
      <w:pPr>
        <w:pStyle w:val="Heading3"/>
        <w:spacing w:after="100" w:before="180"/>
      </w:pPr>
      <w:r>
        <w:rPr>
          <w:rFonts w:ascii="Calibri" w:cs="Calibri" w:eastAsia="Calibri" w:hAnsi="Calibri"/>
          <w:b/>
          <w:bCs/>
          <w:color w:val="333333"/>
          <w:sz w:val="22"/>
          <w:szCs w:val="22"/>
        </w:rPr>
        <w:t xml:space="preserve">HSR ACWR (Malone 2017)</w:t>
      </w:r>
    </w:p>
    <w:p>
      <w:pPr>
        <w:spacing w:after="120"/>
      </w:pPr>
      <w:r>
        <w:rPr>
          <w:rFonts w:ascii="Calibri" w:cs="Calibri" w:eastAsia="Calibri" w:hAnsi="Calibri"/>
          <w:sz w:val="22"/>
          <w:szCs w:val="22"/>
        </w:rPr>
        <w:t xml:space="preserve">Acute:Chronic Workload Ratio on High-Speed Running distance. Computed as 7-day average divided by 28-day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HSR ACWR</w:t>
            </w:r>
          </w:p>
        </w:tc>
        <w:tc>
          <w:tcPr>
            <w:tcW w:type="dxa" w:w="22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Classification</w:t>
            </w:r>
          </w:p>
        </w:tc>
        <w:tc>
          <w:tcPr>
            <w:tcW w:type="dxa" w:w="51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&gt; 1.5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High risk (red)</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Spike — soft-tissue injury risk +200% (Malone 2017)</w:t>
            </w:r>
          </w:p>
        </w:tc>
      </w:tr>
      <w:tr>
        <w:tc>
          <w:tcPr>
            <w:tcW w:type="dxa" w:w="2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1.3 – 1.5</w:t>
            </w:r>
          </w:p>
        </w:tc>
        <w:tc>
          <w:tcPr>
            <w:tcW w:type="dxa" w:w="22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Watch (yellow)</w:t>
            </w:r>
          </w:p>
        </w:tc>
        <w:tc>
          <w:tcPr>
            <w:tcW w:type="dxa" w:w="51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Mild spike, monitor closely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&lt; 0.8 with high chronic</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Watch (yellow)</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De-training paradox — +130% risk</w:t>
            </w:r>
          </w:p>
        </w:tc>
      </w:tr>
      <w:tr>
        <w:tc>
          <w:tcPr>
            <w:tcW w:type="dxa" w:w="2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0.8 – 1.3</w:t>
            </w:r>
          </w:p>
        </w:tc>
        <w:tc>
          <w:tcPr>
            <w:tcW w:type="dxa" w:w="22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Healthy (green)</w:t>
            </w:r>
          </w:p>
        </w:tc>
        <w:tc>
          <w:tcPr>
            <w:tcW w:type="dxa" w:w="51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Sweet spot</w:t>
            </w:r>
          </w:p>
        </w:tc>
      </w:tr>
    </w:tbl>
    <w:p>
      <w:pPr>
        <w:pStyle w:val="Heading3"/>
        <w:spacing w:after="100" w:before="180"/>
      </w:pPr>
      <w:r>
        <w:rPr>
          <w:rFonts w:ascii="Calibri" w:cs="Calibri" w:eastAsia="Calibri" w:hAnsi="Calibri"/>
          <w:b/>
          <w:bCs/>
          <w:color w:val="333333"/>
          <w:sz w:val="22"/>
          <w:szCs w:val="22"/>
        </w:rPr>
        <w:t xml:space="preserve">Sprint ACWR</w:t>
      </w:r>
    </w:p>
    <w:p>
      <w:pPr>
        <w:spacing w:after="120"/>
      </w:pPr>
      <w:r>
        <w:rPr>
          <w:rFonts w:ascii="Calibri" w:cs="Calibri" w:eastAsia="Calibri" w:hAnsi="Calibri"/>
          <w:sz w:val="22"/>
          <w:szCs w:val="22"/>
        </w:rPr>
        <w:t xml:space="preserve">Same thresholds as HSR but uses Sprint Efforts count (Velocity Band 6+ effort count). Sprints are discrete events, so a low Sprint ACWR is less risk-relevant than a low HSR ACWR — the system only flags spikes (&gt;1.3) for Sprint, not crashes.</w:t>
      </w:r>
    </w:p>
    <w:p>
      <w:pPr>
        <w:pStyle w:val="Heading3"/>
        <w:spacing w:after="100" w:before="180"/>
      </w:pPr>
      <w:r>
        <w:rPr>
          <w:rFonts w:ascii="Calibri" w:cs="Calibri" w:eastAsia="Calibri" w:hAnsi="Calibri"/>
          <w:b/>
          <w:bCs/>
          <w:color w:val="333333"/>
          <w:sz w:val="22"/>
          <w:szCs w:val="22"/>
        </w:rPr>
        <w:t xml:space="preserve">%MaxV exposure (Buchheit &amp; Mendez-Villanueva 2014)</w:t>
      </w:r>
    </w:p>
    <w:p>
      <w:pPr>
        <w:spacing w:after="120"/>
      </w:pPr>
      <w:r>
        <w:rPr>
          <w:rFonts w:ascii="Calibri" w:cs="Calibri" w:eastAsia="Calibri" w:hAnsi="Calibri"/>
          <w:sz w:val="22"/>
          <w:szCs w:val="22"/>
        </w:rPr>
        <w:t xml:space="preserve">Ratio of recent best max velocity (last 28 days) to personal all-time max (last 365 days). Buchheit's research showed:</w:t>
      </w:r>
    </w:p>
    <w:p>
      <w:pPr>
        <w:pStyle w:val="ListParagraph"/>
        <w:numPr>
          <w:ilvl w:val="0"/>
          <w:numId w:val="2"/>
        </w:numPr>
        <w:spacing w:after="80"/>
      </w:pPr>
      <w:r>
        <w:rPr>
          <w:rFonts w:ascii="Calibri" w:cs="Calibri" w:eastAsia="Calibri" w:hAnsi="Calibri"/>
          <w:sz w:val="22"/>
          <w:szCs w:val="22"/>
        </w:rPr>
        <w:t xml:space="preserve">Players who reach ≥95% of MaxV regularly suffer FEWER hamstring strains</w:t>
      </w:r>
    </w:p>
    <w:p>
      <w:pPr>
        <w:pStyle w:val="ListParagraph"/>
        <w:numPr>
          <w:ilvl w:val="0"/>
          <w:numId w:val="2"/>
        </w:numPr>
        <w:spacing w:after="80"/>
      </w:pPr>
      <w:r>
        <w:rPr>
          <w:rFonts w:ascii="Calibri" w:cs="Calibri" w:eastAsia="Calibri" w:hAnsi="Calibri"/>
          <w:sz w:val="22"/>
          <w:szCs w:val="22"/>
        </w:rPr>
        <w:t xml:space="preserve">Players who never approach MaxV are at higher risk when forced to (e.g. competitive match)</w:t>
      </w:r>
    </w:p>
    <w:p>
      <w:pPr>
        <w:spacing w:after="120"/>
      </w:pPr>
      <w:r>
        <w:rPr>
          <w:rFonts w:ascii="Calibri" w:cs="Calibri" w:eastAsia="Calibri" w:hAnsi="Calibri"/>
          <w:sz w:val="22"/>
          <w:szCs w:val="22"/>
        </w:rPr>
        <w:t xml:space="preserve">Per-player measures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Measure</w:t>
            </w:r>
          </w:p>
        </w:tc>
        <w:tc>
          <w:tcPr>
            <w:tcW w:type="dxa" w:w="22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Classification</w:t>
            </w:r>
          </w:p>
        </w:tc>
        <w:tc>
          <w:tcPr>
            <w:tcW w:type="dxa" w:w="37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%MaxV &lt; 90% AND 0 sessions ≥ 95%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High risk (red)</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Never close to MaxV</w:t>
            </w:r>
          </w:p>
        </w:tc>
      </w:tr>
      <w:tr>
        <w:tc>
          <w:tcPr>
            <w:tcW w:type="dxa" w:w="3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%MaxV &lt; 92% AND &lt; 2 sessions ≥ 95%</w:t>
            </w:r>
          </w:p>
        </w:tc>
        <w:tc>
          <w:tcPr>
            <w:tcW w:type="dxa" w:w="22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Watch (yellow)</w:t>
            </w:r>
          </w:p>
        </w:tc>
        <w:tc>
          <w:tcPr>
            <w:tcW w:type="dxa" w:w="37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Rarely close to MaxV</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Otherwise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Healthy (green)</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Normal max-V exposure</w:t>
            </w:r>
          </w:p>
        </w:tc>
      </w:tr>
    </w:tbl>
    <w:p>
      <w:pPr>
        <w:pStyle w:val="Heading2"/>
        <w:spacing w:after="140" w:before="240"/>
      </w:pPr>
      <w:r>
        <w:rPr>
          <w:rFonts w:ascii="Calibri" w:cs="Calibri" w:eastAsia="Calibri" w:hAnsi="Calibri"/>
          <w:b/>
          <w:bCs/>
          <w:sz w:val="26"/>
          <w:szCs w:val="26"/>
        </w:rPr>
        <w:t xml:space="preserve">Combined verdict</w:t>
      </w:r>
    </w:p>
    <w:p>
      <w:pPr>
        <w:spacing w:after="120"/>
      </w:pPr>
      <w:r>
        <w:rPr>
          <w:rFonts w:ascii="Calibri" w:cs="Calibri" w:eastAsia="Calibri" w:hAnsi="Calibri"/>
          <w:sz w:val="22"/>
          <w:szCs w:val="22"/>
        </w:rPr>
        <w:t xml:space="preserve">Each player gets a single overall flag (red / yellow / green / grey for insufficient data) which is the WORST flag among the three metrics. This lets the coach scroll down the table and see immediately who needs attention — without having to read every column value.</w:t>
      </w:r>
    </w:p>
    <w:p>
      <w:pPr>
        <w:spacing w:after="120"/>
      </w:pPr>
      <w:r>
        <w:rPr>
          <w:rFonts w:ascii="Calibri" w:cs="Calibri" w:eastAsia="Calibri" w:hAnsi="Calibri"/>
          <w:sz w:val="22"/>
          <w:szCs w:val="22"/>
        </w:rPr>
        <w:t xml:space="preserve">The page sorts by severity (red first, green last) so high-risk players get focus first.</w:t>
      </w:r>
    </w:p>
    <w:p>
      <w:pPr>
        <w:pStyle w:val="Heading2"/>
        <w:spacing w:after="140" w:before="240"/>
      </w:pPr>
      <w:r>
        <w:rPr>
          <w:rFonts w:ascii="Calibri" w:cs="Calibri" w:eastAsia="Calibri" w:hAnsi="Calibri"/>
          <w:b/>
          <w:bCs/>
          <w:sz w:val="26"/>
          <w:szCs w:val="26"/>
        </w:rPr>
        <w:t xml:space="preserve">Where do I find HSR Intelligence?</w:t>
      </w:r>
    </w:p>
    <w:p>
      <w:pPr>
        <w:pStyle w:val="ListParagraph"/>
        <w:numPr>
          <w:ilvl w:val="0"/>
          <w:numId w:val="2"/>
        </w:numPr>
        <w:spacing w:after="80"/>
      </w:pPr>
      <w:r>
        <w:rPr>
          <w:rFonts w:ascii="Calibri" w:cs="Calibri" w:eastAsia="Calibri" w:hAnsi="Calibri"/>
          <w:sz w:val="22"/>
          <w:szCs w:val="22"/>
        </w:rPr>
        <w:t xml:space="preserve">Sidebar: Monitoring → HSR Intelligence</w:t>
      </w:r>
    </w:p>
    <w:p>
      <w:pPr>
        <w:pStyle w:val="ListParagraph"/>
        <w:numPr>
          <w:ilvl w:val="0"/>
          <w:numId w:val="2"/>
        </w:numPr>
        <w:spacing w:after="80"/>
      </w:pPr>
      <w:r>
        <w:rPr>
          <w:rFonts w:ascii="Calibri" w:cs="Calibri" w:eastAsia="Calibri" w:hAnsi="Calibri"/>
          <w:sz w:val="22"/>
          <w:szCs w:val="22"/>
        </w:rPr>
        <w:t xml:space="preserve">Top tab bar: HSR Intel.</w:t>
      </w:r>
    </w:p>
    <w:p>
      <w:pPr>
        <w:pStyle w:val="ListParagraph"/>
        <w:numPr>
          <w:ilvl w:val="0"/>
          <w:numId w:val="2"/>
        </w:numPr>
        <w:spacing w:after="80"/>
      </w:pPr>
      <w:r>
        <w:rPr>
          <w:rFonts w:ascii="Calibri" w:cs="Calibri" w:eastAsia="Calibri" w:hAnsi="Calibri"/>
          <w:sz w:val="22"/>
          <w:szCs w:val="22"/>
        </w:rPr>
        <w:t xml:space="preserve">Direct URL: /coach/hsr-intelligence</w:t>
      </w:r>
    </w:p>
    <w:p>
      <w:pPr>
        <w:pStyle w:val="ListParagraph"/>
        <w:numPr>
          <w:ilvl w:val="0"/>
          <w:numId w:val="2"/>
        </w:numPr>
        <w:spacing w:after="80"/>
      </w:pPr>
      <w:r>
        <w:rPr>
          <w:rFonts w:ascii="Calibri" w:cs="Calibri" w:eastAsia="Calibri" w:hAnsi="Calibri"/>
          <w:sz w:val="22"/>
          <w:szCs w:val="22"/>
        </w:rPr>
        <w:t xml:space="preserve">Visible only on Lite teams. Pro / Premium teams see Decel Intelligence instead (comparable page with higher fidelity)</w:t>
      </w:r>
    </w:p>
    <w:p>
      <w:r>
        <w:br w:type="page"/>
      </w:r>
    </w:p>
    <w:p>
      <w:pPr>
        <w:pStyle w:val="Heading1"/>
        <w:spacing w:after="200" w:before="320"/>
      </w:pPr>
      <w:r>
        <w:rPr>
          <w:rFonts w:ascii="Calibri" w:cs="Calibri" w:eastAsia="Calibri" w:hAnsi="Calibri"/>
          <w:b/>
          <w:bCs/>
          <w:sz w:val="32"/>
          <w:szCs w:val="32"/>
        </w:rPr>
        <w:t xml:space="preserve">6. Foster Monotony + Strain — Foster 1998</w:t>
      </w:r>
    </w:p>
    <w:p>
      <w:pPr>
        <w:spacing w:after="120"/>
      </w:pPr>
      <w:r>
        <w:rPr>
          <w:rFonts w:ascii="Calibri" w:cs="Calibri" w:eastAsia="Calibri" w:hAnsi="Calibri"/>
          <w:sz w:val="22"/>
          <w:szCs w:val="22"/>
        </w:rPr>
        <w:t xml:space="preserve">Foster's Training Monotony and Strain is the oldest and most validated load-monitoring method in sport science. Used by AC Milan in the 2000s to monitor Kaká, Pirlo, and Maldini. Rendered as a card on /coach/load-intelligence.</w:t>
      </w:r>
    </w:p>
    <w:p>
      <w:pPr>
        <w:pStyle w:val="Heading2"/>
        <w:spacing w:after="140" w:before="240"/>
      </w:pPr>
      <w:r>
        <w:rPr>
          <w:rFonts w:ascii="Calibri" w:cs="Calibri" w:eastAsia="Calibri" w:hAnsi="Calibri"/>
          <w:b/>
          <w:bCs/>
          <w:sz w:val="26"/>
          <w:szCs w:val="26"/>
        </w:rPr>
        <w:t xml:space="preserve">The math</w:t>
      </w:r>
    </w:p>
    <w:p>
      <w:pPr>
        <w:spacing w:after="120"/>
      </w:pPr>
      <w:r>
        <w:rPr>
          <w:rFonts w:ascii="Calibri" w:cs="Calibri" w:eastAsia="Calibri" w:hAnsi="Calibri"/>
          <w:sz w:val="22"/>
          <w:szCs w:val="22"/>
        </w:rPr>
        <w:t xml:space="preserve">Computed on a rolling 7-day window per player:</w:t>
      </w:r>
    </w:p>
    <w:p>
      <w:pPr>
        <w:pStyle w:val="ListParagraph"/>
        <w:numPr>
          <w:ilvl w:val="0"/>
          <w:numId w:val="2"/>
        </w:numPr>
        <w:spacing w:after="80"/>
      </w:pPr>
      <w:r>
        <w:rPr>
          <w:rFonts w:ascii="Calibri" w:cs="Calibri" w:eastAsia="Calibri" w:hAnsi="Calibri"/>
          <w:sz w:val="22"/>
          <w:szCs w:val="22"/>
        </w:rPr>
        <w:t xml:space="preserve">daily_load = sRPE × duration_minutes (AU)</w:t>
      </w:r>
    </w:p>
    <w:p>
      <w:pPr>
        <w:pStyle w:val="ListParagraph"/>
        <w:numPr>
          <w:ilvl w:val="0"/>
          <w:numId w:val="2"/>
        </w:numPr>
        <w:spacing w:after="80"/>
      </w:pPr>
      <w:r>
        <w:rPr>
          <w:rFonts w:ascii="Calibri" w:cs="Calibri" w:eastAsia="Calibri" w:hAnsi="Calibri"/>
          <w:sz w:val="22"/>
          <w:szCs w:val="22"/>
        </w:rPr>
        <w:t xml:space="preserve">weekly_load = sum of daily_load over the last 7 days</w:t>
      </w:r>
    </w:p>
    <w:p>
      <w:pPr>
        <w:pStyle w:val="ListParagraph"/>
        <w:numPr>
          <w:ilvl w:val="0"/>
          <w:numId w:val="2"/>
        </w:numPr>
        <w:spacing w:after="80"/>
      </w:pPr>
      <w:r>
        <w:rPr>
          <w:rFonts w:ascii="Calibri" w:cs="Calibri" w:eastAsia="Calibri" w:hAnsi="Calibri"/>
          <w:sz w:val="22"/>
          <w:szCs w:val="22"/>
        </w:rPr>
        <w:t xml:space="preserve">mean_load = weekly_load / 7</w:t>
      </w:r>
    </w:p>
    <w:p>
      <w:pPr>
        <w:pStyle w:val="ListParagraph"/>
        <w:numPr>
          <w:ilvl w:val="0"/>
          <w:numId w:val="2"/>
        </w:numPr>
        <w:spacing w:after="80"/>
      </w:pPr>
      <w:r>
        <w:rPr>
          <w:rFonts w:ascii="Calibri" w:cs="Calibri" w:eastAsia="Calibri" w:hAnsi="Calibri"/>
          <w:sz w:val="22"/>
          <w:szCs w:val="22"/>
        </w:rPr>
        <w:t xml:space="preserve">sd_load = standard deviation of daily_load across the 7 days</w:t>
      </w:r>
    </w:p>
    <w:p>
      <w:pPr>
        <w:pStyle w:val="ListParagraph"/>
        <w:numPr>
          <w:ilvl w:val="0"/>
          <w:numId w:val="2"/>
        </w:numPr>
        <w:spacing w:after="80"/>
      </w:pPr>
      <w:r>
        <w:rPr>
          <w:rFonts w:ascii="Calibri" w:cs="Calibri" w:eastAsia="Calibri" w:hAnsi="Calibri"/>
          <w:sz w:val="22"/>
          <w:szCs w:val="22"/>
        </w:rPr>
        <w:t xml:space="preserve">MONOTONY = mean_load / sd_load</w:t>
      </w:r>
    </w:p>
    <w:p>
      <w:pPr>
        <w:pStyle w:val="ListParagraph"/>
        <w:numPr>
          <w:ilvl w:val="0"/>
          <w:numId w:val="2"/>
        </w:numPr>
        <w:spacing w:after="80"/>
      </w:pPr>
      <w:r>
        <w:rPr>
          <w:rFonts w:ascii="Calibri" w:cs="Calibri" w:eastAsia="Calibri" w:hAnsi="Calibri"/>
          <w:sz w:val="22"/>
          <w:szCs w:val="22"/>
        </w:rPr>
        <w:t xml:space="preserve">STRAIN = weekly_load × MONOTONY</w:t>
      </w:r>
    </w:p>
    <w:p>
      <w:pPr>
        <w:pStyle w:val="Heading2"/>
        <w:spacing w:after="140" w:before="240"/>
      </w:pPr>
      <w:r>
        <w:rPr>
          <w:rFonts w:ascii="Calibri" w:cs="Calibri" w:eastAsia="Calibri" w:hAnsi="Calibri"/>
          <w:b/>
          <w:bCs/>
          <w:sz w:val="26"/>
          <w:szCs w:val="26"/>
        </w:rPr>
        <w:t xml:space="preserve">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460"/>
      </w:tblGrid>
      <w:tr>
        <w:trPr>
          <w:tblHeader/>
        </w:trPr>
        <w:tc>
          <w:tcPr>
            <w:tcW w:type="dxa" w:w="19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Measure</w:t>
            </w:r>
          </w:p>
        </w:tc>
        <w:tc>
          <w:tcPr>
            <w:tcW w:type="dxa" w:w="23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Safe</w:t>
            </w:r>
          </w:p>
        </w:tc>
        <w:tc>
          <w:tcPr>
            <w:tcW w:type="dxa" w:w="27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Watch</w:t>
            </w:r>
          </w:p>
        </w:tc>
        <w:tc>
          <w:tcPr>
            <w:tcW w:type="dxa" w:w="24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High / Danger</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Monotony</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 1.5</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1.5 – 2.0</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&gt; 2.0 (overtraining risk)</w:t>
            </w:r>
          </w:p>
        </w:tc>
      </w:tr>
      <w:tr>
        <w:tc>
          <w:tcPr>
            <w:tcW w:type="dxa" w:w="1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Strain</w:t>
            </w:r>
          </w:p>
        </w:tc>
        <w:tc>
          <w:tcPr>
            <w:tcW w:type="dxa" w:w="23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 4500 AU</w:t>
            </w:r>
          </w:p>
        </w:tc>
        <w:tc>
          <w:tcPr>
            <w:tcW w:type="dxa" w:w="2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4500 – 6000 AU</w:t>
            </w:r>
          </w:p>
        </w:tc>
        <w:tc>
          <w:tcPr>
            <w:tcW w:type="dxa" w:w="24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&gt; 6000 AU (illness/injury danger)</w:t>
            </w:r>
          </w:p>
        </w:tc>
      </w:tr>
    </w:tbl>
    <w:p>
      <w:pPr>
        <w:pStyle w:val="Heading2"/>
        <w:spacing w:after="140" w:before="240"/>
      </w:pPr>
      <w:r>
        <w:rPr>
          <w:rFonts w:ascii="Calibri" w:cs="Calibri" w:eastAsia="Calibri" w:hAnsi="Calibri"/>
          <w:b/>
          <w:bCs/>
          <w:sz w:val="26"/>
          <w:szCs w:val="26"/>
        </w:rPr>
        <w:t xml:space="preserve">Why does monotony matter?</w:t>
      </w:r>
    </w:p>
    <w:p>
      <w:pPr>
        <w:spacing w:after="120"/>
      </w:pPr>
      <w:r>
        <w:rPr>
          <w:rFonts w:ascii="Calibri" w:cs="Calibri" w:eastAsia="Calibri" w:hAnsi="Calibri"/>
          <w:sz w:val="22"/>
          <w:szCs w:val="22"/>
        </w:rPr>
        <w:t xml:space="preserve">Foster's core insight: a player running 600 AU every day has higher overtraining risk than one alternating 400/800 AU days. Variability gives the body recovery time, monotony doesn't. This was revolutionary in 1998 and is still a core principle in modern periodization.</w:t>
      </w:r>
    </w:p>
    <w:p>
      <w:pPr>
        <w:pStyle w:val="Heading2"/>
        <w:spacing w:after="140" w:before="240"/>
      </w:pPr>
      <w:r>
        <w:rPr>
          <w:rFonts w:ascii="Calibri" w:cs="Calibri" w:eastAsia="Calibri" w:hAnsi="Calibri"/>
          <w:b/>
          <w:bCs/>
          <w:sz w:val="26"/>
          <w:szCs w:val="26"/>
        </w:rPr>
        <w:t xml:space="preserve">Two variants — RPE vs Volume fallback</w:t>
      </w:r>
    </w:p>
    <w:p>
      <w:pPr>
        <w:spacing w:after="120"/>
      </w:pPr>
      <w:r>
        <w:rPr>
          <w:rFonts w:ascii="Calibri" w:cs="Calibri" w:eastAsia="Calibri" w:hAnsi="Calibri"/>
          <w:sz w:val="22"/>
          <w:szCs w:val="22"/>
        </w:rPr>
        <w:t xml:space="preserve">Foster's canonical version requires sRPE × duration. MicroPulse automatically falls back to a volume-only variant when RPE compliance is poor (&lt;5 days with RPE entries in the 7-day window). The variant badge in the header shows which method was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Variant</w:t>
            </w:r>
          </w:p>
        </w:tc>
        <w:tc>
          <w:tcPr>
            <w:tcW w:type="dxa" w:w="3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Uses</w:t>
            </w:r>
          </w:p>
        </w:tc>
        <w:tc>
          <w:tcPr>
            <w:tcW w:type="dxa" w:w="29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Active when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RPE × duration (green badge)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session_rpe_entries.session_load</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Players log RPE after most sessions</w:t>
            </w:r>
          </w:p>
        </w:tc>
      </w:tr>
      <w:tr>
        <w:tc>
          <w:tcPr>
            <w:tcW w:type="dxa" w:w="3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Volume (m) (blue badge)</w:t>
            </w:r>
          </w:p>
        </w:tc>
        <w:tc>
          <w:tcPr>
            <w:tcW w:type="dxa" w:w="3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total_distance / 10 (scaled to AU range)</w:t>
            </w:r>
          </w:p>
        </w:tc>
        <w:tc>
          <w:tcPr>
            <w:tcW w:type="dxa" w:w="29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RPE entries are sparse — preseason or new team</w:t>
            </w:r>
          </w:p>
        </w:tc>
      </w:tr>
    </w:tbl>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The volume variant is a weaker signal than the RPE variant </w:t>
      </w:r>
      <w:r>
        <w:rPr>
          <w:rFonts w:ascii="Calibri" w:cs="Calibri" w:eastAsia="Calibri" w:hAnsi="Calibri"/>
          <w:sz w:val="22"/>
          <w:szCs w:val="22"/>
        </w:rPr>
        <w:t xml:space="preserve">— monotony on volume alone is less sensitive to actual fatigue. But it's still useful until RPE compliance lifts. Once players start logging RPE consistently the variant flips to RPE-mode automatically without manual intervention.</w:t>
      </w:r>
    </w:p>
    <w:p>
      <w:pPr>
        <w:pStyle w:val="Heading2"/>
        <w:spacing w:after="140" w:before="240"/>
      </w:pPr>
      <w:r>
        <w:rPr>
          <w:rFonts w:ascii="Calibri" w:cs="Calibri" w:eastAsia="Calibri" w:hAnsi="Calibri"/>
          <w:b/>
          <w:bCs/>
          <w:sz w:val="26"/>
          <w:szCs w:val="26"/>
        </w:rPr>
        <w:t xml:space="preserve">Practical use</w:t>
      </w:r>
    </w:p>
    <w:p>
      <w:pPr>
        <w:spacing w:after="120"/>
      </w:pPr>
      <w:r>
        <w:rPr>
          <w:rFonts w:ascii="Calibri" w:cs="Calibri" w:eastAsia="Calibri" w:hAnsi="Calibri"/>
          <w:sz w:val="22"/>
          <w:szCs w:val="22"/>
        </w:rPr>
        <w:t xml:space="preserve">Check the Foster card weekly — at the last session of the week (Fri / Sat, after the final block). Players in the Watch or High zones should get:</w:t>
      </w:r>
    </w:p>
    <w:p>
      <w:pPr>
        <w:pStyle w:val="ListParagraph"/>
        <w:numPr>
          <w:ilvl w:val="0"/>
          <w:numId w:val="2"/>
        </w:numPr>
        <w:spacing w:after="80"/>
      </w:pPr>
      <w:r>
        <w:rPr>
          <w:rFonts w:ascii="Calibri" w:cs="Calibri" w:eastAsia="Calibri" w:hAnsi="Calibri"/>
          <w:sz w:val="22"/>
          <w:szCs w:val="22"/>
        </w:rPr>
        <w:t xml:space="preserve">Reduced load in the last session before the match (MD-1)</w:t>
      </w:r>
    </w:p>
    <w:p>
      <w:pPr>
        <w:pStyle w:val="ListParagraph"/>
        <w:numPr>
          <w:ilvl w:val="0"/>
          <w:numId w:val="2"/>
        </w:numPr>
        <w:spacing w:after="80"/>
      </w:pPr>
      <w:r>
        <w:rPr>
          <w:rFonts w:ascii="Calibri" w:cs="Calibri" w:eastAsia="Calibri" w:hAnsi="Calibri"/>
          <w:sz w:val="22"/>
          <w:szCs w:val="22"/>
        </w:rPr>
        <w:t xml:space="preserve">A check-in on sleep and well-being via the wellness card</w:t>
      </w:r>
    </w:p>
    <w:p>
      <w:pPr>
        <w:pStyle w:val="ListParagraph"/>
        <w:numPr>
          <w:ilvl w:val="0"/>
          <w:numId w:val="2"/>
        </w:numPr>
        <w:spacing w:after="80"/>
      </w:pPr>
      <w:r>
        <w:rPr>
          <w:rFonts w:ascii="Calibri" w:cs="Calibri" w:eastAsia="Calibri" w:hAnsi="Calibri"/>
          <w:sz w:val="22"/>
          <w:szCs w:val="22"/>
        </w:rPr>
        <w:t xml:space="preserve">Possibly reduced match minutes if sleep/RPE also start to climb</w:t>
      </w:r>
    </w:p>
    <w:p>
      <w:r>
        <w:br w:type="page"/>
      </w:r>
    </w:p>
    <w:p>
      <w:pPr>
        <w:pStyle w:val="Heading1"/>
        <w:spacing w:after="200" w:before="320"/>
      </w:pPr>
      <w:r>
        <w:rPr>
          <w:rFonts w:ascii="Calibri" w:cs="Calibri" w:eastAsia="Calibri" w:hAnsi="Calibri"/>
          <w:b/>
          <w:bCs/>
          <w:sz w:val="32"/>
          <w:szCs w:val="32"/>
        </w:rPr>
        <w:t xml:space="preserve">7. MD HSR Comparison — Buchheit 2018 + Stares 2018</w:t>
      </w:r>
    </w:p>
    <w:p>
      <w:pPr>
        <w:spacing w:after="120"/>
      </w:pPr>
      <w:r>
        <w:rPr>
          <w:rFonts w:ascii="Calibri" w:cs="Calibri" w:eastAsia="Calibri" w:hAnsi="Calibri"/>
          <w:sz w:val="22"/>
          <w:szCs w:val="22"/>
        </w:rPr>
        <w:t xml:space="preserve">The MD Comparison HSR card is a periodization helper showing how much of MD (match day) HSR each player has reached this week. Buchheit's rule is simple and well-supported:</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The 95% rule: </w:t>
      </w:r>
      <w:r>
        <w:rPr>
          <w:rFonts w:ascii="Calibri" w:cs="Calibri" w:eastAsia="Calibri" w:hAnsi="Calibri"/>
          <w:sz w:val="22"/>
          <w:szCs w:val="22"/>
        </w:rPr>
        <w:t xml:space="preserve">Players who reach ≥95% of their MD HSR by MD-1 enter the match prepared. Players below 80% across the cycle are at high injury risk on match day.</w:t>
      </w:r>
    </w:p>
    <w:p>
      <w:pPr>
        <w:pStyle w:val="Heading2"/>
        <w:spacing w:after="140" w:before="240"/>
      </w:pPr>
      <w:r>
        <w:rPr>
          <w:rFonts w:ascii="Calibri" w:cs="Calibri" w:eastAsia="Calibri" w:hAnsi="Calibri"/>
          <w:b/>
          <w:bCs/>
          <w:sz w:val="26"/>
          <w:szCs w:val="26"/>
        </w:rPr>
        <w:t xml:space="preserve">Where do I find the card?</w:t>
      </w:r>
    </w:p>
    <w:p>
      <w:pPr>
        <w:spacing w:after="120"/>
      </w:pPr>
      <w:r>
        <w:rPr>
          <w:rFonts w:ascii="Calibri" w:cs="Calibri" w:eastAsia="Calibri" w:hAnsi="Calibri"/>
          <w:sz w:val="22"/>
          <w:szCs w:val="22"/>
        </w:rPr>
        <w:t xml:space="preserve">/coach/load-intelligence — second card from the top (just below Foster Monotony). Shows a per-player table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69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Player</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Name + position</w:t>
            </w:r>
          </w:p>
        </w:tc>
      </w:tr>
      <w:tr>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HSR 7d (m)</w:t>
            </w:r>
          </w:p>
        </w:tc>
        <w:tc>
          <w:tcPr>
            <w:tcW w:type="dxa" w:w="69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Total HSR over the last 7 days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MD baseline (m)</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What the player typically runs in a single match</w:t>
            </w:r>
          </w:p>
        </w:tc>
      </w:tr>
      <w:tr>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 of MD</w:t>
            </w:r>
          </w:p>
        </w:tc>
        <w:tc>
          <w:tcPr>
            <w:tcW w:type="dxa" w:w="69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HSR 7d ÷ MD baseline × 100</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Samples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How many matches or sessions were used to derive the baseline</w:t>
            </w:r>
          </w:p>
        </w:tc>
      </w:tr>
      <w:tr>
        <w:tc>
          <w:tcPr>
            <w:tcW w:type="dxa" w:w="2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Status</w:t>
            </w:r>
          </w:p>
        </w:tc>
        <w:tc>
          <w:tcPr>
            <w:tcW w:type="dxa" w:w="69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UNDER / WATCH / READY / OVER</w:t>
            </w:r>
          </w:p>
        </w:tc>
      </w:tr>
    </w:tbl>
    <w:p>
      <w:pPr>
        <w:pStyle w:val="Heading2"/>
        <w:spacing w:after="140" w:before="240"/>
      </w:pPr>
      <w:r>
        <w:rPr>
          <w:rFonts w:ascii="Calibri" w:cs="Calibri" w:eastAsia="Calibri" w:hAnsi="Calibri"/>
          <w:b/>
          <w:bCs/>
          <w:sz w:val="26"/>
          <w:szCs w:val="26"/>
        </w:rPr>
        <w:t xml:space="preserve">Status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400"/>
        <w:gridCol w:w="2760"/>
      </w:tblGrid>
      <w:tr>
        <w:trPr>
          <w:tblHeader/>
        </w:trPr>
        <w:tc>
          <w:tcPr>
            <w:tcW w:type="dxa" w:w="15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c>
          <w:tcPr>
            <w:tcW w:type="dxa" w:w="17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 of MD</w:t>
            </w:r>
          </w:p>
        </w:tc>
        <w:tc>
          <w:tcPr>
            <w:tcW w:type="dxa" w:w="340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What it means</w:t>
            </w:r>
          </w:p>
        </w:tc>
        <w:tc>
          <w:tcPr>
            <w:tcW w:type="dxa" w:w="2760"/>
            <w:tcBorders>
              <w:top w:val="single" w:color="CCCCCC" w:sz="4"/>
              <w:left w:val="single" w:color="CCCCCC" w:sz="4"/>
              <w:bottom w:val="single" w:color="CCCCCC" w:sz="4"/>
              <w:right w:val="single" w:color="CCCCCC" w:sz="4"/>
            </w:tcBorders>
            <w:shd w:fill="1F4E78"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UNDER</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&lt; 80%</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Under-exposed — high injury risk in match</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Add HSR work, or reduce match minutes</w:t>
            </w:r>
          </w:p>
        </w:tc>
      </w:tr>
      <w:tr>
        <w:tc>
          <w:tcPr>
            <w:tcW w:type="dxa" w:w="1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WATCH</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80 – 94%</w:t>
            </w:r>
          </w:p>
        </w:tc>
        <w:tc>
          <w:tcPr>
            <w:tcW w:type="dxa" w:w="3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Almost ready, needs a bit more</w:t>
            </w:r>
          </w:p>
        </w:tc>
        <w:tc>
          <w:tcPr>
            <w:tcW w:type="dxa" w:w="27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Top up HSR in MD-1 session</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READY</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95 – 110%</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Optimal exposure</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sz w:val="20"/>
                <w:szCs w:val="20"/>
              </w:rPr>
              <w:t xml:space="preserve">No change — player is ready</w:t>
            </w:r>
          </w:p>
        </w:tc>
      </w:tr>
      <w:tr>
        <w:tc>
          <w:tcPr>
            <w:tcW w:type="dxa" w:w="1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OVER</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&gt; 110%</w:t>
            </w:r>
          </w:p>
        </w:tc>
        <w:tc>
          <w:tcPr>
            <w:tcW w:type="dxa" w:w="3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Too much — pre-match fatigue risk</w:t>
            </w:r>
          </w:p>
        </w:tc>
        <w:tc>
          <w:tcPr>
            <w:tcW w:type="dxa" w:w="276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r>
              <w:rPr>
                <w:rFonts w:ascii="Calibri" w:cs="Calibri" w:eastAsia="Calibri" w:hAnsi="Calibri"/>
                <w:sz w:val="20"/>
                <w:szCs w:val="20"/>
              </w:rPr>
              <w:t xml:space="preserve">Soften last session, longer recovery</w:t>
            </w:r>
          </w:p>
        </w:tc>
      </w:tr>
    </w:tbl>
    <w:p>
      <w:pPr>
        <w:pStyle w:val="Heading2"/>
        <w:spacing w:after="140" w:before="240"/>
      </w:pPr>
      <w:r>
        <w:rPr>
          <w:rFonts w:ascii="Calibri" w:cs="Calibri" w:eastAsia="Calibri" w:hAnsi="Calibri"/>
          <w:b/>
          <w:bCs/>
          <w:sz w:val="26"/>
          <w:szCs w:val="26"/>
        </w:rPr>
        <w:t xml:space="preserve">Two baseline strategies</w:t>
      </w:r>
    </w:p>
    <w:p>
      <w:pPr>
        <w:pStyle w:val="Heading3"/>
        <w:spacing w:after="100" w:before="180"/>
      </w:pPr>
      <w:r>
        <w:rPr>
          <w:rFonts w:ascii="Calibri" w:cs="Calibri" w:eastAsia="Calibri" w:hAnsi="Calibri"/>
          <w:b/>
          <w:bCs/>
          <w:color w:val="333333"/>
          <w:sz w:val="22"/>
          <w:szCs w:val="22"/>
        </w:rPr>
        <w:t xml:space="preserve">Match-derived baseline (preferred — green badge)</w:t>
      </w:r>
    </w:p>
    <w:p>
      <w:pPr>
        <w:spacing w:after="120"/>
      </w:pPr>
      <w:r>
        <w:rPr>
          <w:rFonts w:ascii="Calibri" w:cs="Calibri" w:eastAsia="Calibri" w:hAnsi="Calibri"/>
          <w:sz w:val="22"/>
          <w:szCs w:val="22"/>
        </w:rPr>
        <w:t xml:space="preserve">When a player has appeared in ≥1 match in the last 90 days (with at least 30 minutes played), the baseline is the median HSR across those match dates. This is the canonical Buchheit-Stares reference — what the match actually demanded of the player.</w:t>
      </w:r>
    </w:p>
    <w:p>
      <w:pPr>
        <w:pStyle w:val="Heading3"/>
        <w:spacing w:after="100" w:before="180"/>
      </w:pPr>
      <w:r>
        <w:rPr>
          <w:rFonts w:ascii="Calibri" w:cs="Calibri" w:eastAsia="Calibri" w:hAnsi="Calibri"/>
          <w:b/>
          <w:bCs/>
          <w:color w:val="333333"/>
          <w:sz w:val="22"/>
          <w:szCs w:val="22"/>
        </w:rPr>
        <w:t xml:space="preserve">Synthetic top-decile baseline (fallback — blue badge)</w:t>
      </w:r>
    </w:p>
    <w:p>
      <w:pPr>
        <w:spacing w:after="120"/>
      </w:pPr>
      <w:r>
        <w:rPr>
          <w:rFonts w:ascii="Calibri" w:cs="Calibri" w:eastAsia="Calibri" w:hAnsi="Calibri"/>
          <w:sz w:val="22"/>
          <w:szCs w:val="22"/>
        </w:rPr>
        <w:t xml:space="preserve">If no matches have been played yet (preseason or new team), the baseline is the mean of the player's own top 10% sessions. Less accurate but keeps the card useful from day 1, instead of being dark for 6 weeks until the first match.</w:t>
      </w:r>
    </w:p>
    <w:p>
      <w:pPr>
        <w:pBdr>
          <w:top w:val="single" w:color="5BA0E0" w:sz="8"/>
          <w:bottom w:val="single" w:color="5BA0E0" w:sz="8"/>
          <w:left w:val="single" w:color="5BA0E0" w:sz="24"/>
          <w:right w:val="single" w:color="5BA0E0" w:sz="8"/>
        </w:pBdr>
        <w:shd w:fill="E8F4FD" w:val="clear"/>
        <w:spacing w:after="160" w:before="160"/>
        <w:ind w:left="200" w:right="200"/>
      </w:pPr>
      <w:r>
        <w:rPr>
          <w:rFonts w:ascii="Calibri" w:cs="Calibri" w:eastAsia="Calibri" w:hAnsi="Calibri"/>
          <w:b/>
          <w:bCs/>
          <w:sz w:val="22"/>
          <w:szCs w:val="22"/>
        </w:rPr>
        <w:t xml:space="preserve">Per-team strategy detection: </w:t>
      </w:r>
      <w:r>
        <w:rPr>
          <w:rFonts w:ascii="Calibri" w:cs="Calibri" w:eastAsia="Calibri" w:hAnsi="Calibri"/>
          <w:sz w:val="22"/>
          <w:szCs w:val="22"/>
        </w:rPr>
        <w:t xml:space="preserve">If any player has ≥1 match in the 90-day window → match strategy for everyone. If none → synthetic strategy. Per-player override: a player with their own matches uses the match strategy regardless of the team-level setting.</w:t>
      </w:r>
    </w:p>
    <w:p>
      <w:pPr>
        <w:pStyle w:val="Heading2"/>
        <w:spacing w:after="140" w:before="240"/>
      </w:pPr>
      <w:r>
        <w:rPr>
          <w:rFonts w:ascii="Calibri" w:cs="Calibri" w:eastAsia="Calibri" w:hAnsi="Calibri"/>
          <w:b/>
          <w:bCs/>
          <w:sz w:val="26"/>
          <w:szCs w:val="26"/>
        </w:rPr>
        <w:t xml:space="preserve">Practical use — weekly workflow</w:t>
      </w:r>
    </w:p>
    <w:p>
      <w:pPr>
        <w:spacing w:after="120"/>
      </w:pPr>
      <w:r>
        <w:rPr>
          <w:rFonts w:ascii="Calibri" w:cs="Calibri" w:eastAsia="Calibri" w:hAnsi="Calibri"/>
          <w:b/>
          <w:bCs/>
          <w:sz w:val="22"/>
          <w:szCs w:val="22"/>
        </w:rPr>
        <w:t xml:space="preserve">Monday (MD-6/-5): </w:t>
      </w:r>
      <w:r>
        <w:rPr>
          <w:rFonts w:ascii="Calibri" w:cs="Calibri" w:eastAsia="Calibri" w:hAnsi="Calibri"/>
          <w:sz w:val="22"/>
          <w:szCs w:val="22"/>
        </w:rPr>
        <w:t xml:space="preserve">Check who was OVER after the weekend match → plan recovery sessions</w:t>
      </w:r>
    </w:p>
    <w:p>
      <w:pPr>
        <w:spacing w:after="120"/>
      </w:pPr>
      <w:r>
        <w:rPr>
          <w:rFonts w:ascii="Calibri" w:cs="Calibri" w:eastAsia="Calibri" w:hAnsi="Calibri"/>
          <w:b/>
          <w:bCs/>
          <w:sz w:val="22"/>
          <w:szCs w:val="22"/>
        </w:rPr>
        <w:t xml:space="preserve">Tuesday (MD-4): </w:t>
      </w:r>
      <w:r>
        <w:rPr>
          <w:rFonts w:ascii="Calibri" w:cs="Calibri" w:eastAsia="Calibri" w:hAnsi="Calibri"/>
          <w:sz w:val="22"/>
          <w:szCs w:val="22"/>
        </w:rPr>
        <w:t xml:space="preserve">Hard HSR session — helps UNDER players catch up</w:t>
      </w:r>
    </w:p>
    <w:p>
      <w:pPr>
        <w:spacing w:after="120"/>
      </w:pPr>
      <w:r>
        <w:rPr>
          <w:rFonts w:ascii="Calibri" w:cs="Calibri" w:eastAsia="Calibri" w:hAnsi="Calibri"/>
          <w:b/>
          <w:bCs/>
          <w:sz w:val="22"/>
          <w:szCs w:val="22"/>
        </w:rPr>
        <w:t xml:space="preserve">Wednesday (MD-3): </w:t>
      </w:r>
      <w:r>
        <w:rPr>
          <w:rFonts w:ascii="Calibri" w:cs="Calibri" w:eastAsia="Calibri" w:hAnsi="Calibri"/>
          <w:sz w:val="22"/>
          <w:szCs w:val="22"/>
        </w:rPr>
        <w:t xml:space="preserve">Tactical, lower volume</w:t>
      </w:r>
    </w:p>
    <w:p>
      <w:pPr>
        <w:spacing w:after="120"/>
      </w:pPr>
      <w:r>
        <w:rPr>
          <w:rFonts w:ascii="Calibri" w:cs="Calibri" w:eastAsia="Calibri" w:hAnsi="Calibri"/>
          <w:b/>
          <w:bCs/>
          <w:sz w:val="22"/>
          <w:szCs w:val="22"/>
        </w:rPr>
        <w:t xml:space="preserve">Thursday (MD-2): </w:t>
      </w:r>
      <w:r>
        <w:rPr>
          <w:rFonts w:ascii="Calibri" w:cs="Calibri" w:eastAsia="Calibri" w:hAnsi="Calibri"/>
          <w:sz w:val="22"/>
          <w:szCs w:val="22"/>
        </w:rPr>
        <w:t xml:space="preserve">Check again — who is still UNDER?</w:t>
      </w:r>
    </w:p>
    <w:p>
      <w:pPr>
        <w:spacing w:after="120"/>
      </w:pPr>
      <w:r>
        <w:rPr>
          <w:rFonts w:ascii="Calibri" w:cs="Calibri" w:eastAsia="Calibri" w:hAnsi="Calibri"/>
          <w:b/>
          <w:bCs/>
          <w:sz w:val="22"/>
          <w:szCs w:val="22"/>
        </w:rPr>
        <w:t xml:space="preserve">Friday (MD-1): </w:t>
      </w:r>
      <w:r>
        <w:rPr>
          <w:rFonts w:ascii="Calibri" w:cs="Calibri" w:eastAsia="Calibri" w:hAnsi="Calibri"/>
          <w:sz w:val="22"/>
          <w:szCs w:val="22"/>
        </w:rPr>
        <w:t xml:space="preserve">Top up HSR for WATCH players, soften OVER players. Last chance.</w:t>
      </w:r>
    </w:p>
    <w:p>
      <w:pPr>
        <w:spacing w:after="120"/>
      </w:pPr>
      <w:r>
        <w:rPr>
          <w:rFonts w:ascii="Calibri" w:cs="Calibri" w:eastAsia="Calibri" w:hAnsi="Calibri"/>
          <w:b/>
          <w:bCs/>
          <w:sz w:val="22"/>
          <w:szCs w:val="22"/>
        </w:rPr>
        <w:t xml:space="preserve">Saturday (MD): </w:t>
      </w:r>
      <w:r>
        <w:rPr>
          <w:rFonts w:ascii="Calibri" w:cs="Calibri" w:eastAsia="Calibri" w:hAnsi="Calibri"/>
          <w:sz w:val="22"/>
          <w:szCs w:val="22"/>
        </w:rPr>
        <w:t xml:space="preserve">Goal: every player going into the starting XI is READY</w:t>
      </w:r>
    </w:p>
    <w:p>
      <w:r>
        <w:br w:type="page"/>
      </w:r>
    </w:p>
    <w:p>
      <w:pPr>
        <w:pStyle w:val="Heading1"/>
        <w:spacing w:after="200" w:before="320"/>
      </w:pPr>
      <w:r>
        <w:rPr>
          <w:rFonts w:ascii="Calibri" w:cs="Calibri" w:eastAsia="Calibri" w:hAnsi="Calibri"/>
          <w:b/>
          <w:bCs/>
          <w:sz w:val="32"/>
          <w:szCs w:val="32"/>
        </w:rPr>
        <w:t xml:space="preserve">8. What's not available on Lite + how to upgrade</w:t>
      </w:r>
    </w:p>
    <w:p>
      <w:pPr>
        <w:spacing w:after="120"/>
      </w:pPr>
      <w:r>
        <w:rPr>
          <w:rFonts w:ascii="Calibri" w:cs="Calibri" w:eastAsia="Calibri" w:hAnsi="Calibri"/>
          <w:sz w:val="22"/>
          <w:szCs w:val="22"/>
        </w:rPr>
        <w:t xml:space="preserve">Three pages are hidden on the Lite tier because they require data that standard Catapult plans don't expose:</w:t>
      </w:r>
    </w:p>
    <w:p>
      <w:pPr>
        <w:pStyle w:val="Heading2"/>
        <w:spacing w:after="140" w:before="240"/>
      </w:pPr>
      <w:r>
        <w:rPr>
          <w:rFonts w:ascii="Calibri" w:cs="Calibri" w:eastAsia="Calibri" w:hAnsi="Calibri"/>
          <w:b/>
          <w:bCs/>
          <w:sz w:val="26"/>
          <w:szCs w:val="26"/>
        </w:rPr>
        <w:t xml:space="preserve">Decel Intelligence (McBurnie 2022)</w:t>
      </w:r>
    </w:p>
    <w:p>
      <w:pPr>
        <w:spacing w:after="120"/>
      </w:pPr>
      <w:r>
        <w:rPr>
          <w:rFonts w:ascii="Calibri" w:cs="Calibri" w:eastAsia="Calibri" w:hAnsi="Calibri"/>
          <w:sz w:val="22"/>
          <w:szCs w:val="22"/>
        </w:rPr>
        <w:t xml:space="preserve">4-dimension framework (Overload, Underload, Decel:Sprint coupling, Concentration) built on B2-3 deceleration efforts. McBurnie's 2022 paper in Sports Medicine showed that deceleration is a quad-dominant + hamstring-deficient action (peak quadriceps activation 161% MVC during mid-eccentric foot strike, hamstring co-activation −87%) — the resulting anterior tibial translation is the mechanism behind ACL, quadriceps and patellar tendon injury. Decel burden is the single best GPS predictor of these knee-extensor and ACL injuries in elite football. (Hamstring strain risk lives on the sprint side, not the braking side.)</w:t>
      </w:r>
    </w:p>
    <w:p>
      <w:pPr>
        <w:spacing w:after="120"/>
      </w:pPr>
      <w:r>
        <w:rPr>
          <w:rFonts w:ascii="Calibri" w:cs="Calibri" w:eastAsia="Calibri" w:hAnsi="Calibri"/>
          <w:b/>
          <w:bCs/>
          <w:sz w:val="22"/>
          <w:szCs w:val="22"/>
        </w:rPr>
        <w:t xml:space="preserve">Requires: </w:t>
      </w:r>
      <w:r>
        <w:rPr>
          <w:rFonts w:ascii="Calibri" w:cs="Calibri" w:eastAsia="Calibri" w:hAnsi="Calibri"/>
          <w:sz w:val="22"/>
          <w:szCs w:val="22"/>
        </w:rPr>
        <w:t xml:space="preserve">Acceleration B2-3 Total Efforts (Gen 2) + Deceleration B2-3 Total Efforts (Gen 2) from a Catapult Pro plan</w:t>
      </w:r>
    </w:p>
    <w:p>
      <w:pPr>
        <w:spacing w:after="120"/>
      </w:pPr>
      <w:r>
        <w:rPr>
          <w:rFonts w:ascii="Calibri" w:cs="Calibri" w:eastAsia="Calibri" w:hAnsi="Calibri"/>
          <w:b/>
          <w:bCs/>
          <w:sz w:val="22"/>
          <w:szCs w:val="22"/>
        </w:rPr>
        <w:t xml:space="preserve">Lite equivalent: </w:t>
      </w:r>
      <w:r>
        <w:rPr>
          <w:rFonts w:ascii="Calibri" w:cs="Calibri" w:eastAsia="Calibri" w:hAnsi="Calibri"/>
          <w:sz w:val="22"/>
          <w:szCs w:val="22"/>
        </w:rPr>
        <w:t xml:space="preserve">HSR Intelligence (Malone 2017 + Buchheit 2014) provides a comparable injury-risk analysis from the metrics Lite plans expose.</w:t>
      </w:r>
    </w:p>
    <w:p>
      <w:pPr>
        <w:pStyle w:val="Heading2"/>
        <w:spacing w:after="140" w:before="240"/>
      </w:pPr>
      <w:r>
        <w:rPr>
          <w:rFonts w:ascii="Calibri" w:cs="Calibri" w:eastAsia="Calibri" w:hAnsi="Calibri"/>
          <w:b/>
          <w:bCs/>
          <w:sz w:val="26"/>
          <w:szCs w:val="26"/>
        </w:rPr>
        <w:t xml:space="preserve">Indoor Load (FMP-driven indoor mode)</w:t>
      </w:r>
    </w:p>
    <w:p>
      <w:pPr>
        <w:spacing w:after="120"/>
      </w:pPr>
      <w:r>
        <w:rPr>
          <w:rFonts w:ascii="Calibri" w:cs="Calibri" w:eastAsia="Calibri" w:hAnsi="Calibri"/>
          <w:sz w:val="22"/>
          <w:szCs w:val="22"/>
        </w:rPr>
        <w:t xml:space="preserve">Composite Indoor Load Score built on IMA Free Running 8 stride bands + #MPE recovery time. Critical for basketball, handball and futsal teams where GPS provides limited value but IMU sensors (which Vector S7+ vests expose) are gold-standard.</w:t>
      </w:r>
    </w:p>
    <w:p>
      <w:pPr>
        <w:spacing w:after="120"/>
      </w:pPr>
      <w:r>
        <w:rPr>
          <w:rFonts w:ascii="Calibri" w:cs="Calibri" w:eastAsia="Calibri" w:hAnsi="Calibri"/>
          <w:b/>
          <w:bCs/>
          <w:sz w:val="22"/>
          <w:szCs w:val="22"/>
        </w:rPr>
        <w:t xml:space="preserve">Requires: </w:t>
      </w:r>
      <w:r>
        <w:rPr>
          <w:rFonts w:ascii="Calibri" w:cs="Calibri" w:eastAsia="Calibri" w:hAnsi="Calibri"/>
          <w:sz w:val="22"/>
          <w:szCs w:val="22"/>
        </w:rPr>
        <w:t xml:space="preserve">IMA Free Running Bands 1-8 (event count + stride rate) + Metabolic Power + Equivalent Distance Index. Premium Catapult plan with Indoor reporting parameters enabled.</w:t>
      </w:r>
    </w:p>
    <w:p>
      <w:pPr>
        <w:spacing w:after="120"/>
      </w:pPr>
      <w:r>
        <w:rPr>
          <w:rFonts w:ascii="Calibri" w:cs="Calibri" w:eastAsia="Calibri" w:hAnsi="Calibri"/>
          <w:b/>
          <w:bCs/>
          <w:sz w:val="22"/>
          <w:szCs w:val="22"/>
        </w:rPr>
        <w:t xml:space="preserve">Lite equivalent: </w:t>
      </w:r>
      <w:r>
        <w:rPr>
          <w:rFonts w:ascii="Calibri" w:cs="Calibri" w:eastAsia="Calibri" w:hAnsi="Calibri"/>
          <w:sz w:val="22"/>
          <w:szCs w:val="22"/>
        </w:rPr>
        <w:t xml:space="preserve">Foster Monotony + Strain covers the basics for indoor monitoring. No comparable detailed kinetic-strain analysis without IMU bands.</w:t>
      </w:r>
    </w:p>
    <w:p>
      <w:pPr>
        <w:pStyle w:val="Heading2"/>
        <w:spacing w:after="140" w:before="240"/>
      </w:pPr>
      <w:r>
        <w:rPr>
          <w:rFonts w:ascii="Calibri" w:cs="Calibri" w:eastAsia="Calibri" w:hAnsi="Calibri"/>
          <w:b/>
          <w:bCs/>
          <w:sz w:val="26"/>
          <w:szCs w:val="26"/>
        </w:rPr>
        <w:t xml:space="preserve">Sharp Cut + MPE Recovery chips</w:t>
      </w:r>
    </w:p>
    <w:p>
      <w:pPr>
        <w:spacing w:after="120"/>
      </w:pPr>
      <w:r>
        <w:rPr>
          <w:rFonts w:ascii="Calibri" w:cs="Calibri" w:eastAsia="Calibri" w:hAnsi="Calibri"/>
          <w:sz w:val="22"/>
          <w:szCs w:val="22"/>
        </w:rPr>
        <w:t xml:space="preserve">Two extra dimensions on Decel Intelligence: Sharp Cutting Load (Sharp 2020) and MPE Recovery time (Osgnach 2023). Show injury risk based on cutting frequency and metabolic recovery time progression.</w:t>
      </w:r>
    </w:p>
    <w:p>
      <w:pPr>
        <w:spacing w:after="120"/>
      </w:pPr>
      <w:r>
        <w:rPr>
          <w:rFonts w:ascii="Calibri" w:cs="Calibri" w:eastAsia="Calibri" w:hAnsi="Calibri"/>
          <w:b/>
          <w:bCs/>
          <w:sz w:val="22"/>
          <w:szCs w:val="22"/>
        </w:rPr>
        <w:t xml:space="preserve">Requires: </w:t>
      </w:r>
      <w:r>
        <w:rPr>
          <w:rFonts w:ascii="Calibri" w:cs="Calibri" w:eastAsia="Calibri" w:hAnsi="Calibri"/>
          <w:sz w:val="22"/>
          <w:szCs w:val="22"/>
        </w:rPr>
        <w:t xml:space="preserve">Premium Catapult plan with both ima_band3_decel_count (Sharp proxy) and mpe_recovery_avg_s (#MPE)</w:t>
      </w:r>
    </w:p>
    <w:p>
      <w:pPr>
        <w:pStyle w:val="Heading2"/>
        <w:spacing w:after="140" w:before="240"/>
      </w:pPr>
      <w:r>
        <w:rPr>
          <w:rFonts w:ascii="Calibri" w:cs="Calibri" w:eastAsia="Calibri" w:hAnsi="Calibri"/>
          <w:b/>
          <w:bCs/>
          <w:sz w:val="26"/>
          <w:szCs w:val="26"/>
        </w:rPr>
        <w:t xml:space="preserve">How to upgrade</w:t>
      </w:r>
    </w:p>
    <w:p>
      <w:pPr>
        <w:spacing w:after="120"/>
      </w:pPr>
      <w:r>
        <w:rPr>
          <w:rFonts w:ascii="Calibri" w:cs="Calibri" w:eastAsia="Calibri" w:hAnsi="Calibri"/>
          <w:b/>
          <w:bCs/>
          <w:sz w:val="22"/>
          <w:szCs w:val="22"/>
        </w:rPr>
        <w:t xml:space="preserve">Step 1: </w:t>
      </w:r>
      <w:r>
        <w:rPr>
          <w:rFonts w:ascii="Calibri" w:cs="Calibri" w:eastAsia="Calibri" w:hAnsi="Calibri"/>
          <w:sz w:val="22"/>
          <w:szCs w:val="22"/>
        </w:rPr>
        <w:t xml:space="preserve">Contact your Catapult account manager</w:t>
      </w:r>
    </w:p>
    <w:p>
      <w:pPr>
        <w:spacing w:after="120"/>
      </w:pPr>
      <w:r>
        <w:rPr>
          <w:rFonts w:ascii="Calibri" w:cs="Calibri" w:eastAsia="Calibri" w:hAnsi="Calibri"/>
          <w:b/>
          <w:bCs/>
          <w:sz w:val="22"/>
          <w:szCs w:val="22"/>
        </w:rPr>
        <w:t xml:space="preserve">Step 2: </w:t>
      </w:r>
      <w:r>
        <w:rPr>
          <w:rFonts w:ascii="Calibri" w:cs="Calibri" w:eastAsia="Calibri" w:hAnsi="Calibri"/>
          <w:sz w:val="22"/>
          <w:szCs w:val="22"/>
        </w:rPr>
        <w:t xml:space="preserve">Ask for an upgrade to either:</w:t>
      </w:r>
    </w:p>
    <w:p>
      <w:pPr>
        <w:pStyle w:val="ListParagraph"/>
        <w:numPr>
          <w:ilvl w:val="1"/>
          <w:numId w:val="2"/>
        </w:numPr>
        <w:spacing w:after="80"/>
      </w:pPr>
      <w:r>
        <w:rPr>
          <w:rFonts w:ascii="Calibri" w:cs="Calibri" w:eastAsia="Calibri" w:hAnsi="Calibri"/>
          <w:sz w:val="22"/>
          <w:szCs w:val="22"/>
        </w:rPr>
        <w:t xml:space="preserve">Pro plan (B2-3 efforts enabled) — unlocks Decel Intelligence + higher Quadrant fidelity</w:t>
      </w:r>
    </w:p>
    <w:p>
      <w:pPr>
        <w:pStyle w:val="ListParagraph"/>
        <w:numPr>
          <w:ilvl w:val="1"/>
          <w:numId w:val="2"/>
        </w:numPr>
        <w:spacing w:after="80"/>
      </w:pPr>
      <w:r>
        <w:rPr>
          <w:rFonts w:ascii="Calibri" w:cs="Calibri" w:eastAsia="Calibri" w:hAnsi="Calibri"/>
          <w:sz w:val="22"/>
          <w:szCs w:val="22"/>
        </w:rPr>
        <w:t xml:space="preserve">Premium plan (Pro + IMA Free Running + #MPE) — also unlocks Indoor Load + Sharp Cut + MPE Recovery</w:t>
      </w:r>
    </w:p>
    <w:p>
      <w:pPr>
        <w:spacing w:after="120"/>
      </w:pPr>
      <w:r>
        <w:rPr>
          <w:rFonts w:ascii="Calibri" w:cs="Calibri" w:eastAsia="Calibri" w:hAnsi="Calibri"/>
          <w:b/>
          <w:bCs/>
          <w:sz w:val="22"/>
          <w:szCs w:val="22"/>
        </w:rPr>
        <w:t xml:space="preserve">Step 3: </w:t>
      </w:r>
      <w:r>
        <w:rPr>
          <w:rFonts w:ascii="Calibri" w:cs="Calibri" w:eastAsia="Calibri" w:hAnsi="Calibri"/>
          <w:sz w:val="22"/>
          <w:szCs w:val="22"/>
        </w:rPr>
        <w:t xml:space="preserve">Once Catapult confirms the upgrade:</w:t>
      </w:r>
    </w:p>
    <w:p>
      <w:pPr>
        <w:pStyle w:val="ListParagraph"/>
        <w:numPr>
          <w:ilvl w:val="1"/>
          <w:numId w:val="2"/>
        </w:numPr>
        <w:spacing w:after="80"/>
      </w:pPr>
      <w:r>
        <w:rPr>
          <w:rFonts w:ascii="Calibri" w:cs="Calibri" w:eastAsia="Calibri" w:hAnsi="Calibri"/>
          <w:sz w:val="22"/>
          <w:szCs w:val="22"/>
        </w:rPr>
        <w:t xml:space="preserve">Go to /coach/settings → Catapult data tier</w:t>
      </w:r>
    </w:p>
    <w:p>
      <w:pPr>
        <w:pStyle w:val="ListParagraph"/>
        <w:numPr>
          <w:ilvl w:val="1"/>
          <w:numId w:val="2"/>
        </w:numPr>
        <w:spacing w:after="80"/>
      </w:pPr>
      <w:r>
        <w:rPr>
          <w:rFonts w:ascii="Calibri" w:cs="Calibri" w:eastAsia="Calibri" w:hAnsi="Calibri"/>
          <w:sz w:val="22"/>
          <w:szCs w:val="22"/>
        </w:rPr>
        <w:t xml:space="preserve">Click the matching plan card (Pro or Premium)</w:t>
      </w:r>
    </w:p>
    <w:p>
      <w:pPr>
        <w:pStyle w:val="ListParagraph"/>
        <w:numPr>
          <w:ilvl w:val="1"/>
          <w:numId w:val="2"/>
        </w:numPr>
        <w:spacing w:after="80"/>
      </w:pPr>
      <w:r>
        <w:rPr>
          <w:rFonts w:ascii="Calibri" w:cs="Calibri" w:eastAsia="Calibri" w:hAnsi="Calibri"/>
          <w:sz w:val="22"/>
          <w:szCs w:val="22"/>
        </w:rPr>
        <w:t xml:space="preserve">Sidebar and top tabs surface the new pages within seconds</w:t>
      </w:r>
    </w:p>
    <w:p>
      <w:pPr>
        <w:spacing w:after="120"/>
      </w:pPr>
      <w:r>
        <w:rPr>
          <w:rFonts w:ascii="Calibri" w:cs="Calibri" w:eastAsia="Calibri" w:hAnsi="Calibri"/>
          <w:b/>
          <w:bCs/>
          <w:sz w:val="22"/>
          <w:szCs w:val="22"/>
        </w:rPr>
        <w:t xml:space="preserve">Step 4: </w:t>
      </w:r>
      <w:r>
        <w:rPr>
          <w:rFonts w:ascii="Calibri" w:cs="Calibri" w:eastAsia="Calibri" w:hAnsi="Calibri"/>
          <w:sz w:val="22"/>
          <w:szCs w:val="22"/>
        </w:rPr>
        <w:t xml:space="preserve">Wait for Catapult to start sending the new data (typically 1-3 days after the plan upgrade) and the McBurnie / Indoor pages will populate with real numbers</w:t>
      </w:r>
    </w:p>
    <w:p>
      <w:pPr>
        <w:pBdr>
          <w:top w:val="single" w:color="FFB347" w:sz="8"/>
          <w:bottom w:val="single" w:color="FFB347" w:sz="8"/>
          <w:left w:val="single" w:color="FFB347" w:sz="24"/>
          <w:right w:val="single" w:color="FFB347" w:sz="8"/>
        </w:pBdr>
        <w:shd w:fill="FFF4E5" w:val="clear"/>
        <w:spacing w:after="160" w:before="160"/>
        <w:ind w:left="200" w:right="200"/>
      </w:pPr>
      <w:r>
        <w:rPr>
          <w:rFonts w:ascii="Calibri" w:cs="Calibri" w:eastAsia="Calibri" w:hAnsi="Calibri"/>
          <w:b/>
          <w:bCs/>
          <w:sz w:val="22"/>
          <w:szCs w:val="22"/>
        </w:rPr>
        <w:t xml:space="preserve">Mismatch warning: </w:t>
      </w:r>
      <w:r>
        <w:rPr>
          <w:rFonts w:ascii="Calibri" w:cs="Calibri" w:eastAsia="Calibri" w:hAnsi="Calibri"/>
          <w:sz w:val="22"/>
          <w:szCs w:val="22"/>
        </w:rPr>
        <w:t xml:space="preserve">If you click Pro/Premium but the data doesn't arrive within a week → the settings card shows an orange warning saying "Declared plan and data don't match". Time to double-check the Reporting Parameters at Catapult.</w:t>
      </w:r>
    </w:p>
    <w:p>
      <w:r>
        <w:br w:type="page"/>
      </w:r>
    </w:p>
    <w:p>
      <w:pPr>
        <w:pStyle w:val="Heading1"/>
        <w:spacing w:after="200" w:before="320"/>
      </w:pPr>
      <w:r>
        <w:rPr>
          <w:rFonts w:ascii="Calibri" w:cs="Calibri" w:eastAsia="Calibri" w:hAnsi="Calibri"/>
          <w:b/>
          <w:bCs/>
          <w:sz w:val="32"/>
          <w:szCs w:val="32"/>
        </w:rPr>
        <w:t xml:space="preserve">9. Scientific basis and references</w:t>
      </w:r>
    </w:p>
    <w:p>
      <w:pPr>
        <w:spacing w:after="120"/>
      </w:pPr>
      <w:r>
        <w:rPr>
          <w:rFonts w:ascii="Calibri" w:cs="Calibri" w:eastAsia="Calibri" w:hAnsi="Calibri"/>
          <w:sz w:val="22"/>
          <w:szCs w:val="22"/>
        </w:rPr>
        <w:t xml:space="preserve">Everything in Lite Mode is built on peer-reviewed research from established sport-science journals. Key papers:</w:t>
      </w:r>
    </w:p>
    <w:p>
      <w:pPr>
        <w:pStyle w:val="Heading3"/>
        <w:spacing w:after="100" w:before="180"/>
      </w:pPr>
      <w:r>
        <w:rPr>
          <w:rFonts w:ascii="Calibri" w:cs="Calibri" w:eastAsia="Calibri" w:hAnsi="Calibri"/>
          <w:b/>
          <w:bCs/>
          <w:color w:val="333333"/>
          <w:sz w:val="22"/>
          <w:szCs w:val="22"/>
        </w:rPr>
        <w:t xml:space="preserve">Foster (1998)</w:t>
      </w:r>
    </w:p>
    <w:p>
      <w:pPr>
        <w:spacing w:after="120"/>
      </w:pPr>
      <w:r>
        <w:rPr>
          <w:rFonts w:ascii="Calibri" w:cs="Calibri" w:eastAsia="Calibri" w:hAnsi="Calibri"/>
          <w:sz w:val="22"/>
          <w:szCs w:val="22"/>
        </w:rPr>
        <w:t xml:space="preserve">Foster, C. Monitoring training in athletes with reference to overtraining syndrome. Medicine and Science in Sports and Exercise, 30(7), 1164-1168.</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Foster Monotony + Strain card</w:t>
      </w:r>
    </w:p>
    <w:p>
      <w:pPr>
        <w:pStyle w:val="Heading3"/>
        <w:spacing w:after="100" w:before="180"/>
      </w:pPr>
      <w:r>
        <w:rPr>
          <w:rFonts w:ascii="Calibri" w:cs="Calibri" w:eastAsia="Calibri" w:hAnsi="Calibri"/>
          <w:b/>
          <w:bCs/>
          <w:color w:val="333333"/>
          <w:sz w:val="22"/>
          <w:szCs w:val="22"/>
        </w:rPr>
        <w:t xml:space="preserve">Buchheit &amp; Mendez-Villanueva (2014)</w:t>
      </w:r>
    </w:p>
    <w:p>
      <w:pPr>
        <w:spacing w:after="120"/>
      </w:pPr>
      <w:r>
        <w:rPr>
          <w:rFonts w:ascii="Calibri" w:cs="Calibri" w:eastAsia="Calibri" w:hAnsi="Calibri"/>
          <w:sz w:val="22"/>
          <w:szCs w:val="22"/>
        </w:rPr>
        <w:t xml:space="preserve">Buchheit, M., &amp; Mendez-Villanueva, A. Reliability and stability of anthropometric and performance measures in highly-trained young soccer players. Journal of Sports Sciences, 32(13), 1271-1278.</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HSR Intelligence — %MaxV exposure thresholds</w:t>
      </w:r>
    </w:p>
    <w:p>
      <w:pPr>
        <w:pStyle w:val="Heading3"/>
        <w:spacing w:after="100" w:before="180"/>
      </w:pPr>
      <w:r>
        <w:rPr>
          <w:rFonts w:ascii="Calibri" w:cs="Calibri" w:eastAsia="Calibri" w:hAnsi="Calibri"/>
          <w:b/>
          <w:bCs/>
          <w:color w:val="333333"/>
          <w:sz w:val="22"/>
          <w:szCs w:val="22"/>
        </w:rPr>
        <w:t xml:space="preserve">Gabbett (2016)</w:t>
      </w:r>
    </w:p>
    <w:p>
      <w:pPr>
        <w:spacing w:after="120"/>
      </w:pPr>
      <w:r>
        <w:rPr>
          <w:rFonts w:ascii="Calibri" w:cs="Calibri" w:eastAsia="Calibri" w:hAnsi="Calibri"/>
          <w:sz w:val="22"/>
          <w:szCs w:val="22"/>
        </w:rPr>
        <w:t xml:space="preserve">Gabbett, T. J. The training-injury prevention paradox: should athletes be training smarter and harder? British Journal of Sports Medicine, 50(5), 273-280.</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Quadrant view (Lite — volume-axis ACWR)</w:t>
      </w:r>
    </w:p>
    <w:p>
      <w:pPr>
        <w:pStyle w:val="Heading3"/>
        <w:spacing w:after="100" w:before="180"/>
      </w:pPr>
      <w:r>
        <w:rPr>
          <w:rFonts w:ascii="Calibri" w:cs="Calibri" w:eastAsia="Calibri" w:hAnsi="Calibri"/>
          <w:b/>
          <w:bCs/>
          <w:color w:val="333333"/>
          <w:sz w:val="22"/>
          <w:szCs w:val="22"/>
        </w:rPr>
        <w:t xml:space="preserve">Malone et al. (2017)</w:t>
      </w:r>
    </w:p>
    <w:p>
      <w:pPr>
        <w:spacing w:after="120"/>
      </w:pPr>
      <w:r>
        <w:rPr>
          <w:rFonts w:ascii="Calibri" w:cs="Calibri" w:eastAsia="Calibri" w:hAnsi="Calibri"/>
          <w:sz w:val="22"/>
          <w:szCs w:val="22"/>
        </w:rPr>
        <w:t xml:space="preserve">Malone, S., Roe, M., Doran, D. A., Gabbett, T. J., &amp; Collins, K. High chronic training loads and exposure to bouts of maximal velocity running reduce injury risk in elite Gaelic football. Journal of Science and Medicine in Sport, 20(3), 250-254.</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HSR Intelligence — HSR ACWR thresholds</w:t>
      </w:r>
    </w:p>
    <w:p>
      <w:pPr>
        <w:pStyle w:val="Heading3"/>
        <w:spacing w:after="100" w:before="180"/>
      </w:pPr>
      <w:r>
        <w:rPr>
          <w:rFonts w:ascii="Calibri" w:cs="Calibri" w:eastAsia="Calibri" w:hAnsi="Calibri"/>
          <w:b/>
          <w:bCs/>
          <w:color w:val="333333"/>
          <w:sz w:val="22"/>
          <w:szCs w:val="22"/>
        </w:rPr>
        <w:t xml:space="preserve">Bowen et al. (2017)</w:t>
      </w:r>
    </w:p>
    <w:p>
      <w:pPr>
        <w:spacing w:after="120"/>
      </w:pPr>
      <w:r>
        <w:rPr>
          <w:rFonts w:ascii="Calibri" w:cs="Calibri" w:eastAsia="Calibri" w:hAnsi="Calibri"/>
          <w:sz w:val="22"/>
          <w:szCs w:val="22"/>
        </w:rPr>
        <w:t xml:space="preserve">Bowen, L., Gross, A. S., Gimpel, M., &amp; Li, F.-X. Accumulated workloads and the acute:chronic workload ratio relate to injury risk in elite youth football players. British Journal of Sports Medicine, 51(5), 452-459.</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Combined verdict logic in HSR Intelligence</w:t>
      </w:r>
    </w:p>
    <w:p>
      <w:pPr>
        <w:pStyle w:val="Heading3"/>
        <w:spacing w:after="100" w:before="180"/>
      </w:pPr>
      <w:r>
        <w:rPr>
          <w:rFonts w:ascii="Calibri" w:cs="Calibri" w:eastAsia="Calibri" w:hAnsi="Calibri"/>
          <w:b/>
          <w:bCs/>
          <w:color w:val="333333"/>
          <w:sz w:val="22"/>
          <w:szCs w:val="22"/>
        </w:rPr>
        <w:t xml:space="preserve">Vanrenterghem et al. (2017)</w:t>
      </w:r>
    </w:p>
    <w:p>
      <w:pPr>
        <w:spacing w:after="120"/>
      </w:pPr>
      <w:r>
        <w:rPr>
          <w:rFonts w:ascii="Calibri" w:cs="Calibri" w:eastAsia="Calibri" w:hAnsi="Calibri"/>
          <w:sz w:val="22"/>
          <w:szCs w:val="22"/>
        </w:rPr>
        <w:t xml:space="preserve">Vanrenterghem, J., Nedergaard, N. J., Robinson, M. A., &amp; Drust, B. Training load monitoring in team sports: a novel framework separating physiological and biomechanical load-adaptation pathways. Sports Medicine, 47(11), 2135-2142.</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Quadrant view — Internal:External coupling framework</w:t>
      </w:r>
    </w:p>
    <w:p>
      <w:pPr>
        <w:pStyle w:val="Heading3"/>
        <w:spacing w:after="100" w:before="180"/>
      </w:pPr>
      <w:r>
        <w:rPr>
          <w:rFonts w:ascii="Calibri" w:cs="Calibri" w:eastAsia="Calibri" w:hAnsi="Calibri"/>
          <w:b/>
          <w:bCs/>
          <w:color w:val="333333"/>
          <w:sz w:val="22"/>
          <w:szCs w:val="22"/>
        </w:rPr>
        <w:t xml:space="preserve">Buchheit (2018)</w:t>
      </w:r>
    </w:p>
    <w:p>
      <w:pPr>
        <w:spacing w:after="120"/>
      </w:pPr>
      <w:r>
        <w:rPr>
          <w:rFonts w:ascii="Calibri" w:cs="Calibri" w:eastAsia="Calibri" w:hAnsi="Calibri"/>
          <w:sz w:val="22"/>
          <w:szCs w:val="22"/>
        </w:rPr>
        <w:t xml:space="preserve">Buchheit, M. Want to see my report, coach? Sport science reporting in the real world. Aspetar Sports Medicine Journal, 7, 36-43.</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MD HSR Comparison — 95% rule for periodization</w:t>
      </w:r>
    </w:p>
    <w:p>
      <w:pPr>
        <w:pStyle w:val="Heading3"/>
        <w:spacing w:after="100" w:before="180"/>
      </w:pPr>
      <w:r>
        <w:rPr>
          <w:rFonts w:ascii="Calibri" w:cs="Calibri" w:eastAsia="Calibri" w:hAnsi="Calibri"/>
          <w:b/>
          <w:bCs/>
          <w:color w:val="333333"/>
          <w:sz w:val="22"/>
          <w:szCs w:val="22"/>
        </w:rPr>
        <w:t xml:space="preserve">Stares et al. (2018)</w:t>
      </w:r>
    </w:p>
    <w:p>
      <w:pPr>
        <w:spacing w:after="120"/>
      </w:pPr>
      <w:r>
        <w:rPr>
          <w:rFonts w:ascii="Calibri" w:cs="Calibri" w:eastAsia="Calibri" w:hAnsi="Calibri"/>
          <w:sz w:val="22"/>
          <w:szCs w:val="22"/>
        </w:rPr>
        <w:t xml:space="preserve">Stares, J., Dawson, B., Peeling, P., Drew, M., Heasman, J., Rogalski, B., &amp; Colby, M. How much is enough in rehabilitation? High running workloads following lower limb muscle injury delay return to play but protect against subsequent injury. Journal of Science and Medicine in Sport, 21(10), 1019-1024.</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MD HSR Comparison — chronic high-speed exposure thresholds</w:t>
      </w:r>
    </w:p>
    <w:p>
      <w:pPr>
        <w:pStyle w:val="Heading3"/>
        <w:spacing w:after="100" w:before="180"/>
      </w:pPr>
      <w:r>
        <w:rPr>
          <w:rFonts w:ascii="Calibri" w:cs="Calibri" w:eastAsia="Calibri" w:hAnsi="Calibri"/>
          <w:b/>
          <w:bCs/>
          <w:color w:val="333333"/>
          <w:sz w:val="22"/>
          <w:szCs w:val="22"/>
        </w:rPr>
        <w:t xml:space="preserve">Saw, Main &amp; Gastin (2016)</w:t>
      </w:r>
    </w:p>
    <w:p>
      <w:pPr>
        <w:spacing w:after="120"/>
      </w:pPr>
      <w:r>
        <w:rPr>
          <w:rFonts w:ascii="Calibri" w:cs="Calibri" w:eastAsia="Calibri" w:hAnsi="Calibri"/>
          <w:sz w:val="22"/>
          <w:szCs w:val="22"/>
        </w:rPr>
        <w:t xml:space="preserve">Saw, A. E., Main, L. C., &amp; Gastin, P. B. Monitoring the athlete training response: subjective self-reported measures trump commonly used objective measures: a systematic review. British Journal of Sports Medicine, 50(5), 281-291.</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Backbone of the wellness-first design across MicroPulse. This BJSM systematic review (56 studies) found that subjective wellness measures (sleep, soreness, energy, mood) have superior sensitivity and consistency vs objective measures (CMJ, heart rate, blood biomarkers) for reflecting training response. Justifies why MicroPulse's daily 6-step wellness check-in carries more weight in the verdict engine than expensive lab tests.</w:t>
      </w:r>
    </w:p>
    <w:p>
      <w:pPr>
        <w:pStyle w:val="Heading3"/>
        <w:spacing w:after="100" w:before="180"/>
      </w:pPr>
      <w:r>
        <w:rPr>
          <w:rFonts w:ascii="Calibri" w:cs="Calibri" w:eastAsia="Calibri" w:hAnsi="Calibri"/>
          <w:b/>
          <w:bCs/>
          <w:color w:val="333333"/>
          <w:sz w:val="22"/>
          <w:szCs w:val="22"/>
        </w:rPr>
        <w:t xml:space="preserve">Gabbett (2018)</w:t>
      </w:r>
    </w:p>
    <w:p>
      <w:pPr>
        <w:spacing w:after="120"/>
      </w:pPr>
      <w:r>
        <w:rPr>
          <w:rFonts w:ascii="Calibri" w:cs="Calibri" w:eastAsia="Calibri" w:hAnsi="Calibri"/>
          <w:sz w:val="22"/>
          <w:szCs w:val="22"/>
        </w:rPr>
        <w:t xml:space="preserve">Gabbett, T. J. Debunking the myths about training load, injury and performance: empirical evidence, hot topics and recommendations for practitioners. British Journal of Sports Medicine, 54(1), 58-66.</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Frames why MicroPulse uses personal baselines instead of universal thresholds. Gabbett 2018 specifically debunks (a) the 10% rule, (b) ACWR &gt; 1.5 as a universal danger threshold, and (c) the idea that load alone explains injuries. Same ACWR can mean very different risk for different athletes — "robust vs fragile" depending on chronic load, sleep, HRV, age. MicroPulse's per-athlete baselining (athlete_metric_baselines table, refreshed nightly) implements this directly.</w:t>
      </w:r>
    </w:p>
    <w:p>
      <w:pPr>
        <w:pStyle w:val="Heading3"/>
        <w:spacing w:after="100" w:before="180"/>
      </w:pPr>
      <w:r>
        <w:rPr>
          <w:rFonts w:ascii="Calibri" w:cs="Calibri" w:eastAsia="Calibri" w:hAnsi="Calibri"/>
          <w:b/>
          <w:bCs/>
          <w:color w:val="333333"/>
          <w:sz w:val="22"/>
          <w:szCs w:val="22"/>
        </w:rPr>
        <w:t xml:space="preserve">Hader et al. (2019)</w:t>
      </w:r>
    </w:p>
    <w:p>
      <w:pPr>
        <w:spacing w:after="120"/>
      </w:pPr>
      <w:r>
        <w:rPr>
          <w:rFonts w:ascii="Calibri" w:cs="Calibri" w:eastAsia="Calibri" w:hAnsi="Calibri"/>
          <w:sz w:val="22"/>
          <w:szCs w:val="22"/>
        </w:rPr>
        <w:t xml:space="preserve">Hader, K., Rumpf, M. C., Hertzog, M., Kilduff, L. P., Girard, O., &amp; Silva, J. R. Monitoring the Athlete Match Response: Can External Load Variables Predict Post-match Acute and Residual Fatigue in Soccer? A Systematic Review with Meta-analysis. Sports Medicine - Open, 5(1), 48.</w:t>
      </w:r>
    </w:p>
    <w:p>
      <w:pPr>
        <w:spacing w:after="120"/>
      </w:pPr>
      <w:r>
        <w:rPr>
          <w:rFonts w:ascii="Calibri" w:cs="Calibri" w:eastAsia="Calibri" w:hAnsi="Calibri"/>
          <w:b/>
          <w:bCs/>
          <w:sz w:val="22"/>
          <w:szCs w:val="22"/>
        </w:rPr>
        <w:t xml:space="preserve">Used in: </w:t>
      </w:r>
      <w:r>
        <w:rPr>
          <w:rFonts w:ascii="Calibri" w:cs="Calibri" w:eastAsia="Calibri" w:hAnsi="Calibri"/>
          <w:sz w:val="22"/>
          <w:szCs w:val="22"/>
        </w:rPr>
        <w:t xml:space="preserve">Post-match recovery forecast in AI Summary. Hader's meta-analysis (11 studies, 165 athletes) found that sprint distance &gt;5.5 m/s (≈19.8 km/h, equivalent to Velocity Band 6+) is the single strongest predictor of 24h post-match fatigue — total distance is not sensitive. Per 100m sprint distance in a match → +30% creatine kinase + −0.5% CMJ peak power 24h later. MicroPulse translates that biomarker dose-response into a coach-facing "recovery shift %" vs the player's typical match sprint volume.</w:t>
      </w:r>
    </w:p>
    <w:p>
      <w:r>
        <w:br w:type="page"/>
      </w:r>
    </w:p>
    <w:p>
      <w:pPr>
        <w:pStyle w:val="Heading1"/>
        <w:spacing w:after="200" w:before="320"/>
      </w:pPr>
      <w:r>
        <w:rPr>
          <w:rFonts w:ascii="Calibri" w:cs="Calibri" w:eastAsia="Calibri" w:hAnsi="Calibri"/>
          <w:b/>
          <w:bCs/>
          <w:sz w:val="32"/>
          <w:szCs w:val="32"/>
        </w:rPr>
        <w:t xml:space="preserve">10. Frequently asked questions</w:t>
      </w:r>
    </w:p>
    <w:p>
      <w:pPr>
        <w:pStyle w:val="Heading3"/>
        <w:spacing w:after="100" w:before="180"/>
      </w:pPr>
      <w:r>
        <w:rPr>
          <w:rFonts w:ascii="Calibri" w:cs="Calibri" w:eastAsia="Calibri" w:hAnsi="Calibri"/>
          <w:b/>
          <w:bCs/>
          <w:color w:val="333333"/>
          <w:sz w:val="22"/>
          <w:szCs w:val="22"/>
        </w:rPr>
        <w:t xml:space="preserve">Do I need RPE entries for Lite Mode?</w:t>
      </w:r>
    </w:p>
    <w:p>
      <w:pPr>
        <w:spacing w:after="120"/>
      </w:pPr>
      <w:r>
        <w:rPr>
          <w:rFonts w:ascii="Calibri" w:cs="Calibri" w:eastAsia="Calibri" w:hAnsi="Calibri"/>
          <w:sz w:val="22"/>
          <w:szCs w:val="22"/>
        </w:rPr>
        <w:t xml:space="preserve">Not strictly, but strongly recommended. RPE compliance lifts the quality of Foster Monotony (the RPE variant is more sensitive than the volume fallback) and the Quadrant view (the Y-axis). Aim for ≥80% RPE compliance — players record RPE after every session within 30 minutes of the session ending.</w:t>
      </w:r>
    </w:p>
    <w:p>
      <w:pPr>
        <w:pStyle w:val="Heading3"/>
        <w:spacing w:after="100" w:before="180"/>
      </w:pPr>
      <w:r>
        <w:rPr>
          <w:rFonts w:ascii="Calibri" w:cs="Calibri" w:eastAsia="Calibri" w:hAnsi="Calibri"/>
          <w:b/>
          <w:bCs/>
          <w:color w:val="333333"/>
          <w:sz w:val="22"/>
          <w:szCs w:val="22"/>
        </w:rPr>
        <w:t xml:space="preserve">When does my team auto-promote to Pro tier?</w:t>
      </w:r>
    </w:p>
    <w:p>
      <w:pPr>
        <w:spacing w:after="120"/>
      </w:pPr>
      <w:r>
        <w:rPr>
          <w:rFonts w:ascii="Calibri" w:cs="Calibri" w:eastAsia="Calibri" w:hAnsi="Calibri"/>
          <w:sz w:val="22"/>
          <w:szCs w:val="22"/>
        </w:rPr>
        <w:t xml:space="preserve">Never automatically as long as the declared plan = 'lite'. You have to explicitly switch to Pro in /coach/settings when your Catapult plan upgrades. This is a bug fix from earlier versions where the heuristic could promote tier on its own when bogus B2-3 data flowed in.</w:t>
      </w:r>
    </w:p>
    <w:p>
      <w:pPr>
        <w:pStyle w:val="Heading3"/>
        <w:spacing w:after="100" w:before="180"/>
      </w:pPr>
      <w:r>
        <w:rPr>
          <w:rFonts w:ascii="Calibri" w:cs="Calibri" w:eastAsia="Calibri" w:hAnsi="Calibri"/>
          <w:b/>
          <w:bCs/>
          <w:color w:val="333333"/>
          <w:sz w:val="22"/>
          <w:szCs w:val="22"/>
        </w:rPr>
        <w:t xml:space="preserve">What if I want to drop from Pro to Lite temporarily (e.g. for testing)?</w:t>
      </w:r>
    </w:p>
    <w:p>
      <w:pPr>
        <w:spacing w:after="120"/>
      </w:pPr>
      <w:r>
        <w:rPr>
          <w:rFonts w:ascii="Calibri" w:cs="Calibri" w:eastAsia="Calibri" w:hAnsi="Calibri"/>
          <w:sz w:val="22"/>
          <w:szCs w:val="22"/>
        </w:rPr>
        <w:t xml:space="preserve">Two options: (a) switch the declared plan to Lite in settings — clean route. (b) Set the manual override to 'Force Lite' — escape hatch that wins regardless of declared plan. The override is collapsed in the 'Advanced' section so there's no risk of clicking it by accident.</w:t>
      </w:r>
    </w:p>
    <w:p>
      <w:pPr>
        <w:pStyle w:val="Heading3"/>
        <w:spacing w:after="100" w:before="180"/>
      </w:pPr>
      <w:r>
        <w:rPr>
          <w:rFonts w:ascii="Calibri" w:cs="Calibri" w:eastAsia="Calibri" w:hAnsi="Calibri"/>
          <w:b/>
          <w:bCs/>
          <w:color w:val="333333"/>
          <w:sz w:val="22"/>
          <w:szCs w:val="22"/>
        </w:rPr>
        <w:t xml:space="preserve">How do I know whether my Catapult plan is Lite or Pro?</w:t>
      </w:r>
    </w:p>
    <w:p>
      <w:pPr>
        <w:spacing w:after="120"/>
      </w:pPr>
      <w:r>
        <w:rPr>
          <w:rFonts w:ascii="Calibri" w:cs="Calibri" w:eastAsia="Calibri" w:hAnsi="Calibri"/>
          <w:sz w:val="22"/>
          <w:szCs w:val="22"/>
        </w:rPr>
        <w:t xml:space="preserve">Two signals: (a) if you can open 'Reporting Parameters' in OpenField and see 'Acceleration B2-3 Total Efforts (Gen 2)' in the list of parameters available to enable → you're on Pro. If that list isn't accessible to you → you're on Lite. (b) After a few Catapult sessions have synced, open /coach/settings and look at the B2-3 row count diagnostic. If ≥5 rows with B2-3 &gt; 0 → Pro. If 0 → Lite.</w:t>
      </w:r>
    </w:p>
    <w:p>
      <w:pPr>
        <w:pStyle w:val="Heading3"/>
        <w:spacing w:after="100" w:before="180"/>
      </w:pPr>
      <w:r>
        <w:rPr>
          <w:rFonts w:ascii="Calibri" w:cs="Calibri" w:eastAsia="Calibri" w:hAnsi="Calibri"/>
          <w:b/>
          <w:bCs/>
          <w:color w:val="333333"/>
          <w:sz w:val="22"/>
          <w:szCs w:val="22"/>
        </w:rPr>
        <w:t xml:space="preserve">Why don't I see Sprint Efforts on Velocity Band 6?</w:t>
      </w:r>
    </w:p>
    <w:p>
      <w:pPr>
        <w:spacing w:after="120"/>
      </w:pPr>
      <w:r>
        <w:rPr>
          <w:rFonts w:ascii="Calibri" w:cs="Calibri" w:eastAsia="Calibri" w:hAnsi="Calibri"/>
          <w:sz w:val="22"/>
          <w:szCs w:val="22"/>
        </w:rPr>
        <w:t xml:space="preserve">Sprint Efforts (Gen 2 effort count) is still Lite-accessible — it doesn't come from the B2-3 cluster but from the Velocity Band 6 reporting parameter. Check in OpenField that 'Velocity Band 6 Total Effort Count' is enabled. If it is and you still don't see it → please contact support.</w:t>
      </w:r>
    </w:p>
    <w:p>
      <w:pPr>
        <w:pStyle w:val="Heading3"/>
        <w:spacing w:after="100" w:before="180"/>
      </w:pPr>
      <w:r>
        <w:rPr>
          <w:rFonts w:ascii="Calibri" w:cs="Calibri" w:eastAsia="Calibri" w:hAnsi="Calibri"/>
          <w:b/>
          <w:bCs/>
          <w:color w:val="333333"/>
          <w:sz w:val="22"/>
          <w:szCs w:val="22"/>
        </w:rPr>
        <w:t xml:space="preserve">Foster card shows the Volume variant but we record RPE — why?</w:t>
      </w:r>
    </w:p>
    <w:p>
      <w:pPr>
        <w:spacing w:after="120"/>
      </w:pPr>
      <w:r>
        <w:rPr>
          <w:rFonts w:ascii="Calibri" w:cs="Calibri" w:eastAsia="Calibri" w:hAnsi="Calibri"/>
          <w:sz w:val="22"/>
          <w:szCs w:val="22"/>
        </w:rPr>
        <w:t xml:space="preserve">The RPE compliance threshold is 5 days with ANY RPE entry across the 7-day window. If fewer than 5 days have RPE → the card falls back to volume. Check whether most sessions in the week have RPE. Once 5+ days have RPE the variant flips to RPE-mode on the next reload.</w:t>
      </w:r>
    </w:p>
    <w:p>
      <w:pPr>
        <w:pStyle w:val="Heading3"/>
        <w:spacing w:after="100" w:before="180"/>
      </w:pPr>
      <w:r>
        <w:rPr>
          <w:rFonts w:ascii="Calibri" w:cs="Calibri" w:eastAsia="Calibri" w:hAnsi="Calibri"/>
          <w:b/>
          <w:bCs/>
          <w:color w:val="333333"/>
          <w:sz w:val="22"/>
          <w:szCs w:val="22"/>
        </w:rPr>
        <w:t xml:space="preserve">HSR Intelligence shows 'insufficient' for most players — why?</w:t>
      </w:r>
    </w:p>
    <w:p>
      <w:pPr>
        <w:spacing w:after="120"/>
      </w:pPr>
      <w:r>
        <w:rPr>
          <w:rFonts w:ascii="Calibri" w:cs="Calibri" w:eastAsia="Calibri" w:hAnsi="Calibri"/>
          <w:sz w:val="22"/>
          <w:szCs w:val="22"/>
        </w:rPr>
        <w:t xml:space="preserve">You need ≥5 days with HSR &gt; 0 and ≥1 max_vel measurement to compute %MaxV reliably. During preseason or right after uploading older data, it can take 1-2 weeks to accumulate enough. Status will show 'insufficient' instead of incorrectly red/green flagging.</w:t>
      </w:r>
    </w:p>
    <w:p>
      <w:pPr>
        <w:pStyle w:val="Heading3"/>
        <w:spacing w:after="100" w:before="180"/>
      </w:pPr>
      <w:r>
        <w:rPr>
          <w:rFonts w:ascii="Calibri" w:cs="Calibri" w:eastAsia="Calibri" w:hAnsi="Calibri"/>
          <w:b/>
          <w:bCs/>
          <w:color w:val="333333"/>
          <w:sz w:val="22"/>
          <w:szCs w:val="22"/>
        </w:rPr>
        <w:t xml:space="preserve">Can I export Lite Mode data to Excel or PDF?</w:t>
      </w:r>
    </w:p>
    <w:p>
      <w:pPr>
        <w:spacing w:after="120"/>
      </w:pPr>
      <w:r>
        <w:rPr>
          <w:rFonts w:ascii="Calibri" w:cs="Calibri" w:eastAsia="Calibri" w:hAnsi="Calibri"/>
          <w:sz w:val="22"/>
          <w:szCs w:val="22"/>
        </w:rPr>
        <w:t xml:space="preserve">Every card supports native browser print → PDF (Cmd+P / Ctrl+P). For Excel exports use /coach/reporting-center (Reporting Center) which can produce CSV and XLSX exports of the Squad Load table, Foster monotony, and MD comparisons.</w:t>
      </w:r>
    </w:p>
    <w:p>
      <w:pPr>
        <w:pStyle w:val="Heading3"/>
        <w:spacing w:after="100" w:before="180"/>
      </w:pPr>
      <w:r>
        <w:rPr>
          <w:rFonts w:ascii="Calibri" w:cs="Calibri" w:eastAsia="Calibri" w:hAnsi="Calibri"/>
          <w:b/>
          <w:bCs/>
          <w:color w:val="333333"/>
          <w:sz w:val="22"/>
          <w:szCs w:val="22"/>
        </w:rPr>
        <w:t xml:space="preserve">What if we use WIMU PRO instead of Catapult?</w:t>
      </w:r>
    </w:p>
    <w:p>
      <w:pPr>
        <w:spacing w:after="120"/>
      </w:pPr>
      <w:r>
        <w:rPr>
          <w:rFonts w:ascii="Calibri" w:cs="Calibri" w:eastAsia="Calibri" w:hAnsi="Calibri"/>
          <w:sz w:val="22"/>
          <w:szCs w:val="22"/>
        </w:rPr>
        <w:t xml:space="preserve">The WIMU PRO upload pipeline is in development — the CSV parser already works for preview, but the bulk commit step is still deferred. Single-monitoring CSV upload at /coach/wimu-upload works for spot-checks. Once the full bulk pipeline ships, WIMU teams will get the same Lite Mode features as Catapult-Lite teams — same Foster, HSR Intelligence, MD Comparison and so on.</w:t>
      </w:r>
    </w:p>
    <w:p>
      <w:pPr>
        <w:pStyle w:val="Heading3"/>
        <w:spacing w:after="100" w:before="180"/>
      </w:pPr>
      <w:r>
        <w:rPr>
          <w:rFonts w:ascii="Calibri" w:cs="Calibri" w:eastAsia="Calibri" w:hAnsi="Calibri"/>
          <w:b/>
          <w:bCs/>
          <w:color w:val="333333"/>
          <w:sz w:val="22"/>
          <w:szCs w:val="22"/>
        </w:rPr>
        <w:t xml:space="preserve">Can I combine Catapult Lite data with VALD ForceFrame or Nordbord?</w:t>
      </w:r>
    </w:p>
    <w:p>
      <w:pPr>
        <w:spacing w:after="120"/>
      </w:pPr>
      <w:r>
        <w:rPr>
          <w:rFonts w:ascii="Calibri" w:cs="Calibri" w:eastAsia="Calibri" w:hAnsi="Calibri"/>
          <w:sz w:val="22"/>
          <w:szCs w:val="22"/>
        </w:rPr>
        <w:t xml:space="preserve">Yes. The VALD integration is tier-agnostic — works on every team regardless of Catapult plan. ForceFrame asymmetries and Nordbord eccentric strength feed into the Decision Engine and surface on the Today briefing and Q&amp;A AI for each player.</w:t>
      </w:r>
    </w:p>
    <w:p>
      <w:r>
        <w:br w:type="page"/>
      </w:r>
    </w:p>
    <w:p>
      <w:pPr>
        <w:pStyle w:val="Heading1"/>
        <w:spacing w:after="200" w:before="320"/>
      </w:pPr>
      <w:r>
        <w:rPr>
          <w:rFonts w:ascii="Calibri" w:cs="Calibri" w:eastAsia="Calibri" w:hAnsi="Calibri"/>
          <w:b/>
          <w:bCs/>
          <w:sz w:val="32"/>
          <w:szCs w:val="32"/>
        </w:rPr>
        <w:t xml:space="preserve">11. Closing notes</w:t>
      </w:r>
    </w:p>
    <w:p>
      <w:pPr>
        <w:spacing w:after="120"/>
      </w:pPr>
      <w:r>
        <w:rPr>
          <w:rFonts w:ascii="Calibri" w:cs="Calibri" w:eastAsia="Calibri" w:hAnsi="Calibri"/>
          <w:sz w:val="22"/>
          <w:szCs w:val="22"/>
        </w:rPr>
        <w:t xml:space="preserve">MicroPulse Lite Mode is designed as a standalone sport-science platform — not a crippled version. The Lite tier covers 80% of the evidence-based load-monitoring methods that elite clubs use; the B2-3 cluster and IMU bands in Pro / Premium tiers add the remaining 20% that's relevant for clubs operating at a higher performance level.</w:t>
      </w:r>
    </w:p>
    <w:p>
      <w:pPr>
        <w:spacing w:after="120"/>
      </w:pPr>
      <w:r>
        <w:rPr>
          <w:rFonts w:ascii="Calibri" w:cs="Calibri" w:eastAsia="Calibri" w:hAnsi="Calibri"/>
          <w:sz w:val="22"/>
          <w:szCs w:val="22"/>
        </w:rPr>
        <w:t xml:space="preserve">The core sport-science insight is simple: better data flow, an educated coach, and a daily workflow routine. MicroPulse helps with the last part. Catapult Lite + RPE + wellness + a few weeks of consistent logging is enough to prevent injuries, plan sessions with evidence behind them, and have a sport-science platform that larger leagues would envy.</w:t>
      </w:r>
    </w:p>
    <w:p>
      <w:pPr>
        <w:spacing w:after="120"/>
      </w:pPr>
      <w:r>
        <w:rPr>
          <w:rFonts w:ascii="Calibri" w:cs="Calibri" w:eastAsia="Calibri" w:hAnsi="Calibri"/>
          <w:sz w:val="22"/>
          <w:szCs w:val="22"/>
        </w:rPr>
        <w:t xml:space="preserve">If you run into trouble, have questions, or want to request features:</w:t>
      </w:r>
    </w:p>
    <w:p>
      <w:pPr>
        <w:spacing w:after="120"/>
      </w:pPr>
      <w:r>
        <w:rPr>
          <w:rFonts w:ascii="Calibri" w:cs="Calibri" w:eastAsia="Calibri" w:hAnsi="Calibri"/>
          <w:i/>
          <w:iCs/>
          <w:sz w:val="22"/>
          <w:szCs w:val="22"/>
        </w:rPr>
        <w:t xml:space="preserve">Use the thumbs-down feedback on any AI response — or email helgi@metabolic.is directly</w:t>
      </w:r>
    </w:p>
    <w:p>
      <w:pPr>
        <w:spacing w:before="1200"/>
        <w:jc w:val="center"/>
      </w:pPr>
      <w:r>
        <w:rPr>
          <w:rFonts w:ascii="Calibri" w:cs="Calibri" w:eastAsia="Calibri" w:hAnsi="Calibri"/>
          <w:color w:val="999999"/>
          <w:sz w:val="20"/>
          <w:szCs w:val="20"/>
        </w:rPr>
        <w:t xml:space="preserve">— END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MicroPulse Lite Mode — Coach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78"/>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Lite Mode Coach Guide</dc:title>
  <dc:creator>MicroPulse</dc:creator>
  <dc:description>Comprehensive guide for coaches using MicroPulse with Catapult Lite plans</dc:description>
  <cp:lastModifiedBy>Un-named</cp:lastModifiedBy>
  <cp:revision>1</cp:revision>
  <dcterms:created xsi:type="dcterms:W3CDTF">2026-05-03T13:41:20.927Z</dcterms:created>
  <dcterms:modified xsi:type="dcterms:W3CDTF">2026-05-03T13:41:20.927Z</dcterms:modified>
</cp:coreProperties>
</file>

<file path=docProps/custom.xml><?xml version="1.0" encoding="utf-8"?>
<Properties xmlns="http://schemas.openxmlformats.org/officeDocument/2006/custom-properties" xmlns:vt="http://schemas.openxmlformats.org/officeDocument/2006/docPropsVTypes"/>
</file>