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32"/>
        </w:rPr>
        <w:t>MICROPULSE</w:t>
      </w:r>
    </w:p>
    <w:p>
      <w:pPr>
        <w:jc w:val="center"/>
      </w:pPr>
      <w:r>
        <w:rPr>
          <w:rFonts w:ascii="Arial" w:hAnsi="Arial"/>
          <w:b/>
          <w:sz w:val="40"/>
        </w:rPr>
        <w:t>Apríl 2026 — Uppfærslur</w:t>
      </w:r>
    </w:p>
    <w:p>
      <w:pPr>
        <w:spacing w:after="400"/>
        <w:jc w:val="center"/>
      </w:pPr>
      <w:r>
        <w:rPr>
          <w:rFonts w:ascii="Arial" w:hAnsi="Arial"/>
          <w:i/>
          <w:color w:val="555555"/>
          <w:sz w:val="22"/>
        </w:rPr>
        <w:t>Viðauki við Ákvörðunarvélina og Regluskrána — nýjar reglur og endurbætur frá síðustu útgáfu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1. Inngangur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Þetta skjal lýsir öllum breytingum sem hafa orðið á MicroPulse ákvörðunarvélinni og regluskránni síðan núverandi útgáfa þessara skjala var skrifuð. Allar breytingar eru þegar í framleiðslu.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Yfirlit yfir helstu breytingar: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Indoor Composite Score — endurnýjuð formúla (IMU-only, fjarlægðir GPS-háðir mælar)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Composite Load Concern — þriggja merkja vegtun (RPE + GPS NBS + Metabolic)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Override-aware verdict explanation — kerfið viðurkennir coach overrides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Watchful-FULL branch — birtir composite/MLI flags þegar readiness er há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Source-aware composite display — merkir hvort tala kemur frá Indoor eða GPS pipeline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Team-level training mode toggle — auto/indoor/outdoor handvirkt val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Tveggja-laga arkítektúr skýringar — Top composite + NBS sub-layer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Injury logging unification — ein source-of-truth (RTP tab) með auto-mirror í analytics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2. Indoor Composite Score — IMU-only formúla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Eldri Indoor Composite formúlan vegði saman 5 þætti (Player Load 30%, Dynamic High % 25%, IMA total 20%, HMLD 15%, Decel B2-3 10%). Tveir síðustu þættirnir (HMLD og Decel B2-3) eru í raun GPS-háðir mælar — Catapult populeri þá indoor með pseudo-output (FMP-derived speed fyrir HMLD, Gen 2 IMA með GPS context fyrir Decel B2-3) en gildin eru noisier en outdoor-mælingar. Þeir voru að díluta Indoor Composite-inn.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Ný formúla er IMU-only og notar aðeins þá þætti sem eru native indoor: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48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Þáttur</w:t>
            </w:r>
          </w:p>
        </w:tc>
        <w:tc>
          <w:tcPr>
            <w:tcW w:type="dxa" w:w="129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Eldri vegt</w:t>
            </w:r>
          </w:p>
        </w:tc>
        <w:tc>
          <w:tcPr>
            <w:tcW w:type="dxa" w:w="129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Ný vegt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Source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Player Load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30%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40%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IMU accelerometer integration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Dynamic High 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25%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33%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stride bands (IMU)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IMA Total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27%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IMA accel + decel (IMU)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HMLD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15%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GPS-derived (FMP fallback) — noisy indoor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Decel B2-3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10%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GPS context (Gen 2 IMA) — noisy indoor</w:t>
            </w:r>
          </w:p>
        </w:tc>
      </w:tr>
    </w:tbl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Hlutfallaröðin helst sú sama (PL &gt; DynHigh &gt; IMA), bara normaliseraðir til 100%.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Áhrif á Composite Score band: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Eftir breytinguna eru þungir dagar metnir hærri (þeir voru áður dílutaðir með normaliseruðum HMLD/Decel sem trended toward 1.0). Dæmi: Aron Bjarnason 25/4 fór úr 116 (heavy) → 149 (spike) sem matchar raunveruleikanum (PL 594 vs baseline 423 = 1.4× = spike territory).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HMLD og Decel B2-3 eru ekki týnd: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Þeir eru áfram sýndir sem session-context fields á /coach/indoor-load (Player Load, Lengd, Dynamic High %, HMLD, IMA total, Decel B2-3 í stat-listanum). Þeir fara líka áfram inn í McBurnie indoor ratio (decel:dyn-high coupling) því sá ratio er beinlínis decel-intensity coupling metric með eigin healthy band (1-10) sem gerir ráð fyrir noise.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Composite score band þröskuldar — óbreyttir: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9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Score</w:t>
            </w:r>
          </w:p>
        </w:tc>
        <w:tc>
          <w:tcPr>
            <w:tcW w:type="dxa" w:w="201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Band</w:t>
            </w:r>
          </w:p>
        </w:tc>
        <w:tc>
          <w:tcPr>
            <w:tcW w:type="dxa" w:w="1584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Litur</w:t>
            </w:r>
          </w:p>
        </w:tc>
        <w:tc>
          <w:tcPr>
            <w:tcW w:type="dxa" w:w="4464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Þýðing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&lt; 60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light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slate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Recovery / walkthrough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60-89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below_average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sky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Mild tactical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90-110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typical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emerald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Standard training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110-140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heavy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amber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Match-style training</w:t>
            </w: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&gt; 140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spike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rose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Overload risk if sustained</w:t>
            </w:r>
          </w:p>
        </w:tc>
      </w:tr>
    </w:tbl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3. Composite Load Concern — þriggja merkja vegtun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Eldri formúlan í kóðagrunninum keyrði aðeins á 55% RPE + 45% GPS NBS. Síðan hefur verið bætt við Metabolic Load Score sem þriðja sjálfstæða merki. Vegtun aðlagast sjálfkrafa eftir því hvaða merki eru tiltæk: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5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Tiltæk merki</w:t>
            </w:r>
          </w:p>
        </w:tc>
        <w:tc>
          <w:tcPr>
            <w:tcW w:type="dxa" w:w="3744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Vegtun</w:t>
            </w:r>
          </w:p>
        </w:tc>
        <w:tc>
          <w:tcPr>
            <w:tcW w:type="dxa" w:w="2160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Trustaafsláttur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Öll þrjú (RPE + GPS NBS + Metabolic)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40% RPE · 35% GPS NBS · 25% Metabolic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Enginn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RPE + GPS NBS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55% RPE · 45% GPS NBS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Enginn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RPE + Metabolic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60% RPE · 40% Metabolic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× 0.85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GPS NBS + Metabolic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55% GPS NBS · 45% Metabolic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× 0.85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Aðeins RPE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100% RPE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× 0.80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Aðeins GPS NBS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100% GPS NBS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× 0.80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Aðeins Metabolic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100% Metabolic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× 0.70</w:t>
            </w:r>
          </w:p>
        </w:tc>
      </w:tr>
    </w:tbl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Tie-breaker: Ef GPS externalLoadState er "high" en composite &lt; 0.40, er composite hækkað í 0.40 (forðast að sitja signal undir radar).</w:t>
      </w:r>
    </w:p>
    <w:p>
      <w:pPr>
        <w:spacing w:before="240" w:after="120"/>
      </w:pPr>
      <w:r>
        <w:rPr>
          <w:rFonts w:ascii="Arial" w:hAnsi="Arial"/>
          <w:b/>
          <w:sz w:val="26"/>
        </w:rPr>
        <w:t>3.1 Safety nets — bumpa concern level upp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Eftirfarandi reglur viðbæta concern level óháð aðalformúlu: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Residual MLI (3-day mechanical accumulation): CAUTION → composite ≥ 0.40 (moderate); HIGH → ≥ 0.68 (high)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Residual Decel (3-day eccentric accumulation): sömu reglur og MLI — fangar McBurnie 2022 "mechanical fatigue failure" mynstur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Decel Burden (today): ≥ 0.45 → flag-að í sources; ≥ 0.70 → coach guidance segir "avoid COD-heavy drills"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HID% fatigue trend (Harper et al. 2019): ≥ 20% lækkun vs 7-day avg + stabil distance → "covers distance but at lower intensity"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Accel:Decel ratio &lt; 0.7: eccentric-dominant → flag fyrir auknu hamstring/calf strain risk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4. Tveggja-laga arkítektúr — Top Composite + NBS Sub-layer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Outdoor pipeline-inn hefur tveggja-laga arkítektúr sem er mikilvægt að skilja:</w:t>
      </w:r>
    </w:p>
    <w:p>
      <w:pPr>
        <w:spacing w:before="240" w:after="120"/>
      </w:pPr>
      <w:r>
        <w:rPr>
          <w:rFonts w:ascii="Arial" w:hAnsi="Arial"/>
          <w:b/>
          <w:sz w:val="26"/>
        </w:rPr>
        <w:t>4.1 Layer 1 — GPS NBS sub-layer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Hver GPS-merki verður fyrst að spike ratio (today / 28d-baseline), svo er normaliseraður (0-1 á alert threshold), svo veginn saman: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Breyta</w:t>
            </w:r>
          </w:p>
        </w:tc>
        <w:tc>
          <w:tcPr>
            <w:tcW w:type="dxa" w:w="1440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Vegt</w:t>
            </w:r>
          </w:p>
        </w:tc>
        <w:tc>
          <w:tcPr>
            <w:tcW w:type="dxa" w:w="3888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Threshold (low → high)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HIR Spike (High Intensity Running)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34%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1.15 → 1.60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Decel Spike (decel load)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26%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1.15 → 1.60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Density Stress Ratio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1.10 → 1.35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Max Velocity Exposure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14%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1.02 → 1.12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Band 6 Distance (sprint)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6%</w:t>
            </w:r>
          </w:p>
        </w:tc>
        <w:tc>
          <w:tcPr>
            <w:tcW w:type="dxa" w:w="3888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1.20 → 1.50</w:t>
            </w:r>
          </w:p>
        </w:tc>
      </w:tr>
    </w:tbl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Niðurstaða: NBS subscore (0-1) sem fer í 35% slot í Layer 2.</w:t>
      </w:r>
    </w:p>
    <w:p>
      <w:pPr>
        <w:spacing w:before="240" w:after="120"/>
      </w:pPr>
      <w:r>
        <w:rPr>
          <w:rFonts w:ascii="Arial" w:hAnsi="Arial"/>
          <w:b/>
          <w:sz w:val="26"/>
        </w:rPr>
        <w:t>4.2 Layer 2 — Top Composite (computeCompositeLoadConcern)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Þrjú merki vegin saman: 40% RPE ACWR + 35% NBS (Layer 1 output) + 25% Metabolic Load Score → composite_concern_level (none / low / moderate / high).</w:t>
      </w:r>
    </w:p>
    <w:p>
      <w:pPr>
        <w:spacing w:before="240" w:after="120"/>
      </w:pPr>
      <w:r>
        <w:rPr>
          <w:rFonts w:ascii="Arial" w:hAnsi="Arial"/>
          <w:b/>
          <w:sz w:val="26"/>
        </w:rPr>
        <w:t>4.3 Indoor NBS variant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Indoor pipeline hefur sína eigin NBS-formúlu þar sem GPS-háðar breytur eru skipt út fyrir IMU/FMP equivalents (sami logical role, IMU-only):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5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Breyta</w:t>
            </w:r>
          </w:p>
        </w:tc>
        <w:tc>
          <w:tcPr>
            <w:tcW w:type="dxa" w:w="1440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Vegt</w:t>
            </w:r>
          </w:p>
        </w:tc>
        <w:tc>
          <w:tcPr>
            <w:tcW w:type="dxa" w:w="4464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Replaces (logical role)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Dynamic High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34%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HIR (high-intensity COD/accel/decel)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PlayerLoad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26%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Density Stress (overall load)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IMA Total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Decel Spike (impact load)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Dynamic Medium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14%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Max Velocity (moderate intensity)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Running High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6%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Band 6 (linear running)</w:t>
            </w:r>
          </w:p>
        </w:tc>
      </w:tr>
    </w:tbl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240" w:after="120"/>
      </w:pPr>
      <w:r>
        <w:rPr>
          <w:rFonts w:ascii="Arial" w:hAnsi="Arial"/>
          <w:b/>
          <w:sz w:val="26"/>
        </w:rPr>
        <w:t>4.4 Basketball NBS variant — sport-specific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Karfubolti hefur sína eigin vegtun sem endurspeglar court-based COD-dominant álag: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5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Breyta</w:t>
            </w:r>
          </w:p>
        </w:tc>
        <w:tc>
          <w:tcPr>
            <w:tcW w:type="dxa" w:w="1440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Vegt</w:t>
            </w:r>
          </w:p>
        </w:tc>
        <w:tc>
          <w:tcPr>
            <w:tcW w:type="dxa" w:w="4464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Reasoning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PlayerLoad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30%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Stökk + landing + cutting (primary)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IMA Total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28%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COD-dominant íþrótt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Dynamic High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24%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Hraðar lateral hreyfingar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Dynamic Medium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14%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Moderate intensity patterns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FMP Running High Spike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4%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Lítið linear running á 28m vell</w:t>
            </w:r>
          </w:p>
        </w:tc>
      </w:tr>
    </w:tbl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240" w:after="120"/>
      </w:pPr>
      <w:r>
        <w:rPr>
          <w:rFonts w:ascii="Arial" w:hAnsi="Arial"/>
          <w:b/>
          <w:sz w:val="26"/>
        </w:rPr>
        <w:t>4.5 Munur á Indoor Composite vs Indoor NBS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Mikilvægt er að skilja að Indoor pipeline hefur TVÖ parallel kerfi sem mæla skylda hluti: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Indoor Composite Score (get_indoor_load_status RPC) — magnitude metric (0-150+, 100 = personal baseline). Notað á /coach/indoor-load síðunni og inn í verdict explanation. PL 40% / Dynamic High 33% / IMA 27%.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Indoor NBS Subscore (signals.ts INDOOR_SIGNAL_WEIGHTS) — concern score (0-1). Notað í dashboard external-load chip. FMP Dynamic High 34% / PlayerLoad 26% / IMA Total 20% / FMP Dynamic Med 14% / FMP Running High 6%.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Þeir eru ólíkir í eðli sínu (magnitude vs concern probability) og veljast því öðruvísi vegt-saman. Hvor er sýnilegur á sínum stað í UI.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5. Override-aware Verdict Explanation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Þegar þjálfari overrid-ar system RECOVERY/MODIFIED → FULL á leikmann með lágan STEN, var explanation engine áður að segja "All load signals within healthy band — no warning flags" + "max-intensity OK". Það ignoraði readiness side-ina alveg og gat verið clinical safety risk.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Ný regla: Þegar verdict = FULL OG is_overridden = true OG STEN ≤ 4, fer kerfið í override-aware branch sem viðurkennir conflictinn: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Skilyrði fyrir override-aware branch: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displayAction === "FULL"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STEN (úr zToSten(_z_today)) er gild og ≤ 4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System recommendation væri RECOVERY (STEN ≤ 2) eða MODIFIED (STEN 3-4)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Branch output: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Why: "Coach override active — system recommended RECOVERY based on STEN N, sharply declining trend" + "Self-reported readiness is very low — load picture below is healthy, but the player's body is signalling otherwise" + composite line for transparency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Coach guidance (STEN ≤ 2): "Light start, modified-friendly. No max-intensity sprints in opening block. Re-assess after warmup — if still flat, drop to recovery work."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Coach guidance (STEN 3-4): "Modified intensity start. Skip max-intensity sprints early. Watch warmup carefully — escalate to full only if body language is good."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Verify: "Confirm with player before warmup — sleep, soreness, anything outside training" + "Watch RPE and body language during first 15 min — pull back if it doesn't lift"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Ask: direct check-in question to put to the player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Banner-inn (Coach override active — STEN N, system recommended RECOVERY) helst áfram. Það sem er nýtt er að Why + Coach guidance fyrir neðan endurspegla nú raunverulegt klínískt mat í stað "max-intensity OK" línu sem aldrei átti að birtast á STEN 1 leikmanni.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6. Watchful-FULL Branch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Önnur ný regla: Þegar verdict = FULL OG STEN er há, EN composite concern eða fatigue type eða PL spike er flagged. Áður voru tveir UI-componentar að sýna ósammála upplýsingar — Top Concerns flag-aði leikmann en Decision Summary sagði "max-intensity OK". Nú deila þeir sömu signal contracts.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Skilyrði fyrir watchful-FULL branch (öll OR):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composite_concern_level === "high" eða "moderate"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fatigue_type ≠ "normal" og ≠ null (þ.e. mechanical_fatigue, metabolic_fatigue, eða global_fatigue)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pl_spike_ratio ≥ 1.6 (acute spike) eða ≥ 1.15 (elevated)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Branch output (sniðið eftir severity):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Why: "Ready today (STEN N, sharply improving) — body says it can train" + composite concern line tailored to fatigue type + PL spike line ef applicable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Coach guidance (HIGH eða spike): "Full session OK today, but treat as borderline. Skip the highest-intensity blocks (max sprints, contact). Watch volume across the rest of the week — drop a session if signal stays red."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Coach guidance (MODERATE): "Full session OK. One signal is elevated but not critical — keep an eye on it across the next 2–3 sessions before changing the plan."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Verify: "Compare today's composite + fatigue type to the 7-day rolling avg — is the trend rising?" + fatigue-specific monitoring tip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Ask: "How are your legs feeling — any heavy or stiff spots from yesterday?"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Þrjár FULL-leiðir núna: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Override-aware: low STEN, coach forced FULL → light start, modified-friendly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Watchful: high STEN, but composite/MLI/fatigue/PL flagga → full OK borderline, watch the week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Genuine: truly all clear → no restrictions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7. Source-aware Composite Display (Indoor vs GPS)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Verdict explanation sýndi áður "Composite N (typical, ~typical)" án þess að segja hvort talan kæmi úr Indoor (FMP) eða Outdoor (GPS) pipeline. Það var villandi fyrir hybrid teams og missing fyrir outdoor-only teams.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Ný regla: ExplainInput hefur primary_load_source: "indoor" | "outdoor" | null. Heuristic fyrir auto-mode: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≥ 3 indoor sessions/viku → "indoor" (höll-mode dominant)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Any outdoor PL eða concern → "outdoor" (GPS pipeline tiltækt)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1-2 indoor sessions only → "indoor" (sparse en ekta)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Ekkert → null (engin composite line í Why)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Þegar team-level trainingMode er stillt á "indoor" eða "outdoor" wins það yfir heuristic.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Ný display: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indoor → "Indoor composite N (typical, ACWR 0.90)"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outdoor → "GPS load concern: BAND, PL N× baseline" eða "GPS load: within healthy band — no concern flags"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Indoor-specific extras (ACWR sweet-spot line, indoor sessions count) birtast aðeins þegar source = indoor; outdoor mode sleppir þeim því GPS pipeline expose-ar ekki sömu fields.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8. Team-level Training Mode Toggle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Ný column í teams töflunni: training_mode_default ('auto' | 'indoor' | 'outdoor'), default 'auto'. Lætur þjálfara pin-a verdict pipeline handvirkt.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04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7056"/>
            <w:shd w:val="clear" w:color="auto" w:fill="E8EEF7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20"/>
              </w:rPr>
              <w:t>Hvað gerist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auto (default)</w:t>
            </w:r>
          </w:p>
        </w:tc>
        <w:tc>
          <w:tcPr>
            <w:tcW w:type="dxa" w:w="70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Per-player heuristic velur Indoor eða Outdoor pipeline byggt á recent session counts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indoor</w:t>
            </w:r>
          </w:p>
        </w:tc>
        <w:tc>
          <w:tcPr>
            <w:tcW w:type="dxa" w:w="70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Forsar FMP / PlayerLoad / IMA pipeline (höll-mode). GPS metrics ignored. Best for hall season eða indoor sports.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outdoor</w:t>
            </w:r>
          </w:p>
        </w:tc>
        <w:tc>
          <w:tcPr>
            <w:tcW w:type="dxa" w:w="7056"/>
          </w:tcPr>
          <w:p>
            <w:pPr>
              <w:spacing w:before="40" w:after="40"/>
            </w:pPr>
            <w:r/>
            <w:r>
              <w:rPr>
                <w:rFonts w:ascii="Arial" w:hAnsi="Arial"/>
                <w:sz w:val="20"/>
              </w:rPr>
              <w:t>Forsar GPS pipeline (HIR, velocity bands, sprint count). FMP indoor metrics ignored. Best for outdoor pitch season.</w:t>
            </w:r>
          </w:p>
        </w:tc>
      </w:tr>
    </w:tbl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UI: 3-state segmented control á Settings síðunni (🤖 Auto / 🏟️ Indoor / 🌿 Outdoor). Basketball læsist sjálfkrafa á Indoor (eldri rule preserved).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Workflow fyrir Ísland-fótbolta: Coach setur þetta einu sinni per season (apríl flip yfir á outdoor, október flip yfir á indoor). Verdict pipeline les þetta um leið og dashboard hleðst.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Hvað breytist í verdict pipeline: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indoor: composite line sýnir Indoor numbers (FMP-derived), McBurnie indoor ratio shown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outdoor: composite line sýnir GPS load concern level + PL spike, fatigue_type chips visible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auto: heuristic ræður — 90% af tilvika rétt, en handvirkt mode er nákvæmara í shoulder months (apríl, október)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9. Injury Logging Unification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Áður höfðu kerfið tvær aðskildar injury surfaces með sérstökum gagnatöflum sem voru ekki samstilltar: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RTP tab í dashboard — clinical 5-stage Return-To-Play workflow (player_injuries tafla)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/coach/injuries — retrospective pattern-match analytics, proof-of-ROI (injury_events tafla)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Þetta var clinical safety risk — þjálfari gat skráð meiðsli á öðrum staðnum og ekki séð á hinum. Höskuldur og Ágúst voru í injury_events en ekki player_injuries fyrr í verkefninu.</w:t>
      </w:r>
    </w:p>
    <w:p>
      <w:pPr>
        <w:spacing w:before="60" w:after="60" w:line="312" w:lineRule="auto"/>
      </w:pPr>
      <w:r>
        <w:rPr>
          <w:rFonts w:ascii="Arial" w:hAnsi="Arial"/>
          <w:b/>
          <w:i w:val="0"/>
          <w:sz w:val="22"/>
        </w:rPr>
        <w:t>Ný arkítektúr: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player_injuries er ein source-of-truth fyrir injury logging (RTP tab)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Postgres trigger player_injuries_sync_to_events mirror-ar hvert nýtt RTP injury yfir í injury_events sjálfkrafa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injury_events_compute_retro trigger keyrir á þeim líka → pattern-match score reiknast án manual trigger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Status changes (mark cleared etc.) propagate-a í injury_events row með sync_player_injury_status_to_event trigger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/coach/injuries síðan er nú "Injury Pattern Analysis" — read-only analytics view með "Open RTP tab →" link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Backfill: 5 existing player_injuries rows mirroraðar í injury_events svo engar dual-state injuries séu eftir. 2 illness-only events rows (Höskuldur, Ágúst) skildir eftir sem þeir þurfa ekki RTP tracking.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10. Code-grunnur — referenced files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Allar reglur í þessu skjali eiga uppruna sinn í eftirfarandi files: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src/lib/decision/explain.ts — verdict explanation engine (override + watchful + source-aware branches)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src/lib/micropulse/compositeLoad/index.ts — Top Composite Load Concern (RPE+NBS+Metabolic)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src/lib/micropulse/externalLoad/signals.ts — NBS sub-layers (CATAPULT_/INDOOR_/BASKETBALL_SIGNAL_WEIGHTS)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get_indoor_load_status() Postgres RPC — Indoor Composite Score (PL 40 / DynHigh 33 / IMA 27)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src/components/coach/DecisionSummaryCard.tsx — verdict UI + override detection (stenOverrideWarning)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src/app/coach/settings/page.tsx — training mode toggle + composite weight chips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src/app/api/team/settings/route.ts — GET/PATCH endpoint fyrir training_mode_default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Migration: indoor_composite_imu_only_weighting (apríl 2026) — Indoor Composite refactor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Migration: add_teams_training_mode_default — team-level toggle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Migration: sync_player_injuries_to_injury_events — injury unification trigger + backfill</w:t>
      </w:r>
    </w:p>
    <w:p>
      <w:pPr>
        <w:spacing w:before="360" w:after="160"/>
      </w:pPr>
      <w:r>
        <w:rPr>
          <w:rFonts w:ascii="Arial" w:hAnsi="Arial"/>
          <w:b/>
          <w:color w:val="0F4C81"/>
          <w:sz w:val="32"/>
        </w:rPr>
        <w:t>11. Lokaorð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Allar breytingar sem lýst er í þessu skjali eru þegar í framleiðslu og keyrast á öllum liðum. Engin frekari coach action þarf nema að setja training_mode_default á 'indoor' eða 'outdoor' ef teymið vill handvirkt val (annars heldur 'auto' áfram með per-player heuristic).</w:t>
      </w:r>
    </w:p>
    <w:p>
      <w:pPr>
        <w:spacing w:before="60" w:after="60" w:line="312" w:lineRule="auto"/>
      </w:pPr>
      <w:r>
        <w:rPr>
          <w:rFonts w:ascii="Arial" w:hAnsi="Arial"/>
          <w:b w:val="0"/>
          <w:i w:val="0"/>
          <w:sz w:val="22"/>
        </w:rPr>
        <w:t>Hin upprunalegu skjöl (MicroPulse_Akvordunarvelin.docx + MicroPulse-Regluskra.docx) eru áfram gild fyrir grunnuppsetninguna — þetta skjal er viðauki sem bætir við þeim sem hefur breyst frá útgáfu.</w:t>
      </w:r>
    </w:p>
    <w:p>
      <w:pPr>
        <w:spacing w:before="400"/>
        <w:jc w:val="center"/>
      </w:pPr>
      <w:r>
        <w:rPr>
          <w:rFonts w:ascii="Arial" w:hAnsi="Arial"/>
          <w:i/>
          <w:color w:val="555555"/>
          <w:sz w:val="18"/>
        </w:rPr>
        <w:t>MicroPulse — Apríl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