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F97316"/>
          <w:sz w:val="18"/>
          <w:szCs w:val="18"/>
        </w:rPr>
        <w:t xml:space="preserve">SALES PLAYBOOK · MAY 2026</w:t>
      </w:r>
    </w:p>
    <w:p>
      <w:pPr>
        <w:spacing w:after="200"/>
      </w:pPr>
      <w:r>
        <w:rPr>
          <w:b/>
          <w:bCs/>
          <w:color w:val="0F172A"/>
          <w:sz w:val="44"/>
          <w:szCs w:val="44"/>
        </w:rPr>
        <w:t xml:space="preserve">12-Minute Live Demo Script</w:t>
      </w:r>
    </w:p>
    <w:p>
      <w:pPr>
        <w:spacing w:after="360"/>
      </w:pPr>
      <w:r>
        <w:rPr>
          <w:i/>
          <w:iCs/>
          <w:color w:val="475569"/>
          <w:sz w:val="22"/>
          <w:szCs w:val="22"/>
        </w:rPr>
        <w:t xml:space="preserve">Use this script when demoing MicroPulse to a club coach, sport scientist, or distributor (Smartsport, etc.). It is not a feature tour — it is three scenarios that show what the coach sees, and what they would have missed without MicroPulse.</w:t>
      </w:r>
    </w:p>
    <w:p>
      <w:pPr>
        <w:pStyle w:val="Heading2"/>
      </w:pPr>
      <w:r>
        <w:t xml:space="preserve">Before you start (5 minutes prior)</w:t>
      </w:r>
    </w:p>
    <w:p>
      <w:pPr>
        <w:pStyle w:val="ListParagraph"/>
        <w:numPr>
          <w:ilvl w:val="0"/>
          <w:numId w:val="2"/>
        </w:numPr>
        <w:spacing w:after="80"/>
      </w:pPr>
      <w:r>
        <w:rPr>
          <w:b/>
          <w:bCs/>
        </w:rPr>
        <w:t xml:space="preserve">Open Breiðablik dashboard </w:t>
      </w:r>
      <w:r>
        <w:t xml:space="preserve">in admin pilot-mode</w:t>
      </w:r>
    </w:p>
    <w:p>
      <w:pPr>
        <w:pStyle w:val="ListParagraph"/>
        <w:numPr>
          <w:ilvl w:val="1"/>
          <w:numId w:val="2"/>
        </w:numPr>
        <w:spacing w:after="60"/>
      </w:pPr>
      <w:r>
        <w:t xml:space="preserve">URL: /coach (Today Command Center) — make sure date is May 4 (MD+1 with 9 RECOVERY rows)</w:t>
      </w:r>
    </w:p>
    <w:p>
      <w:pPr>
        <w:pStyle w:val="ListParagraph"/>
        <w:numPr>
          <w:ilvl w:val="1"/>
          <w:numId w:val="2"/>
        </w:numPr>
        <w:spacing w:after="60"/>
      </w:pPr>
      <w:r>
        <w:t xml:space="preserve">Have 4 tabs ready: Today, Decision Summary modal for one player, Notifications, Injuries</w:t>
      </w:r>
    </w:p>
    <w:p>
      <w:pPr>
        <w:pStyle w:val="ListParagraph"/>
        <w:numPr>
          <w:ilvl w:val="0"/>
          <w:numId w:val="2"/>
        </w:numPr>
        <w:spacing w:after="80"/>
      </w:pPr>
      <w:r>
        <w:rPr>
          <w:b/>
          <w:bCs/>
        </w:rPr>
        <w:t xml:space="preserve">Log out of all other accounts </w:t>
      </w:r>
      <w:r>
        <w:t xml:space="preserve">— show only Breiðablik branding (favicon, club logo, team-mode badge)</w:t>
      </w:r>
    </w:p>
    <w:p>
      <w:pPr>
        <w:pStyle w:val="ListParagraph"/>
        <w:numPr>
          <w:ilvl w:val="0"/>
          <w:numId w:val="2"/>
        </w:numPr>
        <w:spacing w:after="80"/>
      </w:pPr>
      <w:r>
        <w:rPr>
          <w:b/>
          <w:bCs/>
        </w:rPr>
        <w:t xml:space="preserve">Have the case study PDF open </w:t>
      </w:r>
      <w:r>
        <w:t xml:space="preserve">in a separate window to share at the end</w:t>
      </w:r>
    </w:p>
    <w:p>
      <w:pPr>
        <w:pStyle w:val="ListParagraph"/>
        <w:numPr>
          <w:ilvl w:val="0"/>
          <w:numId w:val="2"/>
        </w:numPr>
        <w:spacing w:after="80"/>
      </w:pPr>
      <w:r>
        <w:rPr>
          <w:b/>
          <w:bCs/>
        </w:rPr>
        <w:t xml:space="preserve">Mute notifications on your machine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c>
          <w:tcPr>
            <w:tcW w:type="dxa" w:w="1400"/>
            <w:tcBorders>
              <w:top w:val="none" w:color="FFFFFF" w:sz="0"/>
              <w:left w:val="none" w:color="FFFFFF" w:sz="0"/>
              <w:bottom w:val="none" w:color="FFFFFF" w:sz="0"/>
              <w:right w:val="none" w:color="FFFFFF" w:sz="0"/>
            </w:tcBorders>
            <w:shd w:fill="F97316" w:val="clear"/>
            <w:tcMar>
              <w:top w:type="dxa" w:w="80"/>
              <w:left w:type="dxa" w:w="100"/>
              <w:bottom w:type="dxa" w:w="80"/>
              <w:right w:type="dxa" w:w="100"/>
            </w:tcMar>
            <w:vAlign w:val="center"/>
          </w:tcPr>
          <w:p>
            <w:pPr>
              <w:jc w:val="center"/>
            </w:pPr>
            <w:r>
              <w:rPr>
                <w:b/>
                <w:bCs/>
                <w:color w:val="FFFFFF"/>
                <w:sz w:val="22"/>
                <w:szCs w:val="22"/>
              </w:rPr>
              <w:t xml:space="preserve">0:00–1:00</w:t>
            </w:r>
          </w:p>
        </w:tc>
        <w:tc>
          <w:tcPr>
            <w:tcW w:type="dxa" w:w="6800"/>
            <w:tcBorders>
              <w:top w:val="none" w:color="FFFFFF" w:sz="0"/>
              <w:left w:val="none" w:color="FFFFFF" w:sz="0"/>
              <w:bottom w:val="none" w:color="FFFFFF" w:sz="0"/>
              <w:right w:val="none" w:color="FFFFFF" w:sz="0"/>
            </w:tcBorders>
            <w:shd w:fill="FFF7ED" w:val="clear"/>
            <w:tcMar>
              <w:top w:type="dxa" w:w="80"/>
              <w:left w:type="dxa" w:w="200"/>
              <w:bottom w:type="dxa" w:w="80"/>
              <w:right w:type="dxa" w:w="100"/>
            </w:tcMar>
            <w:vAlign w:val="center"/>
          </w:tcPr>
          <w:p>
            <w:r>
              <w:rPr>
                <w:b/>
                <w:bCs/>
                <w:color w:val="0F172A"/>
                <w:sz w:val="24"/>
                <w:szCs w:val="24"/>
              </w:rPr>
              <w:t xml:space="preserve">Opening hook — set the problem</w:t>
            </w:r>
          </w:p>
        </w:tc>
        <w:tc>
          <w:tcPr>
            <w:tcW w:type="dxa" w:w="1160"/>
            <w:tcBorders>
              <w:top w:val="none" w:color="FFFFFF" w:sz="0"/>
              <w:left w:val="none" w:color="FFFFFF" w:sz="0"/>
              <w:bottom w:val="none" w:color="FFFFFF" w:sz="0"/>
              <w:right w:val="none" w:color="FFFFFF" w:sz="0"/>
            </w:tcBorders>
            <w:shd w:fill="FFF7ED" w:val="clear"/>
            <w:tcMar>
              <w:top w:type="dxa" w:w="80"/>
              <w:left w:type="dxa" w:w="100"/>
              <w:bottom w:type="dxa" w:w="80"/>
              <w:right w:type="dxa" w:w="100"/>
            </w:tcMar>
            <w:vAlign w:val="center"/>
          </w:tcPr>
          <w:p>
            <w:pPr>
              <w:jc w:val="right"/>
            </w:pPr>
            <w:r>
              <w:rPr>
                <w:i/>
                <w:iCs/>
                <w:color w:val="475569"/>
                <w:sz w:val="18"/>
                <w:szCs w:val="18"/>
              </w:rPr>
              <w:t xml:space="preserve">1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EFF6FF" w:val="clear"/>
            <w:tcMar>
              <w:top w:type="dxa" w:w="160"/>
              <w:left w:type="dxa" w:w="200"/>
              <w:bottom w:type="dxa" w:w="160"/>
              <w:right w:type="dxa" w:w="160"/>
            </w:tcMar>
            <w:vAlign w:val="top"/>
          </w:tcPr>
          <w:p>
            <w:pPr>
              <w:spacing w:after="100"/>
            </w:pPr>
            <w:r>
              <w:rPr>
                <w:b/>
                <w:bCs/>
                <w:color w:val="475569"/>
                <w:sz w:val="18"/>
                <w:szCs w:val="18"/>
              </w:rPr>
              <w:t xml:space="preserve">🖥  SHOW</w:t>
            </w:r>
          </w:p>
          <w:p>
            <w:pPr>
              <w:spacing w:after="80"/>
            </w:pPr>
            <w:r>
              <w:rPr>
                <w:sz w:val="20"/>
                <w:szCs w:val="20"/>
              </w:rPr>
              <w:t xml:space="preserve">Don't share screen yet. Just talk.</w:t>
            </w:r>
          </w:p>
        </w:tc>
        <w:tc>
          <w:tcPr>
            <w:tcW w:type="dxa" w:w="4680"/>
            <w:tcBorders>
              <w:top w:val="single" w:color="E2E8F0" w:sz="4"/>
              <w:left w:val="single" w:color="E2E8F0" w:sz="4"/>
              <w:bottom w:val="single" w:color="E2E8F0" w:sz="4"/>
              <w:right w:val="single" w:color="E2E8F0" w:sz="4"/>
            </w:tcBorders>
            <w:shd w:fill="F0FDF4" w:val="clear"/>
            <w:tcMar>
              <w:top w:type="dxa" w:w="160"/>
              <w:left w:type="dxa" w:w="200"/>
              <w:bottom w:type="dxa" w:w="160"/>
              <w:right w:type="dxa" w:w="160"/>
            </w:tcMar>
            <w:vAlign w:val="top"/>
          </w:tcPr>
          <w:p>
            <w:pPr>
              <w:spacing w:after="100"/>
            </w:pPr>
            <w:r>
              <w:rPr>
                <w:b/>
                <w:bCs/>
                <w:color w:val="475569"/>
                <w:sz w:val="18"/>
                <w:szCs w:val="18"/>
              </w:rPr>
              <w:t xml:space="preserve">💬  SAY</w:t>
            </w:r>
          </w:p>
          <w:p>
            <w:pPr>
              <w:spacing w:after="80"/>
            </w:pPr>
            <w:r>
              <w:rPr>
                <w:i/>
                <w:iCs/>
                <w:sz w:val="20"/>
                <w:szCs w:val="20"/>
              </w:rPr>
              <w:t xml:space="preserve">“Most clubs that buy Catapult use 5–10% of what the data is worth.”</w:t>
            </w:r>
          </w:p>
          <w:p>
            <w:pPr>
              <w:spacing w:after="80"/>
            </w:pPr>
            <w:r>
              <w:rPr>
                <w:i/>
                <w:iCs/>
                <w:sz w:val="20"/>
                <w:szCs w:val="20"/>
              </w:rPr>
              <w:t xml:space="preserve">“Coaches don't read ACWR plots daily. They look at the dashboard once, and then make decisions on gut feel.”</w:t>
            </w:r>
          </w:p>
          <w:p>
            <w:pPr>
              <w:spacing w:after="80"/>
            </w:pPr>
            <w:r>
              <w:rPr>
                <w:i/>
                <w:iCs/>
                <w:sz w:val="20"/>
                <w:szCs w:val="20"/>
              </w:rPr>
              <w:t xml:space="preserve">“MicroPulse is what sits between the Catapult data and the coach's morning briefing — turning numbers into one verdict per player per day, with an explanation.”</w:t>
            </w:r>
          </w:p>
          <w:p>
            <w:pPr>
              <w:spacing w:after="80"/>
            </w:pPr>
            <w:r>
              <w:rPr>
                <w:i/>
                <w:iCs/>
                <w:sz w:val="20"/>
                <w:szCs w:val="20"/>
              </w:rPr>
              <w:t xml:space="preserve">“Let me show you 3 real moments from Breiðablik in the last 90 days where this mattered.”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c>
          <w:tcPr>
            <w:tcW w:type="dxa" w:w="1400"/>
            <w:tcBorders>
              <w:top w:val="none" w:color="FFFFFF" w:sz="0"/>
              <w:left w:val="none" w:color="FFFFFF" w:sz="0"/>
              <w:bottom w:val="none" w:color="FFFFFF" w:sz="0"/>
              <w:right w:val="none" w:color="FFFFFF" w:sz="0"/>
            </w:tcBorders>
            <w:shd w:fill="F97316" w:val="clear"/>
            <w:tcMar>
              <w:top w:type="dxa" w:w="80"/>
              <w:left w:type="dxa" w:w="100"/>
              <w:bottom w:type="dxa" w:w="80"/>
              <w:right w:type="dxa" w:w="100"/>
            </w:tcMar>
            <w:vAlign w:val="center"/>
          </w:tcPr>
          <w:p>
            <w:pPr>
              <w:jc w:val="center"/>
            </w:pPr>
            <w:r>
              <w:rPr>
                <w:b/>
                <w:bCs/>
                <w:color w:val="FFFFFF"/>
                <w:sz w:val="22"/>
                <w:szCs w:val="22"/>
              </w:rPr>
              <w:t xml:space="preserve">1:00–3:00</w:t>
            </w:r>
          </w:p>
        </w:tc>
        <w:tc>
          <w:tcPr>
            <w:tcW w:type="dxa" w:w="6800"/>
            <w:tcBorders>
              <w:top w:val="none" w:color="FFFFFF" w:sz="0"/>
              <w:left w:val="none" w:color="FFFFFF" w:sz="0"/>
              <w:bottom w:val="none" w:color="FFFFFF" w:sz="0"/>
              <w:right w:val="none" w:color="FFFFFF" w:sz="0"/>
            </w:tcBorders>
            <w:shd w:fill="FFF7ED" w:val="clear"/>
            <w:tcMar>
              <w:top w:type="dxa" w:w="80"/>
              <w:left w:type="dxa" w:w="200"/>
              <w:bottom w:type="dxa" w:w="80"/>
              <w:right w:type="dxa" w:w="100"/>
            </w:tcMar>
            <w:vAlign w:val="center"/>
          </w:tcPr>
          <w:p>
            <w:r>
              <w:rPr>
                <w:b/>
                <w:bCs/>
                <w:color w:val="0F172A"/>
                <w:sz w:val="24"/>
                <w:szCs w:val="24"/>
              </w:rPr>
              <w:t xml:space="preserve">The morning view — Today Command Center</w:t>
            </w:r>
          </w:p>
        </w:tc>
        <w:tc>
          <w:tcPr>
            <w:tcW w:type="dxa" w:w="1160"/>
            <w:tcBorders>
              <w:top w:val="none" w:color="FFFFFF" w:sz="0"/>
              <w:left w:val="none" w:color="FFFFFF" w:sz="0"/>
              <w:bottom w:val="none" w:color="FFFFFF" w:sz="0"/>
              <w:right w:val="none" w:color="FFFFFF" w:sz="0"/>
            </w:tcBorders>
            <w:shd w:fill="FFF7ED" w:val="clear"/>
            <w:tcMar>
              <w:top w:type="dxa" w:w="80"/>
              <w:left w:type="dxa" w:w="100"/>
              <w:bottom w:type="dxa" w:w="80"/>
              <w:right w:type="dxa" w:w="100"/>
            </w:tcMar>
            <w:vAlign w:val="center"/>
          </w:tcPr>
          <w:p>
            <w:pPr>
              <w:jc w:val="right"/>
            </w:pPr>
            <w:r>
              <w:rPr>
                <w:i/>
                <w:iCs/>
                <w:color w:val="475569"/>
                <w:sz w:val="18"/>
                <w:szCs w:val="18"/>
              </w:rPr>
              <w:t xml:space="preserve">2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EFF6FF" w:val="clear"/>
            <w:tcMar>
              <w:top w:type="dxa" w:w="160"/>
              <w:left w:type="dxa" w:w="200"/>
              <w:bottom w:type="dxa" w:w="160"/>
              <w:right w:type="dxa" w:w="160"/>
            </w:tcMar>
            <w:vAlign w:val="top"/>
          </w:tcPr>
          <w:p>
            <w:pPr>
              <w:spacing w:after="100"/>
            </w:pPr>
            <w:r>
              <w:rPr>
                <w:b/>
                <w:bCs/>
                <w:color w:val="475569"/>
                <w:sz w:val="18"/>
                <w:szCs w:val="18"/>
              </w:rPr>
              <w:t xml:space="preserve">🖥  SHOW</w:t>
            </w:r>
          </w:p>
          <w:p>
            <w:pPr>
              <w:spacing w:after="80"/>
            </w:pPr>
            <w:r>
              <w:rPr>
                <w:sz w:val="20"/>
                <w:szCs w:val="20"/>
              </w:rPr>
              <w:t xml:space="preserve">Share screen. Open /coach (Today Command Center).</w:t>
            </w:r>
          </w:p>
          <w:p>
            <w:pPr>
              <w:spacing w:after="80"/>
            </w:pPr>
            <w:r>
              <w:rPr>
                <w:sz w:val="20"/>
                <w:szCs w:val="20"/>
              </w:rPr>
              <w:t xml:space="preserve">Point to: top status banner, then the per-player verdict cards (FULL / RECOVERY / Mixed signals).</w:t>
            </w:r>
          </w:p>
          <w:p>
            <w:pPr>
              <w:spacing w:after="80"/>
            </w:pPr>
            <w:r>
              <w:rPr>
                <w:sz w:val="20"/>
                <w:szCs w:val="20"/>
              </w:rPr>
              <w:t xml:space="preserve">Hover one card to show the player drilldown chips.</w:t>
            </w:r>
          </w:p>
        </w:tc>
        <w:tc>
          <w:tcPr>
            <w:tcW w:type="dxa" w:w="4680"/>
            <w:tcBorders>
              <w:top w:val="single" w:color="E2E8F0" w:sz="4"/>
              <w:left w:val="single" w:color="E2E8F0" w:sz="4"/>
              <w:bottom w:val="single" w:color="E2E8F0" w:sz="4"/>
              <w:right w:val="single" w:color="E2E8F0" w:sz="4"/>
            </w:tcBorders>
            <w:shd w:fill="F0FDF4" w:val="clear"/>
            <w:tcMar>
              <w:top w:type="dxa" w:w="160"/>
              <w:left w:type="dxa" w:w="200"/>
              <w:bottom w:type="dxa" w:w="160"/>
              <w:right w:type="dxa" w:w="160"/>
            </w:tcMar>
            <w:vAlign w:val="top"/>
          </w:tcPr>
          <w:p>
            <w:pPr>
              <w:spacing w:after="100"/>
            </w:pPr>
            <w:r>
              <w:rPr>
                <w:b/>
                <w:bCs/>
                <w:color w:val="475569"/>
                <w:sz w:val="18"/>
                <w:szCs w:val="18"/>
              </w:rPr>
              <w:t xml:space="preserve">💬  SAY</w:t>
            </w:r>
          </w:p>
          <w:p>
            <w:pPr>
              <w:spacing w:after="80"/>
            </w:pPr>
            <w:r>
              <w:rPr>
                <w:i/>
                <w:iCs/>
                <w:sz w:val="20"/>
                <w:szCs w:val="20"/>
              </w:rPr>
              <w:t xml:space="preserve">“This is what the head coach opens at 9 AM.”</w:t>
            </w:r>
          </w:p>
          <w:p>
            <w:pPr>
              <w:spacing w:after="80"/>
            </w:pPr>
            <w:r>
              <w:rPr>
                <w:i/>
                <w:iCs/>
                <w:sz w:val="20"/>
                <w:szCs w:val="20"/>
              </w:rPr>
              <w:t xml:space="preserve">“Top: squad status — green means most are FULL, amber means I need to look closer.”</w:t>
            </w:r>
          </w:p>
          <w:p>
            <w:pPr>
              <w:spacing w:after="80"/>
            </w:pPr>
            <w:r>
              <w:rPr>
                <w:i/>
                <w:iCs/>
                <w:sz w:val="20"/>
                <w:szCs w:val="20"/>
              </w:rPr>
              <w:t xml:space="preserve">“Below: every player gets ONE verdict. Not a chart — a verdict, with a one-line reason.”</w:t>
            </w:r>
          </w:p>
          <w:p>
            <w:pPr>
              <w:spacing w:after="80"/>
            </w:pPr>
            <w:r>
              <w:rPr>
                <w:i/>
                <w:iCs/>
                <w:sz w:val="20"/>
                <w:szCs w:val="20"/>
              </w:rPr>
              <w:t xml:space="preserve">“Watch what happens when I click on this one in amber...”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8"/>
              <w:left w:val="single" w:color="F59E0B" w:sz="24"/>
              <w:bottom w:val="single" w:color="FEF3C7" w:sz="8"/>
              <w:right w:val="single" w:color="FEF3C7" w:sz="8"/>
            </w:tcBorders>
            <w:shd w:fill="FEF3C7" w:val="clear"/>
            <w:tcMar>
              <w:top w:type="dxa" w:w="160"/>
              <w:left w:type="dxa" w:w="280"/>
              <w:bottom w:type="dxa" w:w="160"/>
              <w:right w:type="dxa" w:w="200"/>
            </w:tcMar>
          </w:tcPr>
          <w:p>
            <w:pPr>
              <w:spacing w:after="80"/>
            </w:pPr>
            <w:r>
              <w:rPr>
                <w:b/>
                <w:bCs/>
                <w:color w:val="92400E"/>
                <w:sz w:val="18"/>
                <w:szCs w:val="18"/>
              </w:rPr>
              <w:t xml:space="preserve">⚡ POWER MOMENT</w:t>
            </w:r>
          </w:p>
          <w:p>
            <w:r>
              <w:rPr>
                <w:sz w:val="22"/>
                <w:szCs w:val="22"/>
              </w:rPr>
              <w:t xml:space="preserve">The first 90 seconds of the demo decides everything. The prospect is asking themselves “does this look like something my coach would actually use, or is this another dashboard I'll have to learn?” Land the simplicity message hard.</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c>
          <w:tcPr>
            <w:tcW w:type="dxa" w:w="1400"/>
            <w:tcBorders>
              <w:top w:val="none" w:color="FFFFFF" w:sz="0"/>
              <w:left w:val="none" w:color="FFFFFF" w:sz="0"/>
              <w:bottom w:val="none" w:color="FFFFFF" w:sz="0"/>
              <w:right w:val="none" w:color="FFFFFF" w:sz="0"/>
            </w:tcBorders>
            <w:shd w:fill="F97316" w:val="clear"/>
            <w:tcMar>
              <w:top w:type="dxa" w:w="80"/>
              <w:left w:type="dxa" w:w="100"/>
              <w:bottom w:type="dxa" w:w="80"/>
              <w:right w:type="dxa" w:w="100"/>
            </w:tcMar>
            <w:vAlign w:val="center"/>
          </w:tcPr>
          <w:p>
            <w:pPr>
              <w:jc w:val="center"/>
            </w:pPr>
            <w:r>
              <w:rPr>
                <w:b/>
                <w:bCs/>
                <w:color w:val="FFFFFF"/>
                <w:sz w:val="22"/>
                <w:szCs w:val="22"/>
              </w:rPr>
              <w:t xml:space="preserve">3:00–6:00</w:t>
            </w:r>
          </w:p>
        </w:tc>
        <w:tc>
          <w:tcPr>
            <w:tcW w:type="dxa" w:w="6800"/>
            <w:tcBorders>
              <w:top w:val="none" w:color="FFFFFF" w:sz="0"/>
              <w:left w:val="none" w:color="FFFFFF" w:sz="0"/>
              <w:bottom w:val="none" w:color="FFFFFF" w:sz="0"/>
              <w:right w:val="none" w:color="FFFFFF" w:sz="0"/>
            </w:tcBorders>
            <w:shd w:fill="FFF7ED" w:val="clear"/>
            <w:tcMar>
              <w:top w:type="dxa" w:w="80"/>
              <w:left w:type="dxa" w:w="200"/>
              <w:bottom w:type="dxa" w:w="80"/>
              <w:right w:type="dxa" w:w="100"/>
            </w:tcMar>
            <w:vAlign w:val="center"/>
          </w:tcPr>
          <w:p>
            <w:r>
              <w:rPr>
                <w:b/>
                <w:bCs/>
                <w:color w:val="0F172A"/>
                <w:sz w:val="24"/>
                <w:szCs w:val="24"/>
              </w:rPr>
              <w:t xml:space="preserve">Story 1 — MD+1 squad recovery (the load story)</w:t>
            </w:r>
          </w:p>
        </w:tc>
        <w:tc>
          <w:tcPr>
            <w:tcW w:type="dxa" w:w="1160"/>
            <w:tcBorders>
              <w:top w:val="none" w:color="FFFFFF" w:sz="0"/>
              <w:left w:val="none" w:color="FFFFFF" w:sz="0"/>
              <w:bottom w:val="none" w:color="FFFFFF" w:sz="0"/>
              <w:right w:val="none" w:color="FFFFFF" w:sz="0"/>
            </w:tcBorders>
            <w:shd w:fill="FFF7ED" w:val="clear"/>
            <w:tcMar>
              <w:top w:type="dxa" w:w="80"/>
              <w:left w:type="dxa" w:w="100"/>
              <w:bottom w:type="dxa" w:w="80"/>
              <w:right w:type="dxa" w:w="100"/>
            </w:tcMar>
            <w:vAlign w:val="center"/>
          </w:tcPr>
          <w:p>
            <w:pPr>
              <w:jc w:val="right"/>
            </w:pPr>
            <w:r>
              <w:rPr>
                <w:i/>
                <w:iCs/>
                <w:color w:val="475569"/>
                <w:sz w:val="18"/>
                <w:szCs w:val="18"/>
              </w:rPr>
              <w:t xml:space="preserve">3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EFF6FF" w:val="clear"/>
            <w:tcMar>
              <w:top w:type="dxa" w:w="160"/>
              <w:left w:type="dxa" w:w="200"/>
              <w:bottom w:type="dxa" w:w="160"/>
              <w:right w:type="dxa" w:w="160"/>
            </w:tcMar>
            <w:vAlign w:val="top"/>
          </w:tcPr>
          <w:p>
            <w:pPr>
              <w:spacing w:after="100"/>
            </w:pPr>
            <w:r>
              <w:rPr>
                <w:b/>
                <w:bCs/>
                <w:color w:val="475569"/>
                <w:sz w:val="18"/>
                <w:szCs w:val="18"/>
              </w:rPr>
              <w:t xml:space="preserve">🖥  SHOW</w:t>
            </w:r>
          </w:p>
          <w:p>
            <w:pPr>
              <w:spacing w:after="80"/>
            </w:pPr>
            <w:r>
              <w:rPr>
                <w:sz w:val="20"/>
                <w:szCs w:val="20"/>
              </w:rPr>
              <w:t xml:space="preserve">Click into May 4 view (MD+1).</w:t>
            </w:r>
          </w:p>
          <w:p>
            <w:pPr>
              <w:spacing w:after="80"/>
            </w:pPr>
            <w:r>
              <w:rPr>
                <w:sz w:val="20"/>
                <w:szCs w:val="20"/>
              </w:rPr>
              <w:t xml:space="preserve">Show 9 players with RECOVERY badge.</w:t>
            </w:r>
          </w:p>
          <w:p>
            <w:pPr>
              <w:spacing w:after="80"/>
            </w:pPr>
            <w:r>
              <w:rPr>
                <w:sz w:val="20"/>
                <w:szCs w:val="20"/>
              </w:rPr>
              <w:t xml:space="preserve">Click one to open Decision Summary modal.</w:t>
            </w:r>
          </w:p>
          <w:p>
            <w:pPr>
              <w:spacing w:after="80"/>
            </w:pPr>
            <w:r>
              <w:rPr>
                <w:sz w:val="20"/>
                <w:szCs w:val="20"/>
              </w:rPr>
              <w:t xml:space="preserve">Point to: ‘Match minutes ≥60’ chip + the ‘Hard rule applied’ note.</w:t>
            </w:r>
          </w:p>
        </w:tc>
        <w:tc>
          <w:tcPr>
            <w:tcW w:type="dxa" w:w="4680"/>
            <w:tcBorders>
              <w:top w:val="single" w:color="E2E8F0" w:sz="4"/>
              <w:left w:val="single" w:color="E2E8F0" w:sz="4"/>
              <w:bottom w:val="single" w:color="E2E8F0" w:sz="4"/>
              <w:right w:val="single" w:color="E2E8F0" w:sz="4"/>
            </w:tcBorders>
            <w:shd w:fill="F0FDF4" w:val="clear"/>
            <w:tcMar>
              <w:top w:type="dxa" w:w="160"/>
              <w:left w:type="dxa" w:w="200"/>
              <w:bottom w:type="dxa" w:w="160"/>
              <w:right w:type="dxa" w:w="160"/>
            </w:tcMar>
            <w:vAlign w:val="top"/>
          </w:tcPr>
          <w:p>
            <w:pPr>
              <w:spacing w:after="100"/>
            </w:pPr>
            <w:r>
              <w:rPr>
                <w:b/>
                <w:bCs/>
                <w:color w:val="475569"/>
                <w:sz w:val="18"/>
                <w:szCs w:val="18"/>
              </w:rPr>
              <w:t xml:space="preserve">💬  SAY</w:t>
            </w:r>
          </w:p>
          <w:p>
            <w:pPr>
              <w:spacing w:after="80"/>
            </w:pPr>
            <w:r>
              <w:rPr>
                <w:i/>
                <w:iCs/>
                <w:sz w:val="20"/>
                <w:szCs w:val="20"/>
              </w:rPr>
              <w:t xml:space="preserve">“May 4 was the morning after a league match. Nine players were in the starting eleven and played 60+ minutes.”</w:t>
            </w:r>
          </w:p>
          <w:p>
            <w:pPr>
              <w:spacing w:after="80"/>
            </w:pPr>
            <w:r>
              <w:rPr>
                <w:i/>
                <w:iCs/>
                <w:sz w:val="20"/>
                <w:szCs w:val="20"/>
              </w:rPr>
              <w:t xml:space="preserve">“Catapult data alone said some were fine — player load wasn't extreme, ACWR was safe.”</w:t>
            </w:r>
          </w:p>
          <w:p>
            <w:pPr>
              <w:spacing w:after="80"/>
            </w:pPr>
            <w:r>
              <w:rPr>
                <w:i/>
                <w:iCs/>
                <w:sz w:val="20"/>
                <w:szCs w:val="20"/>
              </w:rPr>
              <w:t xml:space="preserve">“But MicroPulse has a hard rule built in: 60+ minutes on match day means 48–72 hours of recovery is required, regardless of load metrics. That's Carling, Nédélec, Helsen — three peer-reviewed papers on post-match recovery.”</w:t>
            </w:r>
          </w:p>
          <w:p>
            <w:pPr>
              <w:spacing w:after="80"/>
            </w:pPr>
            <w:r>
              <w:rPr>
                <w:i/>
                <w:iCs/>
                <w:sz w:val="20"/>
                <w:szCs w:val="20"/>
              </w:rPr>
              <w:t xml:space="preserve">“So instead of the coach having to triage 9 players one by one, the system flagged them as a group and offered a one-click MD+1 recovery bundle.”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8"/>
              <w:left w:val="single" w:color="F59E0B" w:sz="24"/>
              <w:bottom w:val="single" w:color="FEF3C7" w:sz="8"/>
              <w:right w:val="single" w:color="FEF3C7" w:sz="8"/>
            </w:tcBorders>
            <w:shd w:fill="FEF3C7" w:val="clear"/>
            <w:tcMar>
              <w:top w:type="dxa" w:w="160"/>
              <w:left w:type="dxa" w:w="280"/>
              <w:bottom w:type="dxa" w:w="160"/>
              <w:right w:type="dxa" w:w="200"/>
            </w:tcMar>
          </w:tcPr>
          <w:p>
            <w:pPr>
              <w:spacing w:after="80"/>
            </w:pPr>
            <w:r>
              <w:rPr>
                <w:b/>
                <w:bCs/>
                <w:color w:val="92400E"/>
                <w:sz w:val="18"/>
                <w:szCs w:val="18"/>
              </w:rPr>
              <w:t xml:space="preserve">⚡ POWER MOMENT</w:t>
            </w:r>
          </w:p>
          <w:p>
            <w:r>
              <w:rPr>
                <w:sz w:val="22"/>
                <w:szCs w:val="22"/>
              </w:rPr>
              <w:t xml:space="preserve">Tie this to a number from the case study: “All 9 RECOVERY recommendations were accepted. Zero override mistakes. Saved the coach 30+ minutes that morning.” This converts abstract value into time saved.</w:t>
            </w:r>
          </w:p>
        </w:tc>
      </w:tr>
    </w:tbl>
    <w:p>
      <w:pPr>
        <w:spacing w:after="120"/>
      </w:pPr>
      <w:r>
        <w:t xml:space="preserve"/>
      </w:r>
    </w:p>
    <w:p>
      <w:pPr>
        <w:pStyle w:val="Heading3"/>
      </w:pPr>
      <w:r>
        <w:t xml:space="preserve">If they ask: ‘What if a player wants to train anyway?’</w:t>
      </w:r>
    </w:p>
    <w:p>
      <w:pPr>
        <w:spacing w:after="120"/>
        <w:jc w:val="left"/>
      </w:pPr>
      <w:r>
        <w:t xml:space="preserve">‘Coach can override with one click. We don't lock them out — we surface the recommendation with the science behind it. The coach is still the decision maker. We just make sure they're not deciding from incomplete data.’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c>
          <w:tcPr>
            <w:tcW w:type="dxa" w:w="1400"/>
            <w:tcBorders>
              <w:top w:val="none" w:color="FFFFFF" w:sz="0"/>
              <w:left w:val="none" w:color="FFFFFF" w:sz="0"/>
              <w:bottom w:val="none" w:color="FFFFFF" w:sz="0"/>
              <w:right w:val="none" w:color="FFFFFF" w:sz="0"/>
            </w:tcBorders>
            <w:shd w:fill="F97316" w:val="clear"/>
            <w:tcMar>
              <w:top w:type="dxa" w:w="80"/>
              <w:left w:type="dxa" w:w="100"/>
              <w:bottom w:type="dxa" w:w="80"/>
              <w:right w:type="dxa" w:w="100"/>
            </w:tcMar>
            <w:vAlign w:val="center"/>
          </w:tcPr>
          <w:p>
            <w:pPr>
              <w:jc w:val="center"/>
            </w:pPr>
            <w:r>
              <w:rPr>
                <w:b/>
                <w:bCs/>
                <w:color w:val="FFFFFF"/>
                <w:sz w:val="22"/>
                <w:szCs w:val="22"/>
              </w:rPr>
              <w:t xml:space="preserve">6:00–9:00</w:t>
            </w:r>
          </w:p>
        </w:tc>
        <w:tc>
          <w:tcPr>
            <w:tcW w:type="dxa" w:w="6800"/>
            <w:tcBorders>
              <w:top w:val="none" w:color="FFFFFF" w:sz="0"/>
              <w:left w:val="none" w:color="FFFFFF" w:sz="0"/>
              <w:bottom w:val="none" w:color="FFFFFF" w:sz="0"/>
              <w:right w:val="none" w:color="FFFFFF" w:sz="0"/>
            </w:tcBorders>
            <w:shd w:fill="FFF7ED" w:val="clear"/>
            <w:tcMar>
              <w:top w:type="dxa" w:w="80"/>
              <w:left w:type="dxa" w:w="200"/>
              <w:bottom w:type="dxa" w:w="80"/>
              <w:right w:type="dxa" w:w="100"/>
            </w:tcMar>
            <w:vAlign w:val="center"/>
          </w:tcPr>
          <w:p>
            <w:r>
              <w:rPr>
                <w:b/>
                <w:bCs/>
                <w:color w:val="0F172A"/>
                <w:sz w:val="24"/>
                <w:szCs w:val="24"/>
              </w:rPr>
              <w:t xml:space="preserve">Story 2 — Engine conflict (the wellness story)</w:t>
            </w:r>
          </w:p>
        </w:tc>
        <w:tc>
          <w:tcPr>
            <w:tcW w:type="dxa" w:w="1160"/>
            <w:tcBorders>
              <w:top w:val="none" w:color="FFFFFF" w:sz="0"/>
              <w:left w:val="none" w:color="FFFFFF" w:sz="0"/>
              <w:bottom w:val="none" w:color="FFFFFF" w:sz="0"/>
              <w:right w:val="none" w:color="FFFFFF" w:sz="0"/>
            </w:tcBorders>
            <w:shd w:fill="FFF7ED" w:val="clear"/>
            <w:tcMar>
              <w:top w:type="dxa" w:w="80"/>
              <w:left w:type="dxa" w:w="100"/>
              <w:bottom w:type="dxa" w:w="80"/>
              <w:right w:type="dxa" w:w="100"/>
            </w:tcMar>
            <w:vAlign w:val="center"/>
          </w:tcPr>
          <w:p>
            <w:pPr>
              <w:jc w:val="right"/>
            </w:pPr>
            <w:r>
              <w:rPr>
                <w:i/>
                <w:iCs/>
                <w:color w:val="475569"/>
                <w:sz w:val="18"/>
                <w:szCs w:val="18"/>
              </w:rPr>
              <w:t xml:space="preserve">3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EFF6FF" w:val="clear"/>
            <w:tcMar>
              <w:top w:type="dxa" w:w="160"/>
              <w:left w:type="dxa" w:w="200"/>
              <w:bottom w:type="dxa" w:w="160"/>
              <w:right w:type="dxa" w:w="160"/>
            </w:tcMar>
            <w:vAlign w:val="top"/>
          </w:tcPr>
          <w:p>
            <w:pPr>
              <w:spacing w:after="100"/>
            </w:pPr>
            <w:r>
              <w:rPr>
                <w:b/>
                <w:bCs/>
                <w:color w:val="475569"/>
                <w:sz w:val="18"/>
                <w:szCs w:val="18"/>
              </w:rPr>
              <w:t xml:space="preserve">🖥  SHOW</w:t>
            </w:r>
          </w:p>
          <w:p>
            <w:pPr>
              <w:spacing w:after="80"/>
            </w:pPr>
            <w:r>
              <w:rPr>
                <w:sz w:val="20"/>
                <w:szCs w:val="20"/>
              </w:rPr>
              <w:t xml:space="preserve">Navigate to a different player's Decision Summary.</w:t>
            </w:r>
          </w:p>
          <w:p>
            <w:pPr>
              <w:spacing w:after="80"/>
            </w:pPr>
            <w:r>
              <w:rPr>
                <w:sz w:val="20"/>
                <w:szCs w:val="20"/>
              </w:rPr>
              <w:t xml:space="preserve">Show the ‘Mixed signals — confirm with player before training session’ banner.</w:t>
            </w:r>
          </w:p>
          <w:p>
            <w:pPr>
              <w:spacing w:after="80"/>
            </w:pPr>
            <w:r>
              <w:rPr>
                <w:sz w:val="20"/>
                <w:szCs w:val="20"/>
              </w:rPr>
              <w:t xml:space="preserve">Point to: wellness chips (RED soreness, RED energy) + load chips (FULL ACWR safe).</w:t>
            </w:r>
          </w:p>
          <w:p>
            <w:pPr>
              <w:spacing w:after="80"/>
            </w:pPr>
            <w:r>
              <w:rPr>
                <w:sz w:val="20"/>
                <w:szCs w:val="20"/>
              </w:rPr>
              <w:t xml:space="preserve">Open AI Summary section.</w:t>
            </w:r>
          </w:p>
        </w:tc>
        <w:tc>
          <w:tcPr>
            <w:tcW w:type="dxa" w:w="4680"/>
            <w:tcBorders>
              <w:top w:val="single" w:color="E2E8F0" w:sz="4"/>
              <w:left w:val="single" w:color="E2E8F0" w:sz="4"/>
              <w:bottom w:val="single" w:color="E2E8F0" w:sz="4"/>
              <w:right w:val="single" w:color="E2E8F0" w:sz="4"/>
            </w:tcBorders>
            <w:shd w:fill="F0FDF4" w:val="clear"/>
            <w:tcMar>
              <w:top w:type="dxa" w:w="160"/>
              <w:left w:type="dxa" w:w="200"/>
              <w:bottom w:type="dxa" w:w="160"/>
              <w:right w:type="dxa" w:w="160"/>
            </w:tcMar>
            <w:vAlign w:val="top"/>
          </w:tcPr>
          <w:p>
            <w:pPr>
              <w:spacing w:after="100"/>
            </w:pPr>
            <w:r>
              <w:rPr>
                <w:b/>
                <w:bCs/>
                <w:color w:val="475569"/>
                <w:sz w:val="18"/>
                <w:szCs w:val="18"/>
              </w:rPr>
              <w:t xml:space="preserve">💬  SAY</w:t>
            </w:r>
          </w:p>
          <w:p>
            <w:pPr>
              <w:spacing w:after="80"/>
            </w:pPr>
            <w:r>
              <w:rPr>
                <w:i/>
                <w:iCs/>
                <w:sz w:val="20"/>
                <w:szCs w:val="20"/>
              </w:rPr>
              <w:t xml:space="preserve">“Same week. Different player. RED soreness, RED energy in his morning wellness check-in.”</w:t>
            </w:r>
          </w:p>
          <w:p>
            <w:pPr>
              <w:spacing w:after="80"/>
            </w:pPr>
            <w:r>
              <w:rPr>
                <w:i/>
                <w:iCs/>
                <w:sz w:val="20"/>
                <w:szCs w:val="20"/>
              </w:rPr>
              <w:t xml:space="preserve">“But his Catapult load over the past 7 days? Totally normal. ACWR at 1.05 — perfectly safe.”</w:t>
            </w:r>
          </w:p>
          <w:p>
            <w:pPr>
              <w:spacing w:after="80"/>
            </w:pPr>
            <w:r>
              <w:rPr>
                <w:i/>
                <w:iCs/>
                <w:sz w:val="20"/>
                <w:szCs w:val="20"/>
              </w:rPr>
              <w:t xml:space="preserve">“Two engines disagree. One says recovery, the other says full session.”</w:t>
            </w:r>
          </w:p>
          <w:p>
            <w:pPr>
              <w:spacing w:after="80"/>
            </w:pPr>
            <w:r>
              <w:rPr>
                <w:i/>
                <w:iCs/>
                <w:sz w:val="20"/>
                <w:szCs w:val="20"/>
              </w:rPr>
              <w:t xml:space="preserve">“Most systems hide this. They pick a winner. We surface it as a flag — Mixed signals. The AI Summary writes a 2-sentence explanation: what this means, and exactly what to ask the player about before training.”</w:t>
            </w:r>
          </w:p>
          <w:p>
            <w:pPr>
              <w:spacing w:after="80"/>
            </w:pPr>
            <w:r>
              <w:rPr>
                <w:i/>
                <w:iCs/>
                <w:sz w:val="20"/>
                <w:szCs w:val="20"/>
              </w:rPr>
              <w:t xml:space="preserve">“The coach had a 30-second conversation with the player. Turns out he'd done a heavy lift on Friday — unrelated to football. The system caught a subjective dimension that GPS alone would have missed.”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8"/>
              <w:left w:val="single" w:color="F59E0B" w:sz="24"/>
              <w:bottom w:val="single" w:color="FEF3C7" w:sz="8"/>
              <w:right w:val="single" w:color="FEF3C7" w:sz="8"/>
            </w:tcBorders>
            <w:shd w:fill="FEF3C7" w:val="clear"/>
            <w:tcMar>
              <w:top w:type="dxa" w:w="160"/>
              <w:left w:type="dxa" w:w="280"/>
              <w:bottom w:type="dxa" w:w="160"/>
              <w:right w:type="dxa" w:w="200"/>
            </w:tcMar>
          </w:tcPr>
          <w:p>
            <w:pPr>
              <w:spacing w:after="80"/>
            </w:pPr>
            <w:r>
              <w:rPr>
                <w:b/>
                <w:bCs/>
                <w:color w:val="92400E"/>
                <w:sz w:val="18"/>
                <w:szCs w:val="18"/>
              </w:rPr>
              <w:t xml:space="preserve">⚡ POWER MOMENT</w:t>
            </w:r>
          </w:p>
          <w:p>
            <w:r>
              <w:rPr>
                <w:sz w:val="22"/>
                <w:szCs w:val="22"/>
              </w:rPr>
              <w:t xml:space="preserve">This is the killer feature for sport scientists. Lead with: “No system I know of fuses subjective wellness with external load this way. This is how you catch the 20% of recovery cases that aren't in the GPS data.”</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c>
          <w:tcPr>
            <w:tcW w:type="dxa" w:w="1400"/>
            <w:tcBorders>
              <w:top w:val="none" w:color="FFFFFF" w:sz="0"/>
              <w:left w:val="none" w:color="FFFFFF" w:sz="0"/>
              <w:bottom w:val="none" w:color="FFFFFF" w:sz="0"/>
              <w:right w:val="none" w:color="FFFFFF" w:sz="0"/>
            </w:tcBorders>
            <w:shd w:fill="F97316" w:val="clear"/>
            <w:tcMar>
              <w:top w:type="dxa" w:w="80"/>
              <w:left w:type="dxa" w:w="100"/>
              <w:bottom w:type="dxa" w:w="80"/>
              <w:right w:type="dxa" w:w="100"/>
            </w:tcMar>
            <w:vAlign w:val="center"/>
          </w:tcPr>
          <w:p>
            <w:pPr>
              <w:jc w:val="center"/>
            </w:pPr>
            <w:r>
              <w:rPr>
                <w:b/>
                <w:bCs/>
                <w:color w:val="FFFFFF"/>
                <w:sz w:val="22"/>
                <w:szCs w:val="22"/>
              </w:rPr>
              <w:t xml:space="preserve">9:00–11:00</w:t>
            </w:r>
          </w:p>
        </w:tc>
        <w:tc>
          <w:tcPr>
            <w:tcW w:type="dxa" w:w="6800"/>
            <w:tcBorders>
              <w:top w:val="none" w:color="FFFFFF" w:sz="0"/>
              <w:left w:val="none" w:color="FFFFFF" w:sz="0"/>
              <w:bottom w:val="none" w:color="FFFFFF" w:sz="0"/>
              <w:right w:val="none" w:color="FFFFFF" w:sz="0"/>
            </w:tcBorders>
            <w:shd w:fill="FFF7ED" w:val="clear"/>
            <w:tcMar>
              <w:top w:type="dxa" w:w="80"/>
              <w:left w:type="dxa" w:w="200"/>
              <w:bottom w:type="dxa" w:w="80"/>
              <w:right w:type="dxa" w:w="100"/>
            </w:tcMar>
            <w:vAlign w:val="center"/>
          </w:tcPr>
          <w:p>
            <w:r>
              <w:rPr>
                <w:b/>
                <w:bCs/>
                <w:color w:val="0F172A"/>
                <w:sz w:val="24"/>
                <w:szCs w:val="24"/>
              </w:rPr>
              <w:t xml:space="preserve">Story 3 — Injury retro (the “why?” story)</w:t>
            </w:r>
          </w:p>
        </w:tc>
        <w:tc>
          <w:tcPr>
            <w:tcW w:type="dxa" w:w="1160"/>
            <w:tcBorders>
              <w:top w:val="none" w:color="FFFFFF" w:sz="0"/>
              <w:left w:val="none" w:color="FFFFFF" w:sz="0"/>
              <w:bottom w:val="none" w:color="FFFFFF" w:sz="0"/>
              <w:right w:val="none" w:color="FFFFFF" w:sz="0"/>
            </w:tcBorders>
            <w:shd w:fill="FFF7ED" w:val="clear"/>
            <w:tcMar>
              <w:top w:type="dxa" w:w="80"/>
              <w:left w:type="dxa" w:w="100"/>
              <w:bottom w:type="dxa" w:w="80"/>
              <w:right w:type="dxa" w:w="100"/>
            </w:tcMar>
            <w:vAlign w:val="center"/>
          </w:tcPr>
          <w:p>
            <w:pPr>
              <w:jc w:val="right"/>
            </w:pPr>
            <w:r>
              <w:rPr>
                <w:i/>
                <w:iCs/>
                <w:color w:val="475569"/>
                <w:sz w:val="18"/>
                <w:szCs w:val="18"/>
              </w:rPr>
              <w:t xml:space="preserve">2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EFF6FF" w:val="clear"/>
            <w:tcMar>
              <w:top w:type="dxa" w:w="160"/>
              <w:left w:type="dxa" w:w="200"/>
              <w:bottom w:type="dxa" w:w="160"/>
              <w:right w:type="dxa" w:w="160"/>
            </w:tcMar>
            <w:vAlign w:val="top"/>
          </w:tcPr>
          <w:p>
            <w:pPr>
              <w:spacing w:after="100"/>
            </w:pPr>
            <w:r>
              <w:rPr>
                <w:b/>
                <w:bCs/>
                <w:color w:val="475569"/>
                <w:sz w:val="18"/>
                <w:szCs w:val="18"/>
              </w:rPr>
              <w:t xml:space="preserve">🖥  SHOW</w:t>
            </w:r>
          </w:p>
          <w:p>
            <w:pPr>
              <w:spacing w:after="80"/>
            </w:pPr>
            <w:r>
              <w:rPr>
                <w:sz w:val="20"/>
                <w:szCs w:val="20"/>
              </w:rPr>
              <w:t xml:space="preserve">Open Injuries page.</w:t>
            </w:r>
          </w:p>
          <w:p>
            <w:pPr>
              <w:spacing w:after="80"/>
            </w:pPr>
            <w:r>
              <w:rPr>
                <w:sz w:val="20"/>
                <w:szCs w:val="20"/>
              </w:rPr>
              <w:t xml:space="preserve">Click on the April 22 ankle sprain row.</w:t>
            </w:r>
          </w:p>
          <w:p>
            <w:pPr>
              <w:spacing w:after="80"/>
            </w:pPr>
            <w:r>
              <w:rPr>
                <w:sz w:val="20"/>
                <w:szCs w:val="20"/>
              </w:rPr>
              <w:t xml:space="preserve">Scroll the retro-signals timeline (7-day lookback with VALD, GPS spikes, Decel A:D coupling).</w:t>
            </w:r>
          </w:p>
        </w:tc>
        <w:tc>
          <w:tcPr>
            <w:tcW w:type="dxa" w:w="4680"/>
            <w:tcBorders>
              <w:top w:val="single" w:color="E2E8F0" w:sz="4"/>
              <w:left w:val="single" w:color="E2E8F0" w:sz="4"/>
              <w:bottom w:val="single" w:color="E2E8F0" w:sz="4"/>
              <w:right w:val="single" w:color="E2E8F0" w:sz="4"/>
            </w:tcBorders>
            <w:shd w:fill="F0FDF4" w:val="clear"/>
            <w:tcMar>
              <w:top w:type="dxa" w:w="160"/>
              <w:left w:type="dxa" w:w="200"/>
              <w:bottom w:type="dxa" w:w="160"/>
              <w:right w:type="dxa" w:w="160"/>
            </w:tcMar>
            <w:vAlign w:val="top"/>
          </w:tcPr>
          <w:p>
            <w:pPr>
              <w:spacing w:after="100"/>
            </w:pPr>
            <w:r>
              <w:rPr>
                <w:b/>
                <w:bCs/>
                <w:color w:val="475569"/>
                <w:sz w:val="18"/>
                <w:szCs w:val="18"/>
              </w:rPr>
              <w:t xml:space="preserve">💬  SAY</w:t>
            </w:r>
          </w:p>
          <w:p>
            <w:pPr>
              <w:spacing w:after="80"/>
            </w:pPr>
            <w:r>
              <w:rPr>
                <w:i/>
                <w:iCs/>
                <w:sz w:val="20"/>
                <w:szCs w:val="20"/>
              </w:rPr>
              <w:t xml:space="preserve">“April 22. A senior player suffered a severe ankle sprain on a regular training session.”</w:t>
            </w:r>
          </w:p>
          <w:p>
            <w:pPr>
              <w:spacing w:after="80"/>
            </w:pPr>
            <w:r>
              <w:rPr>
                <w:i/>
                <w:iCs/>
                <w:sz w:val="20"/>
                <w:szCs w:val="20"/>
              </w:rPr>
              <w:t xml:space="preserve">“Normally this gets logged in Excel as ‘bad luck’ and forgotten until pre-season review.”</w:t>
            </w:r>
          </w:p>
          <w:p>
            <w:pPr>
              <w:spacing w:after="80"/>
            </w:pPr>
            <w:r>
              <w:rPr>
                <w:i/>
                <w:iCs/>
                <w:sz w:val="20"/>
                <w:szCs w:val="20"/>
              </w:rPr>
              <w:t xml:space="preserve">“MicroPulse runs the retro-analysis automatically. Here's what was happening in the 7 days before the injury — VALD asymmetry trending up, two GPS spikes, Decel A:D coupling drifting low.”</w:t>
            </w:r>
          </w:p>
          <w:p>
            <w:pPr>
              <w:spacing w:after="80"/>
            </w:pPr>
            <w:r>
              <w:rPr>
                <w:i/>
                <w:iCs/>
                <w:sz w:val="20"/>
                <w:szCs w:val="20"/>
              </w:rPr>
              <w:t xml:space="preserve">“McBurnie 2022 meta-analysis showed 30–50% of severe lower-limb injuries have predictable patterns in the GPS+IMU data. We surface those patterns automatically.”</w:t>
            </w:r>
          </w:p>
          <w:p>
            <w:pPr>
              <w:spacing w:after="80"/>
            </w:pPr>
            <w:r>
              <w:rPr>
                <w:i/>
                <w:iCs/>
                <w:sz w:val="20"/>
                <w:szCs w:val="20"/>
              </w:rPr>
              <w:t xml:space="preserve">“When the coach sits down for season review, every injury has its own timeline. No SQL needed.”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8"/>
              <w:left w:val="single" w:color="F59E0B" w:sz="24"/>
              <w:bottom w:val="single" w:color="FEF3C7" w:sz="8"/>
              <w:right w:val="single" w:color="FEF3C7" w:sz="8"/>
            </w:tcBorders>
            <w:shd w:fill="FEF3C7" w:val="clear"/>
            <w:tcMar>
              <w:top w:type="dxa" w:w="160"/>
              <w:left w:type="dxa" w:w="280"/>
              <w:bottom w:type="dxa" w:w="160"/>
              <w:right w:type="dxa" w:w="200"/>
            </w:tcMar>
          </w:tcPr>
          <w:p>
            <w:pPr>
              <w:spacing w:after="80"/>
            </w:pPr>
            <w:r>
              <w:rPr>
                <w:b/>
                <w:bCs/>
                <w:color w:val="92400E"/>
                <w:sz w:val="18"/>
                <w:szCs w:val="18"/>
              </w:rPr>
              <w:t xml:space="preserve">⚡ POWER MOMENT</w:t>
            </w:r>
          </w:p>
          <w:p>
            <w:r>
              <w:rPr>
                <w:sz w:val="22"/>
                <w:szCs w:val="22"/>
              </w:rPr>
              <w:t xml:space="preserve">This is the slide you'll get asked to send to the head coach or the medical director after the demo. Have a 1-page extract of the case study ready to follow up with.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c>
          <w:tcPr>
            <w:tcW w:type="dxa" w:w="1400"/>
            <w:tcBorders>
              <w:top w:val="none" w:color="FFFFFF" w:sz="0"/>
              <w:left w:val="none" w:color="FFFFFF" w:sz="0"/>
              <w:bottom w:val="none" w:color="FFFFFF" w:sz="0"/>
              <w:right w:val="none" w:color="FFFFFF" w:sz="0"/>
            </w:tcBorders>
            <w:shd w:fill="F97316" w:val="clear"/>
            <w:tcMar>
              <w:top w:type="dxa" w:w="80"/>
              <w:left w:type="dxa" w:w="100"/>
              <w:bottom w:type="dxa" w:w="80"/>
              <w:right w:type="dxa" w:w="100"/>
            </w:tcMar>
            <w:vAlign w:val="center"/>
          </w:tcPr>
          <w:p>
            <w:pPr>
              <w:jc w:val="center"/>
            </w:pPr>
            <w:r>
              <w:rPr>
                <w:b/>
                <w:bCs/>
                <w:color w:val="FFFFFF"/>
                <w:sz w:val="22"/>
                <w:szCs w:val="22"/>
              </w:rPr>
              <w:t xml:space="preserve">11:00–12:00</w:t>
            </w:r>
          </w:p>
        </w:tc>
        <w:tc>
          <w:tcPr>
            <w:tcW w:type="dxa" w:w="6800"/>
            <w:tcBorders>
              <w:top w:val="none" w:color="FFFFFF" w:sz="0"/>
              <w:left w:val="none" w:color="FFFFFF" w:sz="0"/>
              <w:bottom w:val="none" w:color="FFFFFF" w:sz="0"/>
              <w:right w:val="none" w:color="FFFFFF" w:sz="0"/>
            </w:tcBorders>
            <w:shd w:fill="FFF7ED" w:val="clear"/>
            <w:tcMar>
              <w:top w:type="dxa" w:w="80"/>
              <w:left w:type="dxa" w:w="200"/>
              <w:bottom w:type="dxa" w:w="80"/>
              <w:right w:type="dxa" w:w="100"/>
            </w:tcMar>
            <w:vAlign w:val="center"/>
          </w:tcPr>
          <w:p>
            <w:r>
              <w:rPr>
                <w:b/>
                <w:bCs/>
                <w:color w:val="0F172A"/>
                <w:sz w:val="24"/>
                <w:szCs w:val="24"/>
              </w:rPr>
              <w:t xml:space="preserve">Close — pricing + next step</w:t>
            </w:r>
          </w:p>
        </w:tc>
        <w:tc>
          <w:tcPr>
            <w:tcW w:type="dxa" w:w="1160"/>
            <w:tcBorders>
              <w:top w:val="none" w:color="FFFFFF" w:sz="0"/>
              <w:left w:val="none" w:color="FFFFFF" w:sz="0"/>
              <w:bottom w:val="none" w:color="FFFFFF" w:sz="0"/>
              <w:right w:val="none" w:color="FFFFFF" w:sz="0"/>
            </w:tcBorders>
            <w:shd w:fill="FFF7ED" w:val="clear"/>
            <w:tcMar>
              <w:top w:type="dxa" w:w="80"/>
              <w:left w:type="dxa" w:w="100"/>
              <w:bottom w:type="dxa" w:w="80"/>
              <w:right w:type="dxa" w:w="100"/>
            </w:tcMar>
            <w:vAlign w:val="center"/>
          </w:tcPr>
          <w:p>
            <w:pPr>
              <w:jc w:val="right"/>
            </w:pPr>
            <w:r>
              <w:rPr>
                <w:i/>
                <w:iCs/>
                <w:color w:val="475569"/>
                <w:sz w:val="18"/>
                <w:szCs w:val="18"/>
              </w:rPr>
              <w:t xml:space="preserve">1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EFF6FF" w:val="clear"/>
            <w:tcMar>
              <w:top w:type="dxa" w:w="160"/>
              <w:left w:type="dxa" w:w="200"/>
              <w:bottom w:type="dxa" w:w="160"/>
              <w:right w:type="dxa" w:w="160"/>
            </w:tcMar>
            <w:vAlign w:val="top"/>
          </w:tcPr>
          <w:p>
            <w:pPr>
              <w:spacing w:after="100"/>
            </w:pPr>
            <w:r>
              <w:rPr>
                <w:b/>
                <w:bCs/>
                <w:color w:val="475569"/>
                <w:sz w:val="18"/>
                <w:szCs w:val="18"/>
              </w:rPr>
              <w:t xml:space="preserve">🖥  SHOW</w:t>
            </w:r>
          </w:p>
          <w:p>
            <w:pPr>
              <w:spacing w:after="80"/>
            </w:pPr>
            <w:r>
              <w:rPr>
                <w:sz w:val="20"/>
                <w:szCs w:val="20"/>
              </w:rPr>
              <w:t xml:space="preserve">Stop sharing screen. Look at camera.</w:t>
            </w:r>
          </w:p>
          <w:p>
            <w:pPr>
              <w:spacing w:after="80"/>
            </w:pPr>
            <w:r>
              <w:rPr>
                <w:sz w:val="20"/>
                <w:szCs w:val="20"/>
              </w:rPr>
              <w:t xml:space="preserve">Have pricing one-pager ready to share via chat.</w:t>
            </w:r>
          </w:p>
        </w:tc>
        <w:tc>
          <w:tcPr>
            <w:tcW w:type="dxa" w:w="4680"/>
            <w:tcBorders>
              <w:top w:val="single" w:color="E2E8F0" w:sz="4"/>
              <w:left w:val="single" w:color="E2E8F0" w:sz="4"/>
              <w:bottom w:val="single" w:color="E2E8F0" w:sz="4"/>
              <w:right w:val="single" w:color="E2E8F0" w:sz="4"/>
            </w:tcBorders>
            <w:shd w:fill="F0FDF4" w:val="clear"/>
            <w:tcMar>
              <w:top w:type="dxa" w:w="160"/>
              <w:left w:type="dxa" w:w="200"/>
              <w:bottom w:type="dxa" w:w="160"/>
              <w:right w:type="dxa" w:w="160"/>
            </w:tcMar>
            <w:vAlign w:val="top"/>
          </w:tcPr>
          <w:p>
            <w:pPr>
              <w:spacing w:after="100"/>
            </w:pPr>
            <w:r>
              <w:rPr>
                <w:b/>
                <w:bCs/>
                <w:color w:val="475569"/>
                <w:sz w:val="18"/>
                <w:szCs w:val="18"/>
              </w:rPr>
              <w:t xml:space="preserve">💬  SAY</w:t>
            </w:r>
          </w:p>
          <w:p>
            <w:pPr>
              <w:spacing w:after="80"/>
            </w:pPr>
            <w:r>
              <w:rPr>
                <w:i/>
                <w:iCs/>
                <w:sz w:val="20"/>
                <w:szCs w:val="20"/>
              </w:rPr>
              <w:t xml:space="preserve">“That's the platform. Three pricing tiers: LITE (CSV upload only), PRO (full Catapult API + decisions), ELITE (PRO + AI features + recovery protocols).”</w:t>
            </w:r>
          </w:p>
          <w:p>
            <w:pPr>
              <w:spacing w:after="80"/>
            </w:pPr>
            <w:r>
              <w:rPr>
                <w:i/>
                <w:iCs/>
                <w:sz w:val="20"/>
                <w:szCs w:val="20"/>
              </w:rPr>
              <w:t xml:space="preserve">“Pricing is per team per month — comparable to one match's worth of post-match physio cost.”</w:t>
            </w:r>
          </w:p>
          <w:p>
            <w:pPr>
              <w:spacing w:after="80"/>
            </w:pPr>
            <w:r>
              <w:rPr>
                <w:i/>
                <w:iCs/>
                <w:sz w:val="20"/>
                <w:szCs w:val="20"/>
              </w:rPr>
              <w:t xml:space="preserve">“I can offer a 6-week pilot for free, no setup cost. We onboard your data, you use it as if you'd bought it, and at the end you decide.”</w:t>
            </w:r>
          </w:p>
          <w:p>
            <w:pPr>
              <w:spacing w:after="80"/>
            </w:pPr>
            <w:r>
              <w:rPr>
                <w:i/>
                <w:iCs/>
                <w:sz w:val="20"/>
                <w:szCs w:val="20"/>
              </w:rPr>
              <w:t xml:space="preserve">“What questions do you have, and is there a date in the next two weeks where I can walk your head coach through this same flow?”</w:t>
            </w:r>
          </w:p>
        </w:tc>
      </w:tr>
    </w:tbl>
    <w:p>
      <w:pPr>
        <w:spacing w:after="200"/>
      </w:pPr>
      <w:r>
        <w:t xml:space="preserve"/>
      </w:r>
    </w:p>
    <w:p>
      <w:r>
        <w:br w:type="page"/>
      </w:r>
    </w:p>
    <w:p>
      <w:pPr>
        <w:pStyle w:val="Heading2"/>
      </w:pPr>
      <w:r>
        <w:t xml:space="preserve">Common objections — quick responses</w:t>
      </w:r>
    </w:p>
    <w:p>
      <w:pPr>
        <w:pStyle w:val="Heading3"/>
      </w:pPr>
      <w:r>
        <w:t xml:space="preserve">‘We already use Catapult OpenField — why do we need this?’</w:t>
      </w:r>
    </w:p>
    <w:p>
      <w:pPr>
        <w:spacing w:after="120"/>
        <w:jc w:val="left"/>
      </w:pPr>
      <w:r>
        <w:t xml:space="preserve">‘Catapult is the data layer. MicroPulse is the decision layer. They don't compete — they complement. Catapult shows you everything. MicroPulse tells your coach what to do with it. Most clubs that buy Catapult never get past the dashboard view because there's no time. We make the data actionable in 5 seconds per player.’</w:t>
      </w:r>
    </w:p>
    <w:p>
      <w:pPr>
        <w:pStyle w:val="Heading3"/>
      </w:pPr>
      <w:r>
        <w:t xml:space="preserve">‘How long does setup take?’</w:t>
      </w:r>
    </w:p>
    <w:p>
      <w:pPr>
        <w:spacing w:after="120"/>
        <w:jc w:val="left"/>
      </w:pPr>
      <w:r>
        <w:t xml:space="preserve">‘Catapult API connection: 30 minutes if you have admin credentials. Athlete mapping: automatic on first sync. Wellness check-ins: players install the PWA in 2 minutes. Total: same day. We've done it for 4 Icelandic clubs already.’</w:t>
      </w:r>
    </w:p>
    <w:p>
      <w:pPr>
        <w:pStyle w:val="Heading3"/>
      </w:pPr>
      <w:r>
        <w:t xml:space="preserve">‘What if our coach doesn't trust AI?’</w:t>
      </w:r>
    </w:p>
    <w:p>
      <w:pPr>
        <w:spacing w:after="120"/>
        <w:jc w:val="left"/>
      </w:pPr>
      <w:r>
        <w:t xml:space="preserve">‘Nothing in MicroPulse is a black box. Every verdict has a written explanation citing which metric crossed which threshold, with the sport-science paper behind that threshold. The coach can ignore any recommendation with one click. We're providing decision support, not making the decisions.’</w:t>
      </w:r>
    </w:p>
    <w:p>
      <w:pPr>
        <w:pStyle w:val="Heading3"/>
      </w:pPr>
      <w:r>
        <w:t xml:space="preserve">‘What's the cost compared to ROI?’</w:t>
      </w:r>
    </w:p>
    <w:p>
      <w:pPr>
        <w:spacing w:after="120"/>
        <w:jc w:val="left"/>
      </w:pPr>
      <w:r>
        <w:t xml:space="preserve">‘One avoided severe injury per season pays for the platform 5–10x over. The Breiðablik case study has 11 injuries logged in 3 months at moderate-to-severe level — even catching 10% of those preemptively is meaningful. Pricing is per-team, transparent, no per-player fees.’</w:t>
      </w:r>
    </w:p>
    <w:p>
      <w:pPr>
        <w:pStyle w:val="Heading3"/>
      </w:pPr>
      <w:r>
        <w:t xml:space="preserve">‘Can we white-label it for our club?’</w:t>
      </w:r>
    </w:p>
    <w:p>
      <w:pPr>
        <w:spacing w:after="120"/>
        <w:jc w:val="left"/>
      </w:pPr>
      <w:r>
        <w:t xml:space="preserve">‘Yes — ELITE tier includes club logo on coach + player views, PWA install with club branding, and custom favicon. Two of our pilot clubs already use this.’</w:t>
      </w:r>
    </w:p>
    <w:p>
      <w:pPr>
        <w:pStyle w:val="Heading3"/>
      </w:pPr>
      <w:r>
        <w:t xml:space="preserve">‘Do you support [non-Catapult system]?’</w:t>
      </w:r>
    </w:p>
    <w:p>
      <w:pPr>
        <w:spacing w:after="120"/>
        <w:jc w:val="left"/>
      </w:pPr>
      <w:r>
        <w:t xml:space="preserve">‘We support Catapult (API + CSV), VALD ForceFrame + NordBord, Polar Team Pro (in beta), and manual CSV uploads. WIMU PRO support is on the roadmap. If you have a specific system we don't support, tell us — we'll prioritise based on demand.’</w:t>
      </w:r>
    </w:p>
    <w:p>
      <w:pPr>
        <w:spacing w:after="200"/>
      </w:pPr>
      <w:r>
        <w:t xml:space="preserve"/>
      </w:r>
    </w:p>
    <w:p>
      <w:pPr>
        <w:pStyle w:val="Heading2"/>
      </w:pPr>
      <w:r>
        <w:t xml:space="preserve">Follow-up email template (send within 24h)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FAFAFA" w:val="clear"/>
            <w:tcMar>
              <w:top w:type="dxa" w:w="200"/>
              <w:left w:type="dxa" w:w="240"/>
              <w:bottom w:type="dxa" w:w="200"/>
              <w:right w:type="dxa" w:w="200"/>
            </w:tcMar>
          </w:tcPr>
          <w:p>
            <w:pPr>
              <w:spacing w:after="100"/>
              <w:jc w:val="left"/>
            </w:pPr>
            <w:r>
              <w:t xml:space="preserve">Subject: MicroPulse demo — case study + next step</w:t>
            </w:r>
          </w:p>
          <w:p>
            <w:pPr>
              <w:spacing w:after="100"/>
              <w:jc w:val="left"/>
            </w:pPr>
            <w:r>
              <w:t xml:space="preserve">Hi [Name],</w:t>
            </w:r>
          </w:p>
          <w:p>
            <w:pPr>
              <w:spacing w:after="100"/>
              <w:jc w:val="left"/>
            </w:pPr>
            <w:r>
              <w:t xml:space="preserve">Thanks for the time today. As promised, here's the Breiðablik case study covering 90 days of real deployment — same data we walked through.</w:t>
            </w:r>
          </w:p>
          <w:p>
            <w:pPr>
              <w:spacing w:after="100"/>
              <w:jc w:val="left"/>
            </w:pPr>
            <w:r>
              <w:t xml:space="preserve">Quick recap of what stood out for [their club name] specifically:</w:t>
            </w:r>
          </w:p>
          <w:p>
            <w:pPr>
              <w:pStyle w:val="ListParagraph"/>
              <w:numPr>
                <w:ilvl w:val="0"/>
                <w:numId w:val="2"/>
              </w:numPr>
              <w:spacing w:after="80"/>
            </w:pPr>
            <w:r>
              <w:t xml:space="preserve">[1 sentence about a feature they reacted to]</w:t>
            </w:r>
          </w:p>
          <w:p>
            <w:pPr>
              <w:pStyle w:val="ListParagraph"/>
              <w:numPr>
                <w:ilvl w:val="0"/>
                <w:numId w:val="2"/>
              </w:numPr>
              <w:spacing w:after="80"/>
            </w:pPr>
            <w:r>
              <w:t xml:space="preserve">[1 sentence about a pain point they mentioned]</w:t>
            </w:r>
          </w:p>
          <w:p>
            <w:pPr>
              <w:pStyle w:val="ListParagraph"/>
              <w:numPr>
                <w:ilvl w:val="0"/>
                <w:numId w:val="2"/>
              </w:numPr>
              <w:spacing w:after="80"/>
            </w:pPr>
            <w:r>
              <w:t xml:space="preserve">[1 sentence about ROI in their context]</w:t>
            </w:r>
          </w:p>
          <w:p>
            <w:pPr>
              <w:spacing w:after="100"/>
              <w:jc w:val="left"/>
            </w:pPr>
            <w:r>
              <w:t xml:space="preserve">Two ways to move forward:</w:t>
            </w:r>
          </w:p>
          <w:p>
            <w:pPr>
              <w:pStyle w:val="ListParagraph"/>
              <w:numPr>
                <w:ilvl w:val="0"/>
                <w:numId w:val="2"/>
              </w:numPr>
              <w:spacing w:after="80"/>
            </w:pPr>
            <w:r>
              <w:rPr>
                <w:b/>
                <w:bCs/>
              </w:rPr>
              <w:t xml:space="preserve">6-week free pilot </w:t>
            </w:r>
            <w:r>
              <w:t xml:space="preserve">— I'll set up your Catapult sync this week, you use the platform as if you owned it, and we revisit at the end.</w:t>
            </w:r>
          </w:p>
          <w:p>
            <w:pPr>
              <w:pStyle w:val="ListParagraph"/>
              <w:numPr>
                <w:ilvl w:val="0"/>
                <w:numId w:val="2"/>
              </w:numPr>
              <w:spacing w:after="80"/>
            </w:pPr>
            <w:r>
              <w:rPr>
                <w:b/>
                <w:bCs/>
              </w:rPr>
              <w:t xml:space="preserve">Demo for your head coach + medical lead </w:t>
            </w:r>
            <w:r>
              <w:t xml:space="preserve">— if you want them to see the same flow before committing.</w:t>
            </w:r>
          </w:p>
          <w:p>
            <w:pPr>
              <w:spacing w:after="100"/>
              <w:jc w:val="left"/>
            </w:pPr>
            <w:r>
              <w:t xml:space="preserve">Either way, can you share a 30-min slot in the next 10 days?</w:t>
            </w:r>
          </w:p>
          <w:p>
            <w:pPr>
              <w:spacing w:after="0"/>
              <w:jc w:val="left"/>
            </w:pPr>
            <w:r>
              <w:t xml:space="preserve">Helgi</w:t>
            </w:r>
          </w:p>
        </w:tc>
      </w:tr>
    </w:tbl>
    <w:p>
      <w:pPr>
        <w:spacing w:after="200"/>
      </w:pPr>
      <w:r>
        <w:t xml:space="preserve"/>
      </w:r>
    </w:p>
    <w:p>
      <w:pPr>
        <w:pStyle w:val="Heading2"/>
      </w:pPr>
      <w:r>
        <w:t xml:space="preserve">After the demo — internal checklist</w:t>
      </w:r>
    </w:p>
    <w:p>
      <w:pPr>
        <w:pStyle w:val="ListParagraph"/>
        <w:numPr>
          <w:ilvl w:val="0"/>
          <w:numId w:val="2"/>
        </w:numPr>
        <w:spacing w:after="80"/>
      </w:pPr>
      <w:r>
        <w:rPr>
          <w:b/>
          <w:bCs/>
        </w:rPr>
        <w:t xml:space="preserve">Log it: </w:t>
      </w:r>
      <w:r>
        <w:t xml:space="preserve">Add to sales tracker (date, club, attendees, sentiment 1-5, follow-up date)</w:t>
      </w:r>
    </w:p>
    <w:p>
      <w:pPr>
        <w:pStyle w:val="ListParagraph"/>
        <w:numPr>
          <w:ilvl w:val="0"/>
          <w:numId w:val="2"/>
        </w:numPr>
        <w:spacing w:after="80"/>
      </w:pPr>
      <w:r>
        <w:rPr>
          <w:b/>
          <w:bCs/>
        </w:rPr>
        <w:t xml:space="preserve">Send follow-up: </w:t>
      </w:r>
      <w:r>
        <w:t xml:space="preserve">Within 24 hours, no exceptions</w:t>
      </w:r>
    </w:p>
    <w:p>
      <w:pPr>
        <w:pStyle w:val="ListParagraph"/>
        <w:numPr>
          <w:ilvl w:val="0"/>
          <w:numId w:val="2"/>
        </w:numPr>
        <w:spacing w:after="80"/>
      </w:pPr>
      <w:r>
        <w:rPr>
          <w:b/>
          <w:bCs/>
        </w:rPr>
        <w:t xml:space="preserve">Add to nurture: </w:t>
      </w:r>
      <w:r>
        <w:t xml:space="preserve">If they say ‘not now’ — add to monthly check-in cadence with personalised note</w:t>
      </w:r>
    </w:p>
    <w:p>
      <w:pPr>
        <w:pStyle w:val="ListParagraph"/>
        <w:numPr>
          <w:ilvl w:val="0"/>
          <w:numId w:val="2"/>
        </w:numPr>
        <w:spacing w:after="80"/>
      </w:pPr>
      <w:r>
        <w:rPr>
          <w:b/>
          <w:bCs/>
        </w:rPr>
        <w:t xml:space="preserve">Calibrate: </w:t>
      </w:r>
      <w:r>
        <w:t xml:space="preserve">Note which slide / story landed best — refine for next demo</w:t>
      </w:r>
    </w:p>
    <w:p>
      <w:pPr>
        <w:spacing w:after="200"/>
      </w:pPr>
      <w:r>
        <w:t xml:space="preserve"/>
      </w:r>
    </w:p>
    <w:p>
      <w:pPr>
        <w:pBdr>
          <w:top w:val="single" w:color="E2E8F0" w:sz="6" w:space="8"/>
        </w:pBdr>
        <w:spacing w:after="0" w:before="360"/>
      </w:pPr>
      <w:r>
        <w:rPr>
          <w:i/>
          <w:iCs/>
          <w:color w:val="475569"/>
          <w:sz w:val="16"/>
          <w:szCs w:val="16"/>
        </w:rPr>
        <w:t xml:space="preserve">Internal use only. Adjust timing and language based on audience: head coach (lead with simplicity), sport scientist (lead with sport-science citations), distributor like Smartsport (lead with attach-rate and renewal data). Total demo length should always be 12 minutes — anything longer loses attention.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MicroPulse ehf · helgi@metabolic.is · 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MicroPulse · 12-Minute Live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F9731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12-Minute Live Demo Script</dc:title>
  <dc:creator>MicroPulse</dc:creator>
  <dc:description>Sales demo script for MicroPulse + Catapult</dc:description>
  <cp:lastModifiedBy>Un-named</cp:lastModifiedBy>
  <cp:revision>1</cp:revision>
  <dcterms:created xsi:type="dcterms:W3CDTF">2026-05-10T15:16:13.264Z</dcterms:created>
  <dcterms:modified xsi:type="dcterms:W3CDTF">2026-05-10T15:16:13.265Z</dcterms:modified>
</cp:coreProperties>
</file>

<file path=docProps/custom.xml><?xml version="1.0" encoding="utf-8"?>
<Properties xmlns="http://schemas.openxmlformats.org/officeDocument/2006/custom-properties" xmlns:vt="http://schemas.openxmlformats.org/officeDocument/2006/docPropsVTypes"/>
</file>