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F97316"/>
          <w:sz w:val="18"/>
          <w:szCs w:val="18"/>
        </w:rPr>
        <w:t xml:space="preserve">CASE STUDY · MAY 2026</w:t>
      </w:r>
    </w:p>
    <w:p>
      <w:pPr>
        <w:spacing w:after="200"/>
      </w:pPr>
      <w:r>
        <w:rPr>
          <w:b/>
          <w:bCs/>
          <w:color w:val="0F172A"/>
          <w:sz w:val="44"/>
          <w:szCs w:val="44"/>
        </w:rPr>
        <w:t xml:space="preserve">MicroPulse + Breiðablik UBK</w:t>
      </w:r>
    </w:p>
    <w:p>
      <w:pPr>
        <w:spacing w:after="360"/>
      </w:pPr>
      <w:r>
        <w:rPr>
          <w:i/>
          <w:iCs/>
          <w:color w:val="475569"/>
          <w:sz w:val="24"/>
          <w:szCs w:val="24"/>
        </w:rPr>
        <w:t xml:space="preserve">Three months running a sport-science platform on top of Catapult — what actually happened.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4"/>
              <w:left w:val="single" w:color="E2E8F0" w:sz="4"/>
              <w:bottom w:val="single" w:color="E2E8F0" w:sz="4"/>
              <w:right w:val="single" w:color="E2E8F0" w:sz="4"/>
            </w:tcBorders>
            <w:shd w:fill="FFF7ED" w:val="clear"/>
            <w:tcMar>
              <w:top w:type="dxa" w:w="200"/>
              <w:left w:type="dxa" w:w="160"/>
              <w:bottom w:type="dxa" w:w="200"/>
              <w:right w:type="dxa" w:w="160"/>
            </w:tcMar>
            <w:vAlign w:val="center"/>
          </w:tcPr>
          <w:p>
            <w:pPr>
              <w:spacing w:after="60"/>
              <w:jc w:val="center"/>
            </w:pPr>
            <w:r>
              <w:rPr>
                <w:b/>
                <w:bCs/>
                <w:color w:val="F97316"/>
                <w:sz w:val="44"/>
                <w:szCs w:val="44"/>
              </w:rPr>
              <w:t xml:space="preserve">28</w:t>
            </w:r>
          </w:p>
          <w:p>
            <w:pPr>
              <w:jc w:val="center"/>
            </w:pPr>
            <w:r>
              <w:rPr>
                <w:color w:val="475569"/>
                <w:sz w:val="18"/>
                <w:szCs w:val="18"/>
              </w:rPr>
              <w:t xml:space="preserve">Active players</w:t>
            </w:r>
          </w:p>
        </w:tc>
        <w:tc>
          <w:tcPr>
            <w:tcW w:type="dxa" w:w="2340"/>
            <w:tcBorders>
              <w:top w:val="single" w:color="E2E8F0" w:sz="4"/>
              <w:left w:val="single" w:color="E2E8F0" w:sz="4"/>
              <w:bottom w:val="single" w:color="E2E8F0" w:sz="4"/>
              <w:right w:val="single" w:color="E2E8F0" w:sz="4"/>
            </w:tcBorders>
            <w:shd w:fill="FFF7ED" w:val="clear"/>
            <w:tcMar>
              <w:top w:type="dxa" w:w="200"/>
              <w:left w:type="dxa" w:w="160"/>
              <w:bottom w:type="dxa" w:w="200"/>
              <w:right w:type="dxa" w:w="160"/>
            </w:tcMar>
            <w:vAlign w:val="center"/>
          </w:tcPr>
          <w:p>
            <w:pPr>
              <w:spacing w:after="60"/>
              <w:jc w:val="center"/>
            </w:pPr>
            <w:r>
              <w:rPr>
                <w:b/>
                <w:bCs/>
                <w:color w:val="F97316"/>
                <w:sz w:val="44"/>
                <w:szCs w:val="44"/>
              </w:rPr>
              <w:t xml:space="preserve">86</w:t>
            </w:r>
          </w:p>
          <w:p>
            <w:pPr>
              <w:jc w:val="center"/>
            </w:pPr>
            <w:r>
              <w:rPr>
                <w:color w:val="475569"/>
                <w:sz w:val="18"/>
                <w:szCs w:val="18"/>
              </w:rPr>
              <w:t xml:space="preserve">Days of data</w:t>
            </w:r>
          </w:p>
        </w:tc>
        <w:tc>
          <w:tcPr>
            <w:tcW w:type="dxa" w:w="2340"/>
            <w:tcBorders>
              <w:top w:val="single" w:color="E2E8F0" w:sz="4"/>
              <w:left w:val="single" w:color="E2E8F0" w:sz="4"/>
              <w:bottom w:val="single" w:color="E2E8F0" w:sz="4"/>
              <w:right w:val="single" w:color="E2E8F0" w:sz="4"/>
            </w:tcBorders>
            <w:shd w:fill="FFF7ED" w:val="clear"/>
            <w:tcMar>
              <w:top w:type="dxa" w:w="200"/>
              <w:left w:type="dxa" w:w="160"/>
              <w:bottom w:type="dxa" w:w="200"/>
              <w:right w:type="dxa" w:w="160"/>
            </w:tcMar>
            <w:vAlign w:val="center"/>
          </w:tcPr>
          <w:p>
            <w:pPr>
              <w:spacing w:after="60"/>
              <w:jc w:val="center"/>
            </w:pPr>
            <w:r>
              <w:rPr>
                <w:b/>
                <w:bCs/>
                <w:color w:val="F97316"/>
                <w:sz w:val="44"/>
                <w:szCs w:val="44"/>
              </w:rPr>
              <w:t xml:space="preserve">2,265</w:t>
            </w:r>
          </w:p>
          <w:p>
            <w:pPr>
              <w:jc w:val="center"/>
            </w:pPr>
            <w:r>
              <w:rPr>
                <w:color w:val="475569"/>
                <w:sz w:val="18"/>
                <w:szCs w:val="18"/>
              </w:rPr>
              <w:t xml:space="preserve">Verdicts issued</w:t>
            </w:r>
          </w:p>
        </w:tc>
        <w:tc>
          <w:tcPr>
            <w:tcW w:type="dxa" w:w="2340"/>
            <w:tcBorders>
              <w:top w:val="single" w:color="E2E8F0" w:sz="4"/>
              <w:left w:val="single" w:color="E2E8F0" w:sz="4"/>
              <w:bottom w:val="single" w:color="E2E8F0" w:sz="4"/>
              <w:right w:val="single" w:color="E2E8F0" w:sz="4"/>
            </w:tcBorders>
            <w:shd w:fill="FFF7ED" w:val="clear"/>
            <w:tcMar>
              <w:top w:type="dxa" w:w="200"/>
              <w:left w:type="dxa" w:w="160"/>
              <w:bottom w:type="dxa" w:w="200"/>
              <w:right w:type="dxa" w:w="160"/>
            </w:tcMar>
            <w:vAlign w:val="center"/>
          </w:tcPr>
          <w:p>
            <w:pPr>
              <w:spacing w:after="60"/>
              <w:jc w:val="center"/>
            </w:pPr>
            <w:r>
              <w:rPr>
                <w:b/>
                <w:bCs/>
                <w:color w:val="F97316"/>
                <w:sz w:val="44"/>
                <w:szCs w:val="44"/>
              </w:rPr>
              <w:t xml:space="preserve">95%</w:t>
            </w:r>
          </w:p>
          <w:p>
            <w:pPr>
              <w:jc w:val="center"/>
            </w:pPr>
            <w:r>
              <w:rPr>
                <w:color w:val="475569"/>
                <w:sz w:val="18"/>
                <w:szCs w:val="18"/>
              </w:rPr>
              <w:t xml:space="preserve">Avg confidence</w:t>
            </w:r>
          </w:p>
        </w:tc>
      </w:tr>
      <w:tr>
        <w:tc>
          <w:tcPr>
            <w:tcW w:type="dxa" w:w="2340"/>
            <w:tcBorders>
              <w:top w:val="single" w:color="E2E8F0" w:sz="4"/>
              <w:left w:val="single" w:color="E2E8F0" w:sz="4"/>
              <w:bottom w:val="single" w:color="E2E8F0" w:sz="4"/>
              <w:right w:val="single" w:color="E2E8F0" w:sz="4"/>
            </w:tcBorders>
            <w:shd w:fill="FFF7ED" w:val="clear"/>
            <w:tcMar>
              <w:top w:type="dxa" w:w="200"/>
              <w:left w:type="dxa" w:w="160"/>
              <w:bottom w:type="dxa" w:w="200"/>
              <w:right w:type="dxa" w:w="160"/>
            </w:tcMar>
            <w:vAlign w:val="center"/>
          </w:tcPr>
          <w:p>
            <w:pPr>
              <w:spacing w:after="60"/>
              <w:jc w:val="center"/>
            </w:pPr>
            <w:r>
              <w:rPr>
                <w:b/>
                <w:bCs/>
                <w:color w:val="F97316"/>
                <w:sz w:val="44"/>
                <w:szCs w:val="44"/>
              </w:rPr>
              <w:t xml:space="preserve">1,084</w:t>
            </w:r>
          </w:p>
          <w:p>
            <w:pPr>
              <w:jc w:val="center"/>
            </w:pPr>
            <w:r>
              <w:rPr>
                <w:color w:val="475569"/>
                <w:sz w:val="18"/>
                <w:szCs w:val="18"/>
              </w:rPr>
              <w:t xml:space="preserve">Catapult sessions</w:t>
            </w:r>
          </w:p>
        </w:tc>
        <w:tc>
          <w:tcPr>
            <w:tcW w:type="dxa" w:w="2340"/>
            <w:tcBorders>
              <w:top w:val="single" w:color="E2E8F0" w:sz="4"/>
              <w:left w:val="single" w:color="E2E8F0" w:sz="4"/>
              <w:bottom w:val="single" w:color="E2E8F0" w:sz="4"/>
              <w:right w:val="single" w:color="E2E8F0" w:sz="4"/>
            </w:tcBorders>
            <w:shd w:fill="FFF7ED" w:val="clear"/>
            <w:tcMar>
              <w:top w:type="dxa" w:w="200"/>
              <w:left w:type="dxa" w:w="160"/>
              <w:bottom w:type="dxa" w:w="200"/>
              <w:right w:type="dxa" w:w="160"/>
            </w:tcMar>
            <w:vAlign w:val="center"/>
          </w:tcPr>
          <w:p>
            <w:pPr>
              <w:spacing w:after="60"/>
              <w:jc w:val="center"/>
            </w:pPr>
            <w:r>
              <w:rPr>
                <w:b/>
                <w:bCs/>
                <w:color w:val="F97316"/>
                <w:sz w:val="44"/>
                <w:szCs w:val="44"/>
              </w:rPr>
              <w:t xml:space="preserve">1,601</w:t>
            </w:r>
          </w:p>
          <w:p>
            <w:pPr>
              <w:jc w:val="center"/>
            </w:pPr>
            <w:r>
              <w:rPr>
                <w:color w:val="475569"/>
                <w:sz w:val="18"/>
                <w:szCs w:val="18"/>
              </w:rPr>
              <w:t xml:space="preserve">Wellness check-ins</w:t>
            </w:r>
          </w:p>
        </w:tc>
        <w:tc>
          <w:tcPr>
            <w:tcW w:type="dxa" w:w="2340"/>
            <w:tcBorders>
              <w:top w:val="single" w:color="E2E8F0" w:sz="4"/>
              <w:left w:val="single" w:color="E2E8F0" w:sz="4"/>
              <w:bottom w:val="single" w:color="E2E8F0" w:sz="4"/>
              <w:right w:val="single" w:color="E2E8F0" w:sz="4"/>
            </w:tcBorders>
            <w:shd w:fill="FFF7ED" w:val="clear"/>
            <w:tcMar>
              <w:top w:type="dxa" w:w="200"/>
              <w:left w:type="dxa" w:w="160"/>
              <w:bottom w:type="dxa" w:w="200"/>
              <w:right w:type="dxa" w:w="160"/>
            </w:tcMar>
            <w:vAlign w:val="center"/>
          </w:tcPr>
          <w:p>
            <w:pPr>
              <w:spacing w:after="60"/>
              <w:jc w:val="center"/>
            </w:pPr>
            <w:r>
              <w:rPr>
                <w:b/>
                <w:bCs/>
                <w:color w:val="F97316"/>
                <w:sz w:val="44"/>
                <w:szCs w:val="44"/>
              </w:rPr>
              <w:t xml:space="preserve">11</w:t>
            </w:r>
          </w:p>
          <w:p>
            <w:pPr>
              <w:jc w:val="center"/>
            </w:pPr>
            <w:r>
              <w:rPr>
                <w:color w:val="475569"/>
                <w:sz w:val="18"/>
                <w:szCs w:val="18"/>
              </w:rPr>
              <w:t xml:space="preserve">Injuries logged</w:t>
            </w:r>
          </w:p>
        </w:tc>
        <w:tc>
          <w:tcPr>
            <w:tcW w:type="dxa" w:w="2340"/>
            <w:tcBorders>
              <w:top w:val="single" w:color="E2E8F0" w:sz="4"/>
              <w:left w:val="single" w:color="E2E8F0" w:sz="4"/>
              <w:bottom w:val="single" w:color="E2E8F0" w:sz="4"/>
              <w:right w:val="single" w:color="E2E8F0" w:sz="4"/>
            </w:tcBorders>
            <w:shd w:fill="FFF7ED" w:val="clear"/>
            <w:tcMar>
              <w:top w:type="dxa" w:w="200"/>
              <w:left w:type="dxa" w:w="160"/>
              <w:bottom w:type="dxa" w:w="200"/>
              <w:right w:type="dxa" w:w="160"/>
            </w:tcMar>
            <w:vAlign w:val="center"/>
          </w:tcPr>
          <w:p>
            <w:pPr>
              <w:spacing w:after="60"/>
              <w:jc w:val="center"/>
            </w:pPr>
            <w:r>
              <w:rPr>
                <w:b/>
                <w:bCs/>
                <w:color w:val="F97316"/>
                <w:sz w:val="44"/>
                <w:szCs w:val="44"/>
              </w:rPr>
              <w:t xml:space="preserve">25</w:t>
            </w:r>
          </w:p>
          <w:p>
            <w:pPr>
              <w:jc w:val="center"/>
            </w:pPr>
            <w:r>
              <w:rPr>
                <w:color w:val="475569"/>
                <w:sz w:val="18"/>
                <w:szCs w:val="18"/>
              </w:rPr>
              <w:t xml:space="preserve">Risk alerts fired</w:t>
            </w:r>
          </w:p>
        </w:tc>
      </w:tr>
    </w:tbl>
    <w:p>
      <w:pPr>
        <w:pStyle w:val="Heading2"/>
      </w:pPr>
      <w:r>
        <w:t xml:space="preserve">The setup</w:t>
      </w:r>
    </w:p>
    <w:p>
      <w:pPr>
        <w:spacing w:after="120"/>
        <w:jc w:val="left"/>
      </w:pPr>
      <w:r>
        <w:t xml:space="preserve">Breiðablik UBK Men’s First Team uses Catapult Vector units on every training session and match. Over the 2026 winter pre-season they layered MicroPulse on top — an Iceland-built platform that ingests Catapult data directly, fuses it with daily player wellness check-ins (5 questions on a PSS scale), VALD ForceFrame/NordBord, match minutes and injury history, and produces one verdict per player per session (FULL / RECOVERY) with an explanation grounded in sport-science literature (Gabbett ACWR, McBurnie deceleration, Hader post-match recovery, Foster monotony).</w:t>
      </w:r>
    </w:p>
    <w:p>
      <w:pPr>
        <w:spacing w:after="120"/>
        <w:jc w:val="left"/>
      </w:pPr>
      <w:r>
        <w:t xml:space="preserve">Between February 2 and May 9, 2026, MicroPulse issued 2,265 readiness decisions across 28 players over 86 distinct training and match days. Below are three real examples of how the system delivered value — anonymised to protect player privacy.</w:t>
      </w:r>
    </w:p>
    <w:p>
      <w:pPr>
        <w:pStyle w:val="Heading2"/>
      </w:pPr>
      <w:r>
        <w:t xml:space="preserve">Three real saves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F97316" w:sz="24"/>
              <w:bottom w:val="single" w:color="E2E8F0" w:sz="4"/>
              <w:right w:val="single" w:color="E2E8F0" w:sz="4"/>
            </w:tcBorders>
            <w:shd w:fill="FAFAFA" w:val="clear"/>
            <w:tcMar>
              <w:top w:type="dxa" w:w="200"/>
              <w:left w:type="dxa" w:w="280"/>
              <w:bottom w:type="dxa" w:w="200"/>
              <w:right w:type="dxa" w:w="200"/>
            </w:tcMar>
          </w:tcPr>
          <w:p>
            <w:pPr>
              <w:spacing w:after="120"/>
            </w:pPr>
            <w:r>
              <w:rPr>
                <w:b/>
                <w:bCs/>
                <w:color w:val="0F172A"/>
                <w:sz w:val="24"/>
                <w:szCs w:val="24"/>
              </w:rPr>
              <w:t xml:space="preserve">1 · MD+1 squad-level recovery override</w:t>
            </w:r>
          </w:p>
          <w:p>
            <w:pPr>
              <w:spacing w:after="100"/>
            </w:pPr>
            <w:r>
              <w:rPr>
                <w:b/>
                <w:bCs/>
                <w:color w:val="475569"/>
              </w:rPr>
              <w:t xml:space="preserve">Situation: </w:t>
            </w:r>
            <w:r>
              <w:t xml:space="preserve">Following a match on May 3, 2026, nine players were flagged for the head coach the next morning with simultaneous RECOVERY recommendations. Traditionally, the coach would have had to triage each one individually — Catapult player load varied across players and so did wellness scores.</w:t>
            </w:r>
          </w:p>
          <w:p>
            <w:pPr>
              <w:spacing w:after="100"/>
            </w:pPr>
            <w:r>
              <w:rPr>
                <w:b/>
                <w:bCs/>
                <w:color w:val="475569"/>
              </w:rPr>
              <w:t xml:space="preserve">What MicroPulse did: </w:t>
            </w:r>
            <w:r>
              <w:t xml:space="preserve">MicroPulse applied a hard rule: any player who logged 60+ minutes on match day automatically receives a RECOVERY recommendation the next day, regardless of other metrics (Carling 2018, Nédélec 2012, Helsen 2018 — a 60-minute match requires a minimum of 48–72h of post-match recovery). The coach received a single list of nine names and one click to assign the MD+1 Recovery Bundle (12-minute diaphragmatic breathing + isometric loading + MET mobility).</w:t>
            </w:r>
          </w:p>
          <w:p>
            <w:pPr>
              <w:spacing w:after="0"/>
            </w:pPr>
            <w:r>
              <w:rPr>
                <w:b/>
                <w:bCs/>
                <w:color w:val="16A34A"/>
              </w:rPr>
              <w:t xml:space="preserve">Outcome: </w:t>
            </w:r>
            <w:r>
              <w:t xml:space="preserve">All nine RECOVERY recommendations were accepted. Zero individual override mistakes. Saved the coach 30+ minutes on the morning briefing and ensured no key player repeated a full MD+1 program after a 60+ minute match.</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F97316" w:sz="24"/>
              <w:bottom w:val="single" w:color="E2E8F0" w:sz="4"/>
              <w:right w:val="single" w:color="E2E8F0" w:sz="4"/>
            </w:tcBorders>
            <w:shd w:fill="FAFAFA" w:val="clear"/>
            <w:tcMar>
              <w:top w:type="dxa" w:w="200"/>
              <w:left w:type="dxa" w:w="280"/>
              <w:bottom w:type="dxa" w:w="200"/>
              <w:right w:type="dxa" w:w="200"/>
            </w:tcMar>
          </w:tcPr>
          <w:p>
            <w:pPr>
              <w:spacing w:after="120"/>
            </w:pPr>
            <w:r>
              <w:rPr>
                <w:b/>
                <w:bCs/>
                <w:color w:val="0F172A"/>
                <w:sz w:val="24"/>
                <w:szCs w:val="24"/>
              </w:rPr>
              <w:t xml:space="preserve">2 · Severe ankle sprain — retroactive risk signals</w:t>
            </w:r>
          </w:p>
          <w:p>
            <w:pPr>
              <w:spacing w:after="100"/>
            </w:pPr>
            <w:r>
              <w:rPr>
                <w:b/>
                <w:bCs/>
                <w:color w:val="475569"/>
              </w:rPr>
              <w:t xml:space="preserve">Situation: </w:t>
            </w:r>
            <w:r>
              <w:t xml:space="preserve">Player A suffered a severe ankle sprain (right side) during a session on April 22, 2026. Traditionally this would have been logged as “bad luck” in a spreadsheet and forgotten.</w:t>
            </w:r>
          </w:p>
          <w:p>
            <w:pPr>
              <w:spacing w:after="100"/>
            </w:pPr>
            <w:r>
              <w:rPr>
                <w:b/>
                <w:bCs/>
                <w:color w:val="475569"/>
              </w:rPr>
              <w:t xml:space="preserve">What MicroPulse did: </w:t>
            </w:r>
            <w:r>
              <w:t xml:space="preserve">MicroPulse automatically ran a Tier 1+2 retro-analysis on the seven preceding days — VALD ForceFrame asymmetry, prior injury history, GPS spikes, accumulated match minutes, Decel A:D coupling. The output was attached to the injury record and is readable as a chronological timeline by the coaching staff.</w:t>
            </w:r>
          </w:p>
          <w:p>
            <w:pPr>
              <w:spacing w:after="0"/>
            </w:pPr>
            <w:r>
              <w:rPr>
                <w:b/>
                <w:bCs/>
                <w:color w:val="16A34A"/>
              </w:rPr>
              <w:t xml:space="preserve">Outcome: </w:t>
            </w:r>
            <w:r>
              <w:t xml:space="preserve">This is the killer-ROI feature. A club that logs 11 injuries over three months (as Breiðablik did) at moderate-to-severe level can assess BEFORE the next season which patterns repeat. McBurnie 2022 meta-analysis indicates that 30–50% of severe ACL/quad injuries are predictable from GPS+IMU data alone. MicroPulse produces this analysis automatically — the coach doesn’t need SQL skills.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F97316" w:sz="24"/>
              <w:bottom w:val="single" w:color="E2E8F0" w:sz="4"/>
              <w:right w:val="single" w:color="E2E8F0" w:sz="4"/>
            </w:tcBorders>
            <w:shd w:fill="FAFAFA" w:val="clear"/>
            <w:tcMar>
              <w:top w:type="dxa" w:w="200"/>
              <w:left w:type="dxa" w:w="280"/>
              <w:bottom w:type="dxa" w:w="200"/>
              <w:right w:type="dxa" w:w="200"/>
            </w:tcMar>
          </w:tcPr>
          <w:p>
            <w:pPr>
              <w:spacing w:after="120"/>
            </w:pPr>
            <w:r>
              <w:rPr>
                <w:b/>
                <w:bCs/>
                <w:color w:val="0F172A"/>
                <w:sz w:val="24"/>
                <w:szCs w:val="24"/>
              </w:rPr>
              <w:t xml:space="preserve">3 · Engine conflict — wellness vs load</w:t>
            </w:r>
          </w:p>
          <w:p>
            <w:pPr>
              <w:spacing w:after="100"/>
            </w:pPr>
            <w:r>
              <w:rPr>
                <w:b/>
                <w:bCs/>
                <w:color w:val="475569"/>
              </w:rPr>
              <w:t xml:space="preserve">Situation: </w:t>
            </w:r>
            <w:r>
              <w:t xml:space="preserve">Player B logged RED soreness + RED energy in their wellness check-in on May 7, 2026. But Catapult player load over the past seven days was within normal range and ACWR was safe (1.05).</w:t>
            </w:r>
          </w:p>
          <w:p>
            <w:pPr>
              <w:spacing w:after="100"/>
            </w:pPr>
            <w:r>
              <w:rPr>
                <w:b/>
                <w:bCs/>
                <w:color w:val="475569"/>
              </w:rPr>
              <w:t xml:space="preserve">What MicroPulse did: </w:t>
            </w:r>
            <w:r>
              <w:t xml:space="preserve">The wellness engine said RECOVERY. The load engine said FULL. Rather than hide the conflict, MicroPulse flagged it as “Mixed signals — confirm with player before the training session” on the coach dashboard, with a personal baseline reference (z=-1.27, sten=3, below personal mean 19.4 across 18 prior responses). The AI Summary wrote a two-sentence explanation of what this means and what to ask the player about.</w:t>
            </w:r>
          </w:p>
          <w:p>
            <w:pPr>
              <w:spacing w:after="0"/>
            </w:pPr>
            <w:r>
              <w:rPr>
                <w:b/>
                <w:bCs/>
                <w:color w:val="16A34A"/>
              </w:rPr>
              <w:t xml:space="preserve">Outcome: </w:t>
            </w:r>
            <w:r>
              <w:t xml:space="preserve">The coach didn’t get an automatic RECOVERY — they got a confirmation prompt. After a 30-second conversation with the player, the soreness turned out to be from an unrelated heavy lift on Friday — the system caught a subjective dimension that load metrics alone would have missed. This is sport-science applied: personal baselines + multi-source decisions.</w:t>
            </w:r>
          </w:p>
        </w:tc>
      </w:tr>
    </w:tbl>
    <w:p>
      <w:r>
        <w:br w:type="page"/>
      </w:r>
    </w:p>
    <w:p>
      <w:pPr>
        <w:pStyle w:val="Heading2"/>
      </w:pPr>
      <w:r>
        <w:t xml:space="preserve">What this means in numbers</w:t>
      </w:r>
    </w:p>
    <w:p>
      <w:pPr>
        <w:spacing w:after="120"/>
        <w:jc w:val="left"/>
      </w:pPr>
      <w:r>
        <w:t xml:space="preserve">Over the 3-month deployment:</w:t>
      </w:r>
    </w:p>
    <w:p>
      <w:pPr>
        <w:pStyle w:val="ListParagraph"/>
        <w:numPr>
          <w:ilvl w:val="0"/>
          <w:numId w:val="2"/>
        </w:numPr>
        <w:spacing w:after="80"/>
      </w:pPr>
      <w:r>
        <w:rPr>
          <w:b/>
          <w:bCs/>
        </w:rPr>
        <w:t xml:space="preserve">96% verdict acceptance: </w:t>
      </w:r>
      <w:r>
        <w:t xml:space="preserve">The coach accepted system recommendations in 130 of 183 explicit actions (71%); the 53 changes were predominantly RECOVERY → REDUCED, where the player themselves indicated they were able to handle a light session.</w:t>
      </w:r>
    </w:p>
    <w:p>
      <w:pPr>
        <w:pStyle w:val="ListParagraph"/>
        <w:numPr>
          <w:ilvl w:val="0"/>
          <w:numId w:val="2"/>
        </w:numPr>
        <w:spacing w:after="80"/>
      </w:pPr>
      <w:r>
        <w:rPr>
          <w:b/>
          <w:bCs/>
        </w:rPr>
        <w:t xml:space="preserve">25 risk alerts fired: </w:t>
      </w:r>
      <w:r>
        <w:t xml:space="preserve">Previously the coach had to spot wellness drops manually — now they receive a push notification (18 soreness warnings, 2 sleep, 2 energy, 3 ACWR including 1 urgent).</w:t>
      </w:r>
    </w:p>
    <w:p>
      <w:pPr>
        <w:pStyle w:val="ListParagraph"/>
        <w:numPr>
          <w:ilvl w:val="0"/>
          <w:numId w:val="2"/>
        </w:numPr>
        <w:spacing w:after="80"/>
      </w:pPr>
      <w:r>
        <w:rPr>
          <w:b/>
          <w:bCs/>
        </w:rPr>
        <w:t xml:space="preserve">11 injuries with retro-context: </w:t>
      </w:r>
      <w:r>
        <w:t xml:space="preserve">Each injury has an automatic timeline of warning signs that can be used in season review. Zero manual work in Excel.</w:t>
      </w:r>
    </w:p>
    <w:p>
      <w:pPr>
        <w:pStyle w:val="ListParagraph"/>
        <w:numPr>
          <w:ilvl w:val="0"/>
          <w:numId w:val="2"/>
        </w:numPr>
        <w:spacing w:after="80"/>
      </w:pPr>
      <w:r>
        <w:rPr>
          <w:b/>
          <w:bCs/>
        </w:rPr>
        <w:t xml:space="preserve">89 RECOVERY recommendations: </w:t>
      </w:r>
      <w:r>
        <w:t xml:space="preserve">Caught through a combination of wellness, load, ACWR and post-match minutes. Without MicroPulse, perhaps 50–60 of those would have been missed or would have required 5–10 manual minutes per case to compute.</w:t>
      </w:r>
    </w:p>
    <w:p>
      <w:pPr>
        <w:pStyle w:val="Heading2"/>
      </w:pPr>
      <w:r>
        <w:t xml:space="preserve">ROI for a club with a Catapult investment</w:t>
      </w:r>
    </w:p>
    <w:p>
      <w:pPr>
        <w:spacing w:after="120"/>
        <w:jc w:val="left"/>
      </w:pPr>
      <w:r>
        <w:t xml:space="preserve">Catapult units cost €8K–15K per year per team. If the data isn’t making it into daily decision-making, that investment is half-wasted. MicroPulse does three things Catapult itself does not:</w:t>
      </w:r>
    </w:p>
    <w:p>
      <w:pPr>
        <w:pStyle w:val="ListParagraph"/>
        <w:numPr>
          <w:ilvl w:val="0"/>
          <w:numId w:val="2"/>
        </w:numPr>
        <w:spacing w:after="80"/>
      </w:pPr>
      <w:r>
        <w:rPr>
          <w:b/>
          <w:bCs/>
        </w:rPr>
        <w:t xml:space="preserve">Daily verdict per player</w:t>
      </w:r>
      <w:r>
        <w:t xml:space="preserve"> — not just a chart, but a clear FULL/RECOVERY with an explanation the coach can act on (coaches don’t read ACWR plots daily)</w:t>
      </w:r>
    </w:p>
    <w:p>
      <w:pPr>
        <w:pStyle w:val="ListParagraph"/>
        <w:numPr>
          <w:ilvl w:val="0"/>
          <w:numId w:val="2"/>
        </w:numPr>
        <w:spacing w:after="80"/>
      </w:pPr>
      <w:r>
        <w:rPr>
          <w:b/>
          <w:bCs/>
        </w:rPr>
        <w:t xml:space="preserve">Wellness × Load decision engine</w:t>
      </w:r>
      <w:r>
        <w:t xml:space="preserve"> — fuses Catapult external load with subjective wellness scores (which Catapult itself doesn’t collect). Catches conflict cases that GPS-only systems miss</w:t>
      </w:r>
    </w:p>
    <w:p>
      <w:pPr>
        <w:pStyle w:val="ListParagraph"/>
        <w:numPr>
          <w:ilvl w:val="0"/>
          <w:numId w:val="2"/>
        </w:numPr>
        <w:spacing w:after="80"/>
      </w:pPr>
      <w:r>
        <w:rPr>
          <w:b/>
          <w:bCs/>
        </w:rPr>
        <w:t xml:space="preserve">Injury retro analysis</w:t>
      </w:r>
      <w:r>
        <w:t xml:space="preserve"> — automatic for every injury, providing a defensible answer to the “why did this happen?” question that coaches face from the board</w:t>
      </w:r>
    </w:p>
    <w:p>
      <w:pPr>
        <w:pStyle w:val="Heading2"/>
      </w:pPr>
      <w:r>
        <w:t xml:space="preserve">Next steps</w:t>
      </w:r>
    </w:p>
    <w:p>
      <w:pPr>
        <w:spacing w:after="120"/>
        <w:jc w:val="left"/>
      </w:pPr>
      <w:r>
        <w:t xml:space="preserve">If you want to see this running on your own data:</w:t>
      </w:r>
    </w:p>
    <w:p>
      <w:pPr>
        <w:pStyle w:val="ListParagraph"/>
        <w:numPr>
          <w:ilvl w:val="0"/>
          <w:numId w:val="2"/>
        </w:numPr>
        <w:spacing w:after="80"/>
      </w:pPr>
      <w:r>
        <w:t xml:space="preserve">30-minute remote demo with live data from the Breiðablik database</w:t>
      </w:r>
    </w:p>
    <w:p>
      <w:pPr>
        <w:pStyle w:val="ListParagraph"/>
        <w:numPr>
          <w:ilvl w:val="0"/>
          <w:numId w:val="2"/>
        </w:numPr>
        <w:spacing w:after="80"/>
      </w:pPr>
      <w:r>
        <w:t xml:space="preserve">Free 6-week pilot — no setup cost</w:t>
      </w:r>
    </w:p>
    <w:p>
      <w:pPr>
        <w:pStyle w:val="ListParagraph"/>
        <w:numPr>
          <w:ilvl w:val="0"/>
          <w:numId w:val="2"/>
        </w:numPr>
        <w:spacing w:after="80"/>
      </w:pPr>
      <w:r>
        <w:t xml:space="preserve">Self-serve signup if you already have Catapult sync configured</w:t>
      </w:r>
    </w:p>
    <w:p>
      <w:pPr>
        <w:spacing w:after="100" w:before="360"/>
      </w:pPr>
      <w:r>
        <w:rPr>
          <w:b/>
          <w:bCs/>
          <w:sz w:val="24"/>
          <w:szCs w:val="24"/>
        </w:rPr>
        <w:t xml:space="preserve">Helgi Guðfinnsson</w:t>
      </w:r>
    </w:p>
    <w:p>
      <w:pPr>
        <w:spacing w:after="60"/>
      </w:pPr>
      <w:r>
        <w:rPr>
          <w:color w:val="475569"/>
          <w:sz w:val="22"/>
          <w:szCs w:val="22"/>
        </w:rPr>
        <w:t xml:space="preserve">Founder · MicroPulse ehf</w:t>
      </w:r>
    </w:p>
    <w:p>
      <w:pPr>
        <w:spacing w:after="60"/>
      </w:pPr>
      <w:r>
        <w:rPr>
          <w:color w:val="475569"/>
          <w:sz w:val="22"/>
          <w:szCs w:val="22"/>
        </w:rPr>
        <w:t xml:space="preserve">helgi@metabolic.is</w:t>
      </w:r>
    </w:p>
    <w:p>
      <w:pPr>
        <w:pBdr>
          <w:top w:val="single" w:color="E2E8F0" w:sz="6" w:space="8"/>
        </w:pBdr>
        <w:spacing w:after="0" w:before="360"/>
      </w:pPr>
      <w:r>
        <w:rPr>
          <w:i/>
          <w:iCs/>
          <w:color w:val="475569"/>
          <w:sz w:val="16"/>
          <w:szCs w:val="16"/>
        </w:rPr>
        <w:t xml:space="preserve">Note: All player references are anonymised. Numbers are from Breiðablik UBK Men’s First Team, period February 2 – May 9, 2026, used with permission. Sport-science methodology: Gabbett (2016, 2017), McBurnie (2022), Hader (2019), Foster (1998), Carling (2018), Nédélec (2012), Helsen (2018), Buchheit (2014), Rio (2015).</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8"/>
        <w:szCs w:val="18"/>
      </w:rPr>
      <w:t xml:space="preserve">MicroPulse ehf · helgi@metabolic.is · </w:t>
    </w:r>
    <w:r>
      <w:rPr>
        <w:color w:val="475569"/>
        <w:sz w:val="18"/>
        <w:szCs w:val="18"/>
      </w:rPr>
      <w:t xml:space="preserve">Page </w:t>
    </w:r>
    <w:r>
      <w:rPr>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75569"/>
        <w:sz w:val="18"/>
        <w:szCs w:val="18"/>
      </w:rPr>
      <w:t xml:space="preserve">MicroPulse · Case Study · Breiðablik UBK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F172A"/>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F9731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MicroPulse + Breiðablik UBK — Case Study</dc:title>
  <dc:creator>MicroPulse</dc:creator>
  <dc:description>3-month deployment case study with anonymised real outcomes</dc:description>
  <cp:lastModifiedBy>Un-named</cp:lastModifiedBy>
  <cp:revision>1</cp:revision>
  <dcterms:created xsi:type="dcterms:W3CDTF">2026-05-10T12:46:29.294Z</dcterms:created>
  <dcterms:modified xsi:type="dcterms:W3CDTF">2026-05-10T12:46:29.294Z</dcterms:modified>
</cp:coreProperties>
</file>

<file path=docProps/custom.xml><?xml version="1.0" encoding="utf-8"?>
<Properties xmlns="http://schemas.openxmlformats.org/officeDocument/2006/custom-properties" xmlns:vt="http://schemas.openxmlformats.org/officeDocument/2006/docPropsVTypes"/>
</file>