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  <w:sz w:val="52"/>
        </w:rPr>
        <w:t>MicroPulse Readiness Guide</w:t>
      </w:r>
    </w:p>
    <w:p>
      <w:r>
        <w:rPr>
          <w:rFonts w:ascii="Arial" w:hAnsi="Arial"/>
          <w:color w:val="64748B"/>
          <w:sz w:val="24"/>
        </w:rPr>
        <w:t>What makes a player RED, YELLOW, or GREEN — and what it means for your session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3402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4252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Georgia" w:hAnsi="Georgia"/>
                <w:b/>
                <w:color w:val="065F46"/>
                <w:sz w:val="20"/>
              </w:rPr>
              <w:t>GREEN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Player is within their normal readiness range. No significant risk factors detected.</w:t>
            </w:r>
          </w:p>
        </w:tc>
        <w:tc>
          <w:tcPr>
            <w:tcW w:type="dxa" w:w="4252"/>
          </w:tcPr>
          <w:p>
            <w:r>
              <w:rPr>
                <w:rFonts w:ascii="Georgia" w:hAnsi="Georgia"/>
                <w:sz w:val="20"/>
              </w:rPr>
              <w:t>Full session. No restrictions needed.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Georgia" w:hAnsi="Georgia"/>
                <w:b/>
                <w:color w:val="92400E"/>
                <w:sz w:val="20"/>
              </w:rPr>
              <w:t>YELLOW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One or more caution signals detected. Player may be fatigued, under-recovered, or showing early warning signs.</w:t>
            </w:r>
          </w:p>
        </w:tc>
        <w:tc>
          <w:tcPr>
            <w:tcW w:type="dxa" w:w="4252"/>
          </w:tcPr>
          <w:p>
            <w:r>
              <w:rPr>
                <w:rFonts w:ascii="Georgia" w:hAnsi="Georgia"/>
                <w:sz w:val="20"/>
              </w:rPr>
              <w:t>Modified session. Reduce volume or intensity. Monitor during training.</w:t>
            </w:r>
          </w:p>
        </w:tc>
      </w:tr>
      <w:tr>
        <w:tc>
          <w:tcPr>
            <w:tcW w:type="dxa" w:w="1134"/>
            <w:shd w:val="clear" w:color="auto" w:fill="FEE2E2"/>
          </w:tcPr>
          <w:p>
            <w:r>
              <w:rPr>
                <w:rFonts w:ascii="Georgia" w:hAnsi="Georgia"/>
                <w:b/>
                <w:color w:val="991B1B"/>
                <w:sz w:val="20"/>
              </w:rPr>
              <w:t>RED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Significant concern. Multiple risk factors or a critical threshold breached.</w:t>
            </w:r>
          </w:p>
        </w:tc>
        <w:tc>
          <w:tcPr>
            <w:tcW w:type="dxa" w:w="4252"/>
          </w:tcPr>
          <w:p>
            <w:r>
              <w:rPr>
                <w:rFonts w:ascii="Georgia" w:hAnsi="Georgia"/>
                <w:sz w:val="20"/>
              </w:rPr>
              <w:t>Recovery session only. Consider rest day. Discuss with player.</w:t>
            </w:r>
          </w:p>
        </w:tc>
      </w:tr>
      <w:tr>
        <w:tc>
          <w:tcPr>
            <w:tcW w:type="dxa" w:w="1134"/>
            <w:shd w:val="clear" w:color="auto" w:fill="F1F5F9"/>
          </w:tcPr>
          <w:p>
            <w:r>
              <w:rPr>
                <w:rFonts w:ascii="Georgia" w:hAnsi="Georgia"/>
                <w:b/>
                <w:color w:val="475569"/>
                <w:sz w:val="20"/>
              </w:rPr>
              <w:t>GRAY</w:t>
            </w:r>
          </w:p>
        </w:tc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Not enough data to make a decision (less than 35% of check-in completed or no baseline yet).</w:t>
            </w:r>
          </w:p>
        </w:tc>
        <w:tc>
          <w:tcPr>
            <w:tcW w:type="dxa" w:w="4252"/>
          </w:tcPr>
          <w:p>
            <w:r>
              <w:rPr>
                <w:rFonts w:ascii="Georgia" w:hAnsi="Georgia"/>
                <w:sz w:val="20"/>
              </w:rPr>
              <w:t>Use coach judgment. Ask player how they feel.</w:t>
            </w:r>
          </w:p>
        </w:tc>
      </w:tr>
    </w:tbl>
    <w:p>
      <w:pPr>
        <w:pStyle w:val="Heading1"/>
      </w:pPr>
      <w:r>
        <w:t>What Can Trigger a YELLOW Flag?</w:t>
      </w:r>
    </w:p>
    <w:p>
      <w:r>
        <w:t>A YELLOW flag means the system has detected early warning signs. The player can still train, but consider reducing load or monitoring closely. Common triggers include:</w:t>
      </w:r>
    </w:p>
    <w:p>
      <w:pPr>
        <w:pStyle w:val="Heading2"/>
      </w:pPr>
      <w:r>
        <w:t>Check-in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the player reported</w:t>
            </w:r>
          </w:p>
        </w:tc>
        <w:tc>
          <w:tcPr>
            <w:tcW w:type="dxa" w:w="5386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Sleep quality rated 3 or lower (out of 5)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Poor sleep impairs recovery and increases injury risk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Energy rated 3 or lower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Low energy suggests incomplete recovery from previous load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Soreness rated 2 or lower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High soreness indicates tissue stress — reduce mechanical load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Mood / stress rated high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Psychological stress compounds physical fatigue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Overall readiness score below 55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Multiple low scores combine to produce a moderate fatigue signal</w:t>
            </w:r>
          </w:p>
        </w:tc>
      </w:tr>
    </w:tbl>
    <w:p>
      <w:pPr>
        <w:pStyle w:val="Heading2"/>
      </w:pPr>
      <w:r>
        <w:t>Trend &amp; Load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5669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Readiness dropping compared to yesterday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The player is trending down — even if today's score isn't terrible, the direction matters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Workload ratio (ACWR) above 1.2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Recent training load is higher than the player's chronic baseline — injury risk increases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High volatility (score swinging up and down)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Unstable readiness patterns suggest the player isn't coping well with current demands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GPS load spike yesterday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Yesterday's session was significantly harder than usual for this player</w:t>
            </w:r>
          </w:p>
        </w:tc>
      </w:tr>
    </w:tbl>
    <w:p>
      <w:pPr>
        <w:pStyle w:val="Heading1"/>
      </w:pPr>
      <w:r>
        <w:t>What Can Trigger a RED Flag?</w:t>
      </w:r>
    </w:p>
    <w:p>
      <w:r>
        <w:t>A RED flag means there is a significant concern. The player should do a recovery session at most. RED is triggered by more severe versions of the same signals, or by critical combinations:</w:t>
      </w:r>
    </w:p>
    <w:p>
      <w:pPr>
        <w:pStyle w:val="Heading2"/>
      </w:pPr>
      <w:r>
        <w:t>Critical Check-in Signals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happened</w:t>
            </w:r>
          </w:p>
        </w:tc>
        <w:tc>
          <w:tcPr>
            <w:tcW w:type="dxa" w:w="5386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Why it's RED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Readiness is far below their own baseline (STEN 1-2)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This is the player's worst range — significantly below what's normal for them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Overall readiness score below 40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Multiple metrics are very low at the same time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Energy rated 1 (extremely tired)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Severe fatigue — training will do more harm than good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Player reported pain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Possible injury — do not load the affected area</w:t>
            </w:r>
          </w:p>
        </w:tc>
      </w:tr>
    </w:tbl>
    <w:p>
      <w:pPr>
        <w:pStyle w:val="Heading2"/>
      </w:pPr>
      <w:r>
        <w:t>Dangerous Combinations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Combination</w:t>
            </w:r>
          </w:p>
        </w:tc>
        <w:tc>
          <w:tcPr>
            <w:tcW w:type="dxa" w:w="5386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Why it's RED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Low readiness + high workload ratio (ACWR &gt; 1.4)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Fatigued player with a training spike — highest injury risk window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High soreness + heavy GPS load yesterday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Tissue is stressed and was loaded hard — needs recovery time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Readiness dropping sharply + high session load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Rapid decline combined with continued high load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Multiple low wellness scores for 2+ days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Sustained fatigue pattern — not a one-off bad day</w:t>
            </w:r>
          </w:p>
        </w:tc>
      </w:tr>
      <w:tr>
        <w:tc>
          <w:tcPr>
            <w:tcW w:type="dxa" w:w="3402"/>
          </w:tcPr>
          <w:p>
            <w:r>
              <w:rPr>
                <w:rFonts w:ascii="Georgia" w:hAnsi="Georgia"/>
                <w:sz w:val="20"/>
              </w:rPr>
              <w:t>Low soreness + low STEN over multiple days</w:t>
            </w:r>
          </w:p>
        </w:tc>
        <w:tc>
          <w:tcPr>
            <w:tcW w:type="dxa" w:w="5386"/>
          </w:tcPr>
          <w:p>
            <w:r>
              <w:rPr>
                <w:rFonts w:ascii="Georgia" w:hAnsi="Georgia"/>
                <w:sz w:val="20"/>
              </w:rPr>
              <w:t>Neural fatigue accumulating — the body isn't recovering</w:t>
            </w:r>
          </w:p>
        </w:tc>
      </w:tr>
    </w:tbl>
    <w:p>
      <w:pPr>
        <w:pStyle w:val="Heading1"/>
      </w:pPr>
      <w:r>
        <w:t>Understanding the Key Numbers</w:t>
      </w:r>
    </w:p>
    <w:p>
      <w:pPr>
        <w:pStyle w:val="Heading2"/>
      </w:pPr>
      <w:r>
        <w:t>STEN Score (1-10)</w:t>
      </w:r>
    </w:p>
    <w:p>
      <w:r>
        <w:t>The STEN score puts today's readiness in context of the player's own history. Think of it as "how does today compare to their normal?"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STEN</w:t>
            </w:r>
          </w:p>
        </w:tc>
        <w:tc>
          <w:tcPr>
            <w:tcW w:type="dxa" w:w="7370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8-10</w:t>
            </w:r>
          </w:p>
        </w:tc>
        <w:tc>
          <w:tcPr>
            <w:tcW w:type="dxa" w:w="7370"/>
          </w:tcPr>
          <w:p>
            <w:r>
              <w:rPr>
                <w:rFonts w:ascii="Georgia" w:hAnsi="Georgia"/>
                <w:sz w:val="20"/>
              </w:rPr>
              <w:t>Above their normal range — feeling great, peak form territory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5-7</w:t>
            </w:r>
          </w:p>
        </w:tc>
        <w:tc>
          <w:tcPr>
            <w:tcW w:type="dxa" w:w="7370"/>
          </w:tcPr>
          <w:p>
            <w:r>
              <w:rPr>
                <w:rFonts w:ascii="Georgia" w:hAnsi="Georgia"/>
                <w:sz w:val="20"/>
              </w:rPr>
              <w:t>Normal range — business as usual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3-4</w:t>
            </w:r>
          </w:p>
        </w:tc>
        <w:tc>
          <w:tcPr>
            <w:tcW w:type="dxa" w:w="7370"/>
          </w:tcPr>
          <w:p>
            <w:r>
              <w:rPr>
                <w:rFonts w:ascii="Georgia" w:hAnsi="Georgia"/>
                <w:sz w:val="20"/>
              </w:rPr>
              <w:t>Below normal — something is off, monitor closely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1-2</w:t>
            </w:r>
          </w:p>
        </w:tc>
        <w:tc>
          <w:tcPr>
            <w:tcW w:type="dxa" w:w="7370"/>
          </w:tcPr>
          <w:p>
            <w:r>
              <w:rPr>
                <w:rFonts w:ascii="Georgia" w:hAnsi="Georgia"/>
                <w:sz w:val="20"/>
              </w:rPr>
              <w:t>Significantly below normal — RED flag territory, consider recovery</w:t>
            </w:r>
          </w:p>
        </w:tc>
      </w:tr>
    </w:tbl>
    <w:p>
      <w:pPr>
        <w:pStyle w:val="Heading2"/>
      </w:pPr>
      <w:r>
        <w:t>ACWR — Workload Ratio</w:t>
      </w:r>
    </w:p>
    <w:p>
      <w:r>
        <w:t>ACWR compares this week's training load to the last 4 weeks. It tells you if the player is being loaded more or less than their body is used 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ACWR</w:t>
            </w:r>
          </w:p>
        </w:tc>
        <w:tc>
          <w:tcPr>
            <w:tcW w:type="dxa" w:w="3685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685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0.8 - 1.1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Load is close to what the player is used to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Low — safe zone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1.1 - 1.3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Slightly above normal load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Moderate — watch for fatigue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1.3 - 1.5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Clearly above normal load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Elevated — reduce if fatigued</w:t>
            </w:r>
          </w:p>
        </w:tc>
      </w:tr>
      <w:tr>
        <w:tc>
          <w:tcPr>
            <w:tcW w:type="dxa" w:w="1417"/>
          </w:tcPr>
          <w:p>
            <w:r>
              <w:rPr>
                <w:rFonts w:ascii="Georgia" w:hAnsi="Georgia"/>
                <w:sz w:val="20"/>
              </w:rPr>
              <w:t>&gt; 1.5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Training spike — much higher than usual</w:t>
            </w:r>
          </w:p>
        </w:tc>
        <w:tc>
          <w:tcPr>
            <w:tcW w:type="dxa" w:w="3685"/>
          </w:tcPr>
          <w:p>
            <w:r>
              <w:rPr>
                <w:rFonts w:ascii="Georgia" w:hAnsi="Georgia"/>
                <w:sz w:val="20"/>
              </w:rPr>
              <w:t>High — injury risk zone</w:t>
            </w:r>
          </w:p>
        </w:tc>
      </w:tr>
    </w:tbl>
    <w:p>
      <w:pPr>
        <w:pStyle w:val="Heading2"/>
      </w:pPr>
      <w:r>
        <w:t>Soreness Areas</w:t>
      </w:r>
    </w:p>
    <w:p>
      <w:r>
        <w:t>When a player reports soreness of 2 or lower, the system asks them to mark which body areas are affected. These appear as tags in the coach dashboard (e.g., "hamstrings", "lower back", "calves"). Use this information to modify exercises — avoid loading the sore areas directly.</w:t>
      </w:r>
    </w:p>
    <w:p>
      <w:pPr>
        <w:pStyle w:val="Heading1"/>
      </w:pPr>
      <w:r>
        <w:t>What Should I Do as a Coach?</w:t>
      </w:r>
    </w:p>
    <w:p>
      <w:pPr>
        <w:pStyle w:val="Heading2"/>
      </w:pPr>
      <w:r>
        <w:t>When you see GREEN</w:t>
      </w:r>
    </w:p>
    <w:p>
      <w:r>
        <w:t>The player is good to go. Run the planned session as normal. No modifications needed unless you see something on the pitch that concerns you.</w:t>
      </w:r>
    </w:p>
    <w:p>
      <w:pPr>
        <w:pStyle w:val="Heading2"/>
      </w:pPr>
      <w:r>
        <w:t>When you see YELLOW</w:t>
      </w:r>
    </w:p>
    <w:p>
      <w:r>
        <w:t>The player can train, but consider these adjustments: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If the trigger is...</w:t>
            </w:r>
          </w:p>
        </w:tc>
        <w:tc>
          <w:tcPr>
            <w:tcW w:type="dxa" w:w="5953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Consider...</w:t>
            </w:r>
          </w:p>
        </w:tc>
      </w:tr>
      <w:tr>
        <w:tc>
          <w:tcPr>
            <w:tcW w:type="dxa" w:w="2835"/>
          </w:tcPr>
          <w:p>
            <w:r>
              <w:rPr>
                <w:rFonts w:ascii="Georgia" w:hAnsi="Georgia"/>
                <w:sz w:val="20"/>
              </w:rPr>
              <w:t>Poor sleep or low energy</w:t>
            </w:r>
          </w:p>
        </w:tc>
        <w:tc>
          <w:tcPr>
            <w:tcW w:type="dxa" w:w="5953"/>
          </w:tcPr>
          <w:p>
            <w:r>
              <w:rPr>
                <w:rFonts w:ascii="Georgia" w:hAnsi="Georgia"/>
                <w:sz w:val="20"/>
              </w:rPr>
              <w:t>Reduce session intensity. Avoid maximal efforts.</w:t>
            </w:r>
          </w:p>
        </w:tc>
      </w:tr>
      <w:tr>
        <w:tc>
          <w:tcPr>
            <w:tcW w:type="dxa" w:w="2835"/>
          </w:tcPr>
          <w:p>
            <w:r>
              <w:rPr>
                <w:rFonts w:ascii="Georgia" w:hAnsi="Georgia"/>
                <w:sz w:val="20"/>
              </w:rPr>
              <w:t>High soreness</w:t>
            </w:r>
          </w:p>
        </w:tc>
        <w:tc>
          <w:tcPr>
            <w:tcW w:type="dxa" w:w="5953"/>
          </w:tcPr>
          <w:p>
            <w:r>
              <w:rPr>
                <w:rFonts w:ascii="Georgia" w:hAnsi="Georgia"/>
                <w:sz w:val="20"/>
              </w:rPr>
              <w:t>Modify exercises to avoid loading sore areas. Reduce eccentric work.</w:t>
            </w:r>
          </w:p>
        </w:tc>
      </w:tr>
      <w:tr>
        <w:tc>
          <w:tcPr>
            <w:tcW w:type="dxa" w:w="2835"/>
          </w:tcPr>
          <w:p>
            <w:r>
              <w:rPr>
                <w:rFonts w:ascii="Georgia" w:hAnsi="Georgia"/>
                <w:sz w:val="20"/>
              </w:rPr>
              <w:t>High ACWR / workload spike</w:t>
            </w:r>
          </w:p>
        </w:tc>
        <w:tc>
          <w:tcPr>
            <w:tcW w:type="dxa" w:w="5953"/>
          </w:tcPr>
          <w:p>
            <w:r>
              <w:rPr>
                <w:rFonts w:ascii="Georgia" w:hAnsi="Georgia"/>
                <w:sz w:val="20"/>
              </w:rPr>
              <w:t>Reduce total volume. Shorter session or fewer reps.</w:t>
            </w:r>
          </w:p>
        </w:tc>
      </w:tr>
      <w:tr>
        <w:tc>
          <w:tcPr>
            <w:tcW w:type="dxa" w:w="2835"/>
          </w:tcPr>
          <w:p>
            <w:r>
              <w:rPr>
                <w:rFonts w:ascii="Georgia" w:hAnsi="Georgia"/>
                <w:sz w:val="20"/>
              </w:rPr>
              <w:t>High volatility</w:t>
            </w:r>
          </w:p>
        </w:tc>
        <w:tc>
          <w:tcPr>
            <w:tcW w:type="dxa" w:w="5953"/>
          </w:tcPr>
          <w:p>
            <w:r>
              <w:rPr>
                <w:rFonts w:ascii="Georgia" w:hAnsi="Georgia"/>
                <w:sz w:val="20"/>
              </w:rPr>
              <w:t>The player's readiness is unpredictable. Keep load moderate and consistent.</w:t>
            </w:r>
          </w:p>
        </w:tc>
      </w:tr>
      <w:tr>
        <w:tc>
          <w:tcPr>
            <w:tcW w:type="dxa" w:w="2835"/>
          </w:tcPr>
          <w:p>
            <w:r>
              <w:rPr>
                <w:rFonts w:ascii="Georgia" w:hAnsi="Georgia"/>
                <w:sz w:val="20"/>
              </w:rPr>
              <w:t>Mood / stress</w:t>
            </w:r>
          </w:p>
        </w:tc>
        <w:tc>
          <w:tcPr>
            <w:tcW w:type="dxa" w:w="5953"/>
          </w:tcPr>
          <w:p>
            <w:r>
              <w:rPr>
                <w:rFonts w:ascii="Georgia" w:hAnsi="Georgia"/>
                <w:sz w:val="20"/>
              </w:rPr>
              <w:t>Check in with the player. Sometimes the conversation matters more than the modification.</w:t>
            </w:r>
          </w:p>
        </w:tc>
      </w:tr>
    </w:tbl>
    <w:p>
      <w:pPr>
        <w:pStyle w:val="Heading2"/>
      </w:pPr>
      <w:r>
        <w:t>When you see RED</w:t>
      </w:r>
    </w:p>
    <w:p>
      <w:r>
        <w:t>Recovery session only. Options include: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669"/>
            <w:shd w:val="clear" w:color="auto"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Active recovery (light movement, stretching)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Player is fatigued but not injured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Pool / bike session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Player has tissue soreness — reduce ground contact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Rest day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Player has very low energy or pain — sometimes the best session is no session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Georgia" w:hAnsi="Georgia"/>
                <w:sz w:val="20"/>
              </w:rPr>
              <w:t>Physio / medical check</w:t>
            </w:r>
          </w:p>
        </w:tc>
        <w:tc>
          <w:tcPr>
            <w:tcW w:type="dxa" w:w="5669"/>
          </w:tcPr>
          <w:p>
            <w:r>
              <w:rPr>
                <w:rFonts w:ascii="Georgia" w:hAnsi="Georgia"/>
                <w:sz w:val="20"/>
              </w:rPr>
              <w:t>Player reported pain or has been RED for 2+ days</w:t>
            </w:r>
          </w:p>
        </w:tc>
      </w:tr>
    </w:tbl>
    <w:p>
      <w:pPr>
        <w:pStyle w:val="Heading1"/>
      </w:pPr>
      <w:r>
        <w:t>Important Notes</w:t>
      </w:r>
    </w:p>
    <w:p>
      <w:r>
        <w:t>The system is a decision support tool, not a replacement for coaching judgment. The flags are based on the data the player provides and the GPS metrics from training. Consider these additional factors:</w:t>
      </w:r>
    </w:p>
    <w:p>
      <w:r>
        <w:rPr>
          <w:rFonts w:ascii="Arial" w:hAnsi="Arial"/>
          <w:b/>
          <w:sz w:val="20"/>
        </w:rPr>
        <w:t xml:space="preserve">Context matters: </w:t>
      </w:r>
      <w:r>
        <w:rPr>
          <w:sz w:val="20"/>
        </w:rPr>
        <w:t>A YELLOW flag the day before a cup final is different from a YELLOW in pre-season. Use your judgment.</w:t>
      </w:r>
    </w:p>
    <w:p>
      <w:r>
        <w:rPr>
          <w:rFonts w:ascii="Arial" w:hAnsi="Arial"/>
          <w:b/>
          <w:sz w:val="20"/>
        </w:rPr>
        <w:t xml:space="preserve">Talk to the player: </w:t>
      </w:r>
      <w:r>
        <w:rPr>
          <w:sz w:val="20"/>
        </w:rPr>
        <w:t>Sometimes the numbers tell one story and the player tells another. Both matter.</w:t>
      </w:r>
    </w:p>
    <w:p>
      <w:r>
        <w:rPr>
          <w:rFonts w:ascii="Arial" w:hAnsi="Arial"/>
          <w:b/>
          <w:sz w:val="20"/>
        </w:rPr>
        <w:t xml:space="preserve">Coach override: </w:t>
      </w:r>
      <w:r>
        <w:rPr>
          <w:sz w:val="20"/>
        </w:rPr>
        <w:t>You can always override the system decision. If you know something the data doesn't, trust your experience.</w:t>
      </w:r>
    </w:p>
    <w:p>
      <w:r>
        <w:rPr>
          <w:rFonts w:ascii="Arial" w:hAnsi="Arial"/>
          <w:b/>
          <w:sz w:val="20"/>
        </w:rPr>
        <w:t xml:space="preserve">The system learns: </w:t>
      </w:r>
      <w:r>
        <w:rPr>
          <w:sz w:val="20"/>
        </w:rPr>
        <w:t>The more check-ins a player completes, the better the baseline. Encourage consistent daily check-ins.</w:t>
      </w:r>
    </w:p>
    <w:p>
      <w:r>
        <w:rPr>
          <w:rFonts w:ascii="Arial" w:hAnsi="Arial"/>
          <w:b/>
          <w:sz w:val="20"/>
        </w:rPr>
        <w:t xml:space="preserve">Combinations are key: </w:t>
      </w:r>
      <w:r>
        <w:rPr>
          <w:sz w:val="20"/>
        </w:rPr>
        <w:t>One low score rarely triggers a flag on its own. It's the combination of signals that matters most.</w:t>
      </w:r>
    </w:p>
    <w:p/>
    <w:p>
      <w:pPr>
        <w:jc w:val="center"/>
      </w:pPr>
      <w:r>
        <w:rPr>
          <w:color w:val="94A3B8"/>
          <w:sz w:val="18"/>
        </w:rPr>
        <w:t>MicroPulse Readiness System — Coach Guide v1.0 — 19 April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E40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55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